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95" w:rsidRPr="00AD40A1" w:rsidRDefault="00BA7E95" w:rsidP="004E417E">
      <w:pPr>
        <w:jc w:val="center"/>
        <w:rPr>
          <w:rFonts w:ascii="Arial" w:hAnsi="Arial" w:cs="Arial"/>
          <w:b/>
          <w:color w:val="5F497A"/>
          <w:sz w:val="28"/>
          <w:szCs w:val="28"/>
        </w:rPr>
      </w:pPr>
      <w:r w:rsidRPr="00AD40A1">
        <w:rPr>
          <w:rFonts w:ascii="Arial" w:hAnsi="Arial" w:cs="Arial"/>
          <w:b/>
          <w:color w:val="5F497A"/>
          <w:sz w:val="28"/>
          <w:szCs w:val="28"/>
        </w:rPr>
        <w:t xml:space="preserve">Hodnocení spokojenosti </w:t>
      </w:r>
      <w:r w:rsidRPr="00FF5E35">
        <w:rPr>
          <w:rFonts w:ascii="Arial" w:hAnsi="Arial" w:cs="Arial"/>
          <w:b/>
          <w:color w:val="5F497A"/>
          <w:sz w:val="28"/>
          <w:szCs w:val="28"/>
        </w:rPr>
        <w:t xml:space="preserve">zaměstnanců </w:t>
      </w:r>
      <w:r w:rsidRPr="00AD40A1">
        <w:rPr>
          <w:rFonts w:ascii="Arial" w:hAnsi="Arial" w:cs="Arial"/>
          <w:b/>
          <w:color w:val="5F497A"/>
          <w:sz w:val="28"/>
          <w:szCs w:val="28"/>
        </w:rPr>
        <w:t>s poskytovanými službami Sociálního oddělení FNOL v roce 2013</w:t>
      </w:r>
    </w:p>
    <w:p w:rsidR="00BA7E95" w:rsidRPr="00133D99" w:rsidRDefault="00BA7E95" w:rsidP="004E417E">
      <w:pPr>
        <w:pStyle w:val="Bezmezer"/>
        <w:jc w:val="both"/>
        <w:rPr>
          <w:rFonts w:ascii="Arial" w:hAnsi="Arial" w:cs="Arial"/>
          <w:b/>
          <w:color w:val="E36C0A"/>
        </w:rPr>
      </w:pPr>
    </w:p>
    <w:p w:rsidR="00BA7E95" w:rsidRDefault="00BA7E95" w:rsidP="004E417E">
      <w:pPr>
        <w:pStyle w:val="Bezmezer"/>
        <w:jc w:val="both"/>
        <w:rPr>
          <w:rFonts w:ascii="Arial" w:hAnsi="Arial" w:cs="Arial"/>
          <w:b/>
          <w:color w:val="5F497A"/>
        </w:rPr>
      </w:pPr>
      <w:r w:rsidRPr="00AD40A1">
        <w:rPr>
          <w:rFonts w:ascii="Arial" w:hAnsi="Arial" w:cs="Arial"/>
          <w:b/>
          <w:color w:val="5F497A"/>
        </w:rPr>
        <w:t>Činnost pracovníků SOC byla hodnocena v následujících kritériích spokojenosti:</w:t>
      </w:r>
    </w:p>
    <w:p w:rsidR="00BA7E95" w:rsidRPr="0031243A" w:rsidRDefault="00BA7E95" w:rsidP="004E417E">
      <w:pPr>
        <w:pStyle w:val="Bezmezer"/>
        <w:jc w:val="both"/>
        <w:rPr>
          <w:rFonts w:ascii="Arial" w:hAnsi="Arial" w:cs="Arial"/>
          <w:b/>
          <w:color w:val="5F497A"/>
          <w:sz w:val="4"/>
          <w:szCs w:val="4"/>
        </w:rPr>
      </w:pPr>
    </w:p>
    <w:p w:rsidR="00BA7E95" w:rsidRDefault="00BA7E95" w:rsidP="004E417E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úroveň komunikace zdravotně sociálních pracovníků (ZSP) se zdravotníky a pacienty,</w:t>
      </w:r>
    </w:p>
    <w:p w:rsidR="00BA7E95" w:rsidRDefault="00BA7E95" w:rsidP="004E417E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odborná úroveň poskytnutých rad a konzultací,</w:t>
      </w:r>
    </w:p>
    <w:p w:rsidR="00BA7E95" w:rsidRPr="004E417E" w:rsidRDefault="00BA7E95" w:rsidP="004E417E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etická úroveň chování ZSP,</w:t>
      </w:r>
    </w:p>
    <w:p w:rsidR="00BA7E95" w:rsidRDefault="00BA7E95" w:rsidP="004E417E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dostupnost ZSP a rychlost vyřízení požadavků,</w:t>
      </w:r>
    </w:p>
    <w:p w:rsidR="00BA7E95" w:rsidRPr="00C532DF" w:rsidRDefault="00BA7E95" w:rsidP="004E417E">
      <w:pPr>
        <w:pStyle w:val="Bezmezer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úroveň spolupráce ZSP se zdravotníky.</w:t>
      </w:r>
    </w:p>
    <w:p w:rsidR="00BA7E95" w:rsidRDefault="00BA7E95" w:rsidP="00B91195">
      <w:pPr>
        <w:pStyle w:val="Bezmezer"/>
        <w:jc w:val="both"/>
        <w:rPr>
          <w:rFonts w:ascii="Arial" w:hAnsi="Arial" w:cs="Arial"/>
        </w:rPr>
      </w:pPr>
    </w:p>
    <w:p w:rsidR="00BA7E95" w:rsidRDefault="00BA7E95" w:rsidP="00B91195">
      <w:pPr>
        <w:pStyle w:val="Bezmezer"/>
        <w:jc w:val="both"/>
        <w:rPr>
          <w:rFonts w:ascii="Arial" w:hAnsi="Arial" w:cs="Arial"/>
        </w:rPr>
      </w:pPr>
      <w:r w:rsidRPr="005310F1">
        <w:rPr>
          <w:rFonts w:ascii="Arial" w:hAnsi="Arial" w:cs="Arial"/>
        </w:rPr>
        <w:t xml:space="preserve">Distribuce dotazníků probíhala elektronicky. Dne </w:t>
      </w:r>
      <w:r>
        <w:rPr>
          <w:rFonts w:ascii="Arial" w:hAnsi="Arial" w:cs="Arial"/>
        </w:rPr>
        <w:t>6. 1. 2014</w:t>
      </w:r>
      <w:r w:rsidRPr="005310F1">
        <w:rPr>
          <w:rFonts w:ascii="Arial" w:hAnsi="Arial" w:cs="Arial"/>
        </w:rPr>
        <w:t xml:space="preserve"> byl všem </w:t>
      </w:r>
      <w:r>
        <w:rPr>
          <w:rFonts w:ascii="Arial" w:hAnsi="Arial" w:cs="Arial"/>
        </w:rPr>
        <w:t>respondentům (staniční sestry) doručen dotazník.</w:t>
      </w:r>
      <w:r w:rsidRPr="005310F1">
        <w:rPr>
          <w:rFonts w:ascii="Arial" w:hAnsi="Arial" w:cs="Arial"/>
        </w:rPr>
        <w:t xml:space="preserve"> Sběr dat </w:t>
      </w:r>
      <w:r>
        <w:rPr>
          <w:rFonts w:ascii="Arial" w:hAnsi="Arial" w:cs="Arial"/>
        </w:rPr>
        <w:t>byl ukončen 27.</w:t>
      </w:r>
      <w:r w:rsidRPr="005310F1">
        <w:rPr>
          <w:rFonts w:ascii="Arial" w:hAnsi="Arial" w:cs="Arial"/>
        </w:rPr>
        <w:t xml:space="preserve"> 1. 201</w:t>
      </w:r>
      <w:r>
        <w:rPr>
          <w:rFonts w:ascii="Arial" w:hAnsi="Arial" w:cs="Arial"/>
        </w:rPr>
        <w:t>4</w:t>
      </w:r>
      <w:r w:rsidRPr="005310F1">
        <w:rPr>
          <w:rFonts w:ascii="Arial" w:hAnsi="Arial" w:cs="Arial"/>
        </w:rPr>
        <w:t xml:space="preserve">. Rozesláno </w:t>
      </w:r>
      <w:r>
        <w:rPr>
          <w:rFonts w:ascii="Arial" w:hAnsi="Arial" w:cs="Arial"/>
        </w:rPr>
        <w:t>bylo 63</w:t>
      </w:r>
      <w:r w:rsidRPr="005310F1">
        <w:rPr>
          <w:rFonts w:ascii="Arial" w:hAnsi="Arial" w:cs="Arial"/>
        </w:rPr>
        <w:t xml:space="preserve"> ks dotazníků, zpět na pracoviště doručeno </w:t>
      </w:r>
      <w:r>
        <w:rPr>
          <w:rFonts w:ascii="Arial" w:hAnsi="Arial" w:cs="Arial"/>
        </w:rPr>
        <w:t xml:space="preserve">56 ks řádně vyplněných formulářů. </w:t>
      </w:r>
      <w:r w:rsidRPr="005310F1">
        <w:rPr>
          <w:rFonts w:ascii="Arial" w:hAnsi="Arial" w:cs="Arial"/>
        </w:rPr>
        <w:t xml:space="preserve">Návratnost tedy byla </w:t>
      </w:r>
      <w:r>
        <w:rPr>
          <w:rFonts w:ascii="Arial" w:hAnsi="Arial" w:cs="Arial"/>
        </w:rPr>
        <w:t>89</w:t>
      </w:r>
      <w:r w:rsidRPr="005310F1">
        <w:rPr>
          <w:rFonts w:ascii="Arial" w:hAnsi="Arial" w:cs="Arial"/>
        </w:rPr>
        <w:t xml:space="preserve"> %.</w:t>
      </w:r>
    </w:p>
    <w:p w:rsidR="00BA7E95" w:rsidRDefault="00BA7E95" w:rsidP="004E417E">
      <w:pPr>
        <w:pStyle w:val="Bezmezer"/>
        <w:rPr>
          <w:rFonts w:ascii="Arial" w:hAnsi="Arial" w:cs="Arial"/>
          <w:b/>
          <w:color w:val="365F91"/>
        </w:rPr>
      </w:pPr>
    </w:p>
    <w:p w:rsidR="00BA7E95" w:rsidRDefault="00BA7E95" w:rsidP="004E417E">
      <w:pPr>
        <w:pStyle w:val="Bezmezer"/>
        <w:rPr>
          <w:rFonts w:ascii="Arial" w:hAnsi="Arial" w:cs="Arial"/>
          <w:b/>
          <w:color w:val="365F91"/>
        </w:rPr>
      </w:pPr>
    </w:p>
    <w:p w:rsidR="00BA7E95" w:rsidRDefault="00BA7E95" w:rsidP="004E417E">
      <w:pPr>
        <w:pStyle w:val="Bezmezer"/>
        <w:rPr>
          <w:rFonts w:ascii="Arial" w:hAnsi="Arial" w:cs="Arial"/>
          <w:b/>
          <w:color w:val="5F497A"/>
        </w:rPr>
      </w:pPr>
      <w:r w:rsidRPr="00877396">
        <w:rPr>
          <w:rFonts w:ascii="Arial" w:hAnsi="Arial" w:cs="Arial"/>
          <w:b/>
          <w:color w:val="5F497A"/>
        </w:rPr>
        <w:t>Míra spokojenosti byla hodnocena dle následující stupnice:</w:t>
      </w:r>
    </w:p>
    <w:p w:rsidR="00BA7E95" w:rsidRPr="0031243A" w:rsidRDefault="00BA7E95" w:rsidP="004E417E">
      <w:pPr>
        <w:pStyle w:val="Bezmezer"/>
        <w:rPr>
          <w:rFonts w:ascii="Arial" w:hAnsi="Arial" w:cs="Arial"/>
          <w:b/>
          <w:color w:val="5F497A"/>
          <w:sz w:val="4"/>
          <w:szCs w:val="4"/>
        </w:rPr>
      </w:pPr>
    </w:p>
    <w:p w:rsidR="00BA7E95" w:rsidRPr="004D0DBB" w:rsidRDefault="00BA7E95" w:rsidP="004E417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1 – výborná</w:t>
      </w:r>
    </w:p>
    <w:p w:rsidR="00BA7E95" w:rsidRPr="004D0DBB" w:rsidRDefault="00BA7E95" w:rsidP="004E417E">
      <w:pPr>
        <w:pStyle w:val="Bezmezer"/>
        <w:rPr>
          <w:rFonts w:ascii="Arial" w:hAnsi="Arial" w:cs="Arial"/>
        </w:rPr>
      </w:pPr>
      <w:r w:rsidRPr="004D0DBB">
        <w:rPr>
          <w:rFonts w:ascii="Arial" w:hAnsi="Arial" w:cs="Arial"/>
        </w:rPr>
        <w:t xml:space="preserve">2 – </w:t>
      </w:r>
      <w:r>
        <w:rPr>
          <w:rFonts w:ascii="Arial" w:hAnsi="Arial" w:cs="Arial"/>
        </w:rPr>
        <w:t>chvalitebná</w:t>
      </w:r>
    </w:p>
    <w:p w:rsidR="00BA7E95" w:rsidRPr="004D0DBB" w:rsidRDefault="00BA7E95" w:rsidP="004E417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3 – dobrá</w:t>
      </w:r>
    </w:p>
    <w:p w:rsidR="00BA7E95" w:rsidRDefault="00BA7E95" w:rsidP="004E417E">
      <w:pPr>
        <w:pStyle w:val="Bezmezer"/>
        <w:rPr>
          <w:rFonts w:ascii="Arial" w:hAnsi="Arial" w:cs="Arial"/>
        </w:rPr>
      </w:pPr>
      <w:r w:rsidRPr="004D0DBB">
        <w:rPr>
          <w:rFonts w:ascii="Arial" w:hAnsi="Arial" w:cs="Arial"/>
        </w:rPr>
        <w:t xml:space="preserve">4 – </w:t>
      </w:r>
      <w:r>
        <w:rPr>
          <w:rFonts w:ascii="Arial" w:hAnsi="Arial" w:cs="Arial"/>
        </w:rPr>
        <w:t>uspokojivá</w:t>
      </w:r>
    </w:p>
    <w:p w:rsidR="00BA7E95" w:rsidRPr="00877396" w:rsidRDefault="00BA7E95" w:rsidP="004E417E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5 - neuspokojivá</w:t>
      </w:r>
    </w:p>
    <w:p w:rsidR="00BA7E95" w:rsidRDefault="00BA7E95" w:rsidP="004E417E">
      <w:pPr>
        <w:pStyle w:val="Bezmezer"/>
        <w:rPr>
          <w:rFonts w:ascii="Arial" w:hAnsi="Arial" w:cs="Arial"/>
          <w:sz w:val="20"/>
          <w:szCs w:val="20"/>
        </w:rPr>
      </w:pPr>
    </w:p>
    <w:p w:rsidR="00BA7E95" w:rsidRDefault="00BA7E95" w:rsidP="004E417E">
      <w:pPr>
        <w:pStyle w:val="Bezmezer"/>
        <w:rPr>
          <w:rFonts w:ascii="Arial" w:hAnsi="Arial" w:cs="Arial"/>
          <w:sz w:val="20"/>
          <w:szCs w:val="20"/>
        </w:rPr>
      </w:pPr>
    </w:p>
    <w:p w:rsidR="00BA7E95" w:rsidRDefault="00BA7E95" w:rsidP="004E417E">
      <w:pPr>
        <w:pStyle w:val="Bezmezer"/>
        <w:rPr>
          <w:rFonts w:ascii="Arial" w:hAnsi="Arial" w:cs="Arial"/>
          <w:sz w:val="20"/>
          <w:szCs w:val="20"/>
        </w:rPr>
      </w:pPr>
    </w:p>
    <w:p w:rsidR="00BA7E95" w:rsidRPr="00877396" w:rsidRDefault="00BA7E95" w:rsidP="00006FEA">
      <w:pPr>
        <w:pStyle w:val="Bezmezer"/>
        <w:rPr>
          <w:rFonts w:ascii="Arial" w:hAnsi="Arial" w:cs="Arial"/>
          <w:b/>
          <w:color w:val="5F497A"/>
        </w:rPr>
      </w:pPr>
      <w:r w:rsidRPr="00877396">
        <w:rPr>
          <w:rFonts w:ascii="Arial" w:hAnsi="Arial" w:cs="Arial"/>
          <w:b/>
          <w:color w:val="5F497A"/>
        </w:rPr>
        <w:t>Vyhodnocení dotazníkového šetření:</w:t>
      </w:r>
    </w:p>
    <w:tbl>
      <w:tblPr>
        <w:tblpPr w:leftFromText="141" w:rightFromText="141" w:vertAnchor="text" w:horzAnchor="margin" w:tblpX="108" w:tblpY="204"/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"/>
        <w:gridCol w:w="6289"/>
        <w:gridCol w:w="581"/>
        <w:gridCol w:w="581"/>
        <w:gridCol w:w="582"/>
        <w:gridCol w:w="581"/>
        <w:gridCol w:w="582"/>
      </w:tblGrid>
      <w:tr w:rsidR="00BA7E95" w:rsidRPr="00110677" w:rsidTr="00797635">
        <w:trPr>
          <w:trHeight w:val="405"/>
        </w:trPr>
        <w:tc>
          <w:tcPr>
            <w:tcW w:w="482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BA7E95" w:rsidRPr="00110677" w:rsidRDefault="00BA7E95" w:rsidP="0079763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color w:val="000000"/>
              </w:rPr>
            </w:pPr>
            <w:r w:rsidRPr="00110677">
              <w:rPr>
                <w:rFonts w:ascii="Arial" w:hAnsi="Arial" w:cs="Arial"/>
                <w:b/>
              </w:rPr>
              <w:t>otázka</w:t>
            </w:r>
          </w:p>
        </w:tc>
        <w:tc>
          <w:tcPr>
            <w:tcW w:w="628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E95" w:rsidRPr="00110677" w:rsidRDefault="00ED436F" w:rsidP="007976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436F">
              <w:rPr>
                <w:noProof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65.8pt;margin-top:6.05pt;width:35.45pt;height:.05pt;z-index:-251658240;mso-position-horizontal-relative:text;mso-position-vertical-relative:text" o:connectortype="straight" wrapcoords="38 2 0 4 0 6 38 9 42 9 47 8 47 5 42 2 38 2">
                  <v:stroke endarrow="block"/>
                  <w10:wrap type="tight"/>
                </v:shape>
              </w:pict>
            </w:r>
            <w:r w:rsidR="00BA7E95" w:rsidRPr="001106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míra spokojenosti</w:t>
            </w:r>
          </w:p>
        </w:tc>
        <w:tc>
          <w:tcPr>
            <w:tcW w:w="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BA7E95" w:rsidRPr="00110677" w:rsidTr="00797635">
        <w:trPr>
          <w:trHeight w:val="405"/>
        </w:trPr>
        <w:tc>
          <w:tcPr>
            <w:tcW w:w="482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BA7E95" w:rsidRPr="00110677" w:rsidRDefault="00BA7E95" w:rsidP="00797635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1. Úroveň komunikace s personálem Sociálního oddělení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7E95" w:rsidRPr="00110677" w:rsidTr="00797635">
        <w:trPr>
          <w:trHeight w:val="405"/>
        </w:trPr>
        <w:tc>
          <w:tcPr>
            <w:tcW w:w="482" w:type="dxa"/>
            <w:vMerge/>
            <w:tcBorders>
              <w:right w:val="doub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9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2. Úroveň komunikace zdravotně sociálních pracovníků s pacienty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  <w:bottom w:val="nil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A7E95" w:rsidRPr="00110677" w:rsidTr="00797635">
        <w:trPr>
          <w:trHeight w:val="405"/>
        </w:trPr>
        <w:tc>
          <w:tcPr>
            <w:tcW w:w="482" w:type="dxa"/>
            <w:vMerge/>
            <w:tcBorders>
              <w:right w:val="doub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9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3. Odborná úroveň poskytovaných rad a konzultací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  <w:bottom w:val="nil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7E95" w:rsidRPr="00110677" w:rsidTr="00797635">
        <w:trPr>
          <w:trHeight w:val="405"/>
        </w:trPr>
        <w:tc>
          <w:tcPr>
            <w:tcW w:w="482" w:type="dxa"/>
            <w:vMerge/>
            <w:tcBorders>
              <w:right w:val="doub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9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4. Etická úroveň chování zdravotně sociální pracovnice – ochota, vstřícnost, vystupování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  <w:bottom w:val="nil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7E95" w:rsidRPr="00110677" w:rsidTr="00797635">
        <w:trPr>
          <w:trHeight w:val="405"/>
        </w:trPr>
        <w:tc>
          <w:tcPr>
            <w:tcW w:w="482" w:type="dxa"/>
            <w:vMerge/>
            <w:tcBorders>
              <w:right w:val="doub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5. Rychlost vyřízení požadavku Sociálním oddělením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7E95" w:rsidRPr="00110677" w:rsidTr="00797635">
        <w:trPr>
          <w:trHeight w:val="405"/>
        </w:trPr>
        <w:tc>
          <w:tcPr>
            <w:tcW w:w="482" w:type="dxa"/>
            <w:vMerge/>
            <w:tcBorders>
              <w:right w:val="doub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6. Dostupnost zdravotně sociální pracovnice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7E95" w:rsidRPr="00110677" w:rsidTr="00797635">
        <w:trPr>
          <w:trHeight w:val="405"/>
        </w:trPr>
        <w:tc>
          <w:tcPr>
            <w:tcW w:w="482" w:type="dxa"/>
            <w:vMerge/>
            <w:tcBorders>
              <w:right w:val="doub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8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7. Úroveň spolupráce zdravotně sociální pracovnice s ošetřujícím personálem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67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BA7E95" w:rsidRPr="00110677" w:rsidRDefault="00BA7E95" w:rsidP="007976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06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A7E95" w:rsidRDefault="00BA7E95" w:rsidP="002A22C5">
      <w:pPr>
        <w:spacing w:after="0" w:line="240" w:lineRule="auto"/>
      </w:pPr>
    </w:p>
    <w:p w:rsidR="00BA7E95" w:rsidRDefault="00BA7E95" w:rsidP="002A22C5">
      <w:pPr>
        <w:jc w:val="center"/>
      </w:pPr>
    </w:p>
    <w:p w:rsidR="00BA7E95" w:rsidRDefault="00BA7E95" w:rsidP="002A22C5">
      <w:pPr>
        <w:jc w:val="center"/>
      </w:pPr>
    </w:p>
    <w:p w:rsidR="00BA7E95" w:rsidRDefault="00BA7E95" w:rsidP="002A22C5">
      <w:pPr>
        <w:jc w:val="center"/>
      </w:pPr>
    </w:p>
    <w:p w:rsidR="00BA7E95" w:rsidRDefault="00BA7E95" w:rsidP="002A22C5">
      <w:pPr>
        <w:jc w:val="center"/>
      </w:pPr>
    </w:p>
    <w:p w:rsidR="00BA7E95" w:rsidRDefault="00BA7E95" w:rsidP="002A22C5">
      <w:pPr>
        <w:jc w:val="center"/>
      </w:pPr>
    </w:p>
    <w:p w:rsidR="00BA7E95" w:rsidRDefault="00BA7E95" w:rsidP="002A22C5">
      <w:pPr>
        <w:jc w:val="center"/>
      </w:pPr>
    </w:p>
    <w:p w:rsidR="00BA7E95" w:rsidRDefault="00BA7E95" w:rsidP="002A22C5">
      <w:pPr>
        <w:jc w:val="center"/>
      </w:pPr>
    </w:p>
    <w:p w:rsidR="00BA7E95" w:rsidRDefault="00BA7E95" w:rsidP="002A22C5">
      <w:pPr>
        <w:jc w:val="center"/>
      </w:pPr>
    </w:p>
    <w:p w:rsidR="00BA7E95" w:rsidRDefault="00BA7E95" w:rsidP="002A22C5">
      <w:pPr>
        <w:jc w:val="center"/>
      </w:pPr>
    </w:p>
    <w:p w:rsidR="00BA7E95" w:rsidRPr="00120B32" w:rsidRDefault="00ED436F" w:rsidP="00C74DEB">
      <w:pPr>
        <w:jc w:val="center"/>
        <w:rPr>
          <w:b/>
          <w:color w:val="0033CC"/>
          <w:sz w:val="16"/>
          <w:szCs w:val="16"/>
        </w:rPr>
      </w:pPr>
      <w:r w:rsidRPr="00ED436F">
        <w:rPr>
          <w:noProof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05pt;margin-top:10.15pt;width:472.45pt;height:24pt;z-index:251659264" fillcolor="#e5dfec" stroked="f">
            <v:textbox style="mso-next-textbox:#_x0000_s1027" inset=",.3mm,,.3mm">
              <w:txbxContent>
                <w:p w:rsidR="00BA7E95" w:rsidRPr="00110677" w:rsidRDefault="00BA7E95" w:rsidP="00C74DEB">
                  <w:pPr>
                    <w:jc w:val="center"/>
                    <w:rPr>
                      <w:color w:val="5F497A"/>
                      <w:sz w:val="32"/>
                    </w:rPr>
                  </w:pPr>
                  <w:proofErr w:type="spellStart"/>
                  <w:r w:rsidRPr="00110677">
                    <w:rPr>
                      <w:color w:val="5F497A"/>
                      <w:sz w:val="32"/>
                      <w:lang w:val="en-US"/>
                    </w:rPr>
                    <w:t>Úroveň</w:t>
                  </w:r>
                  <w:proofErr w:type="spellEnd"/>
                  <w:r w:rsidRPr="00110677">
                    <w:rPr>
                      <w:color w:val="5F497A"/>
                      <w:sz w:val="32"/>
                      <w:lang w:val="en-US"/>
                    </w:rPr>
                    <w:t xml:space="preserve"> </w:t>
                  </w:r>
                  <w:proofErr w:type="spellStart"/>
                  <w:r w:rsidRPr="00110677">
                    <w:rPr>
                      <w:color w:val="5F497A"/>
                      <w:sz w:val="32"/>
                      <w:lang w:val="en-US"/>
                    </w:rPr>
                    <w:t>komunikace</w:t>
                  </w:r>
                  <w:proofErr w:type="spellEnd"/>
                  <w:r w:rsidRPr="00110677">
                    <w:rPr>
                      <w:color w:val="5F497A"/>
                      <w:sz w:val="32"/>
                      <w:lang w:val="en-US"/>
                    </w:rPr>
                    <w:t xml:space="preserve"> s </w:t>
                  </w:r>
                  <w:proofErr w:type="spellStart"/>
                  <w:r w:rsidRPr="00110677">
                    <w:rPr>
                      <w:color w:val="5F497A"/>
                      <w:sz w:val="32"/>
                      <w:lang w:val="en-US"/>
                    </w:rPr>
                    <w:t>personálem</w:t>
                  </w:r>
                  <w:proofErr w:type="spellEnd"/>
                  <w:r w:rsidRPr="00110677">
                    <w:rPr>
                      <w:color w:val="5F497A"/>
                      <w:sz w:val="32"/>
                      <w:lang w:val="en-US"/>
                    </w:rPr>
                    <w:t xml:space="preserve"> </w:t>
                  </w:r>
                  <w:proofErr w:type="spellStart"/>
                  <w:r w:rsidRPr="00110677">
                    <w:rPr>
                      <w:color w:val="5F497A"/>
                      <w:sz w:val="32"/>
                      <w:lang w:val="en-US"/>
                    </w:rPr>
                    <w:t>Sociálního</w:t>
                  </w:r>
                  <w:proofErr w:type="spellEnd"/>
                  <w:r w:rsidRPr="00110677">
                    <w:rPr>
                      <w:color w:val="5F497A"/>
                      <w:sz w:val="32"/>
                      <w:lang w:val="en-US"/>
                    </w:rPr>
                    <w:t xml:space="preserve"> </w:t>
                  </w:r>
                  <w:proofErr w:type="spellStart"/>
                  <w:r w:rsidRPr="00110677">
                    <w:rPr>
                      <w:color w:val="5F497A"/>
                      <w:sz w:val="32"/>
                      <w:lang w:val="en-US"/>
                    </w:rPr>
                    <w:t>oddělení</w:t>
                  </w:r>
                  <w:proofErr w:type="spellEnd"/>
                </w:p>
                <w:p w:rsidR="00BA7E95" w:rsidRPr="00110677" w:rsidRDefault="00BA7E95" w:rsidP="00110677">
                  <w:pPr>
                    <w:shd w:val="clear" w:color="auto" w:fill="DBE5F1"/>
                    <w:jc w:val="center"/>
                    <w:rPr>
                      <w:color w:val="5F497A"/>
                      <w:sz w:val="32"/>
                    </w:rPr>
                  </w:pPr>
                </w:p>
              </w:txbxContent>
            </v:textbox>
          </v:shape>
        </w:pict>
      </w:r>
    </w:p>
    <w:p w:rsidR="00BA7E95" w:rsidRPr="00120B32" w:rsidRDefault="00BA7E95" w:rsidP="00C74DEB">
      <w:pPr>
        <w:jc w:val="center"/>
        <w:rPr>
          <w:b/>
          <w:color w:val="0033CC"/>
          <w:sz w:val="16"/>
          <w:szCs w:val="16"/>
        </w:rPr>
      </w:pPr>
    </w:p>
    <w:p w:rsidR="00BA7E95" w:rsidRDefault="004F7ACB" w:rsidP="00C74DEB">
      <w:pPr>
        <w:jc w:val="center"/>
      </w:pPr>
      <w:r>
        <w:rPr>
          <w:noProof/>
          <w:color w:val="0066FF"/>
          <w:lang w:eastAsia="cs-CZ"/>
        </w:rPr>
        <w:drawing>
          <wp:inline distT="0" distB="0" distL="0" distR="0">
            <wp:extent cx="6082665" cy="3776980"/>
            <wp:effectExtent l="0" t="0" r="0" b="0"/>
            <wp:docPr id="1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7E95" w:rsidRDefault="00BA7E95" w:rsidP="00C74DEB">
      <w:pPr>
        <w:jc w:val="center"/>
      </w:pPr>
    </w:p>
    <w:p w:rsidR="00BA7E95" w:rsidRDefault="00ED436F" w:rsidP="00C74DEB">
      <w:pPr>
        <w:jc w:val="center"/>
      </w:pPr>
      <w:r>
        <w:rPr>
          <w:noProof/>
          <w:lang w:eastAsia="cs-CZ"/>
        </w:rPr>
        <w:pict>
          <v:shape id="_x0000_s1028" type="#_x0000_t202" style="position:absolute;left:0;text-align:left;margin-left:6.05pt;margin-top:11.95pt;width:472.45pt;height:24.75pt;z-index:251660288" fillcolor="#e5dfec" stroked="f">
            <v:textbox style="mso-next-textbox:#_x0000_s1028" inset=",.3mm,,.3mm">
              <w:txbxContent>
                <w:p w:rsidR="00BA7E95" w:rsidRPr="00110677" w:rsidRDefault="00BA7E95" w:rsidP="00C74DEB">
                  <w:pPr>
                    <w:jc w:val="center"/>
                    <w:rPr>
                      <w:color w:val="5F497A"/>
                      <w:sz w:val="32"/>
                    </w:rPr>
                  </w:pPr>
                  <w:r w:rsidRPr="00110677">
                    <w:rPr>
                      <w:color w:val="5F497A"/>
                      <w:sz w:val="32"/>
                    </w:rPr>
                    <w:t>Úroveň komunikace zdravotně sociálních pracovníků s pacienty</w:t>
                  </w:r>
                </w:p>
                <w:p w:rsidR="00BA7E95" w:rsidRPr="00110677" w:rsidRDefault="00BA7E95" w:rsidP="00110677">
                  <w:pPr>
                    <w:shd w:val="clear" w:color="auto" w:fill="DBE5F1"/>
                    <w:jc w:val="center"/>
                    <w:rPr>
                      <w:color w:val="5F497A"/>
                      <w:sz w:val="36"/>
                    </w:rPr>
                  </w:pPr>
                </w:p>
              </w:txbxContent>
            </v:textbox>
          </v:shape>
        </w:pict>
      </w:r>
    </w:p>
    <w:p w:rsidR="00BA7E95" w:rsidRPr="00120B32" w:rsidRDefault="00BA7E95" w:rsidP="00C74DEB">
      <w:pPr>
        <w:jc w:val="center"/>
        <w:rPr>
          <w:sz w:val="16"/>
          <w:szCs w:val="16"/>
        </w:rPr>
      </w:pPr>
    </w:p>
    <w:p w:rsidR="00BA7E95" w:rsidRDefault="004F7ACB" w:rsidP="00C74DE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050915" cy="3713480"/>
            <wp:effectExtent l="0" t="0" r="0" b="0"/>
            <wp:docPr id="2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A7E95" w:rsidRDefault="00BA7E95" w:rsidP="00C74DEB">
      <w:pPr>
        <w:jc w:val="center"/>
      </w:pPr>
    </w:p>
    <w:p w:rsidR="00BA7E95" w:rsidRDefault="00ED436F" w:rsidP="00C74DEB">
      <w:pPr>
        <w:jc w:val="center"/>
      </w:pPr>
      <w:r>
        <w:rPr>
          <w:noProof/>
          <w:lang w:eastAsia="cs-CZ"/>
        </w:rPr>
        <w:lastRenderedPageBreak/>
        <w:pict>
          <v:shape id="_x0000_s1029" type="#_x0000_t202" style="position:absolute;left:0;text-align:left;margin-left:4.6pt;margin-top:12.9pt;width:472.45pt;height:24pt;z-index:251661312" fillcolor="#e5dfec" stroked="f">
            <v:textbox style="mso-next-textbox:#_x0000_s1029" inset=",.3mm,,.3mm">
              <w:txbxContent>
                <w:p w:rsidR="00BA7E95" w:rsidRPr="00110677" w:rsidRDefault="00BA7E95" w:rsidP="00C74DEB">
                  <w:pPr>
                    <w:jc w:val="center"/>
                    <w:rPr>
                      <w:color w:val="5F497A"/>
                      <w:sz w:val="32"/>
                    </w:rPr>
                  </w:pPr>
                  <w:r w:rsidRPr="00110677">
                    <w:rPr>
                      <w:color w:val="5F497A"/>
                      <w:sz w:val="32"/>
                    </w:rPr>
                    <w:t>Odborná úroveň poskytovaných rad a konzultací</w:t>
                  </w:r>
                </w:p>
                <w:p w:rsidR="00BA7E95" w:rsidRPr="00110677" w:rsidRDefault="00BA7E95" w:rsidP="00110677">
                  <w:pPr>
                    <w:shd w:val="clear" w:color="auto" w:fill="DBE5F1"/>
                    <w:jc w:val="center"/>
                    <w:rPr>
                      <w:color w:val="5F497A"/>
                      <w:sz w:val="32"/>
                    </w:rPr>
                  </w:pPr>
                </w:p>
              </w:txbxContent>
            </v:textbox>
          </v:shape>
        </w:pict>
      </w:r>
    </w:p>
    <w:p w:rsidR="00BA7E95" w:rsidRDefault="00BA7E95" w:rsidP="00C74DEB">
      <w:pPr>
        <w:jc w:val="center"/>
      </w:pPr>
    </w:p>
    <w:p w:rsidR="00BA7E95" w:rsidRDefault="004F7ACB" w:rsidP="00C74DE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170295" cy="3896360"/>
            <wp:effectExtent l="0" t="0" r="0" b="0"/>
            <wp:docPr id="3" name="Graf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7E95" w:rsidRDefault="00ED436F" w:rsidP="00C74DEB">
      <w:pPr>
        <w:jc w:val="center"/>
      </w:pPr>
      <w:r>
        <w:rPr>
          <w:noProof/>
          <w:lang w:eastAsia="cs-CZ"/>
        </w:rPr>
        <w:pict>
          <v:shape id="_x0000_s1030" type="#_x0000_t202" style="position:absolute;left:0;text-align:left;margin-left:4.6pt;margin-top:20.55pt;width:472.45pt;height:41.25pt;z-index:251662336" fillcolor="#e5dfec" stroked="f">
            <v:textbox style="mso-next-textbox:#_x0000_s1030" inset=",.3mm,,.3mm">
              <w:txbxContent>
                <w:p w:rsidR="00BA7E95" w:rsidRPr="00110677" w:rsidRDefault="00BA7E95" w:rsidP="00C74DEB">
                  <w:pPr>
                    <w:spacing w:line="240" w:lineRule="auto"/>
                    <w:jc w:val="center"/>
                    <w:rPr>
                      <w:color w:val="5F497A"/>
                      <w:sz w:val="32"/>
                    </w:rPr>
                  </w:pPr>
                  <w:r w:rsidRPr="00110677">
                    <w:rPr>
                      <w:color w:val="5F497A"/>
                      <w:sz w:val="32"/>
                    </w:rPr>
                    <w:t>Etická úroveň chování zdravotně sociální pracovnice - ochota, vstřícnost, vystupování</w:t>
                  </w:r>
                  <w:r w:rsidRPr="00110677">
                    <w:rPr>
                      <w:color w:val="5F497A"/>
                      <w:sz w:val="32"/>
                    </w:rPr>
                    <w:br/>
                    <w:t>a konzultací</w:t>
                  </w:r>
                </w:p>
                <w:p w:rsidR="00BA7E95" w:rsidRPr="00110677" w:rsidRDefault="00BA7E95" w:rsidP="00110677">
                  <w:pPr>
                    <w:shd w:val="clear" w:color="auto" w:fill="DBE5F1"/>
                    <w:jc w:val="center"/>
                    <w:rPr>
                      <w:color w:val="5F497A"/>
                      <w:sz w:val="32"/>
                    </w:rPr>
                  </w:pPr>
                </w:p>
              </w:txbxContent>
            </v:textbox>
          </v:shape>
        </w:pict>
      </w:r>
    </w:p>
    <w:p w:rsidR="00BA7E95" w:rsidRDefault="00BA7E95" w:rsidP="00C74DEB">
      <w:pPr>
        <w:jc w:val="center"/>
      </w:pPr>
    </w:p>
    <w:p w:rsidR="00BA7E95" w:rsidRDefault="00BA7E95" w:rsidP="00C74DEB">
      <w:pPr>
        <w:jc w:val="center"/>
      </w:pPr>
    </w:p>
    <w:p w:rsidR="00BA7E95" w:rsidRDefault="004F7ACB" w:rsidP="00C74DEB">
      <w:pPr>
        <w:jc w:val="center"/>
      </w:pPr>
      <w:r>
        <w:rPr>
          <w:noProof/>
          <w:color w:val="0066FF"/>
          <w:lang w:eastAsia="cs-CZ"/>
        </w:rPr>
        <w:drawing>
          <wp:inline distT="0" distB="0" distL="0" distR="0">
            <wp:extent cx="6082665" cy="3824605"/>
            <wp:effectExtent l="0" t="0" r="0" b="0"/>
            <wp:docPr id="4" name="Graf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7E95" w:rsidRDefault="00ED436F" w:rsidP="00C74DEB">
      <w:pPr>
        <w:jc w:val="center"/>
      </w:pPr>
      <w:r>
        <w:rPr>
          <w:noProof/>
          <w:lang w:eastAsia="cs-CZ"/>
        </w:rPr>
        <w:lastRenderedPageBreak/>
        <w:pict>
          <v:shape id="_x0000_s1031" type="#_x0000_t202" style="position:absolute;left:0;text-align:left;margin-left:7.65pt;margin-top:13.15pt;width:472.45pt;height:24.75pt;z-index:251663360" fillcolor="#e5dfec" stroked="f">
            <v:textbox style="mso-next-textbox:#_x0000_s1031" inset=",.3mm,,.3mm">
              <w:txbxContent>
                <w:p w:rsidR="00BA7E95" w:rsidRPr="00110677" w:rsidRDefault="00BA7E95" w:rsidP="00C74DEB">
                  <w:pPr>
                    <w:jc w:val="center"/>
                    <w:rPr>
                      <w:color w:val="5F497A"/>
                      <w:sz w:val="32"/>
                    </w:rPr>
                  </w:pPr>
                  <w:r w:rsidRPr="00110677">
                    <w:rPr>
                      <w:color w:val="5F497A"/>
                      <w:sz w:val="32"/>
                    </w:rPr>
                    <w:t>Rychlost vyřízení požadavku Sociálním oddělením</w:t>
                  </w:r>
                </w:p>
                <w:p w:rsidR="00BA7E95" w:rsidRPr="00110677" w:rsidRDefault="00BA7E95" w:rsidP="00110677">
                  <w:pPr>
                    <w:shd w:val="clear" w:color="auto" w:fill="DBE5F1"/>
                    <w:jc w:val="center"/>
                    <w:rPr>
                      <w:color w:val="5F497A"/>
                      <w:sz w:val="36"/>
                    </w:rPr>
                  </w:pPr>
                </w:p>
              </w:txbxContent>
            </v:textbox>
          </v:shape>
        </w:pict>
      </w:r>
    </w:p>
    <w:p w:rsidR="00BA7E95" w:rsidRDefault="00BA7E95" w:rsidP="00C74DEB">
      <w:pPr>
        <w:jc w:val="center"/>
      </w:pPr>
    </w:p>
    <w:p w:rsidR="00BA7E95" w:rsidRDefault="004F7ACB" w:rsidP="00C74DE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995035" cy="3713480"/>
            <wp:effectExtent l="0" t="0" r="0" b="0"/>
            <wp:docPr id="5" name="Graf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7E95" w:rsidRDefault="00BA7E95" w:rsidP="00C74DEB">
      <w:pPr>
        <w:jc w:val="center"/>
      </w:pPr>
    </w:p>
    <w:p w:rsidR="00BA7E95" w:rsidRDefault="00ED436F" w:rsidP="00C74DEB">
      <w:pPr>
        <w:jc w:val="center"/>
      </w:pPr>
      <w:r>
        <w:rPr>
          <w:noProof/>
          <w:lang w:eastAsia="cs-CZ"/>
        </w:rPr>
        <w:pict>
          <v:shape id="_x0000_s1032" type="#_x0000_t202" style="position:absolute;left:0;text-align:left;margin-left:7.65pt;margin-top:5.6pt;width:472.45pt;height:24.75pt;z-index:251664384" fillcolor="#e5dfec" stroked="f">
            <v:textbox style="mso-next-textbox:#_x0000_s1032" inset=",.3mm,,.3mm">
              <w:txbxContent>
                <w:p w:rsidR="00BA7E95" w:rsidRPr="00110677" w:rsidRDefault="00BA7E95" w:rsidP="00C74DEB">
                  <w:pPr>
                    <w:jc w:val="center"/>
                    <w:rPr>
                      <w:color w:val="5F497A"/>
                      <w:sz w:val="32"/>
                    </w:rPr>
                  </w:pPr>
                  <w:r w:rsidRPr="00110677">
                    <w:rPr>
                      <w:color w:val="5F497A"/>
                      <w:sz w:val="32"/>
                    </w:rPr>
                    <w:t>Dostupnost zdravotně sociální pracovnice (ZSP)</w:t>
                  </w:r>
                </w:p>
                <w:p w:rsidR="00BA7E95" w:rsidRPr="00110677" w:rsidRDefault="00BA7E95" w:rsidP="00110677">
                  <w:pPr>
                    <w:shd w:val="clear" w:color="auto" w:fill="DBE5F1"/>
                    <w:jc w:val="center"/>
                    <w:rPr>
                      <w:color w:val="5F497A"/>
                      <w:sz w:val="36"/>
                    </w:rPr>
                  </w:pPr>
                </w:p>
              </w:txbxContent>
            </v:textbox>
          </v:shape>
        </w:pict>
      </w:r>
    </w:p>
    <w:p w:rsidR="00BA7E95" w:rsidRPr="00955F34" w:rsidRDefault="00BA7E95" w:rsidP="00C74DEB">
      <w:pPr>
        <w:jc w:val="center"/>
        <w:rPr>
          <w:sz w:val="16"/>
          <w:szCs w:val="16"/>
        </w:rPr>
      </w:pPr>
    </w:p>
    <w:p w:rsidR="00BA7E95" w:rsidRDefault="004F7ACB" w:rsidP="00C74DE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995035" cy="3713480"/>
            <wp:effectExtent l="0" t="0" r="0" b="0"/>
            <wp:docPr id="6" name="Graf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7E95" w:rsidRDefault="00BA7E95" w:rsidP="00C74DEB">
      <w:pPr>
        <w:jc w:val="center"/>
      </w:pPr>
    </w:p>
    <w:p w:rsidR="00BA7E95" w:rsidRDefault="00ED436F" w:rsidP="00C74DEB">
      <w:pPr>
        <w:jc w:val="center"/>
      </w:pPr>
      <w:r>
        <w:rPr>
          <w:noProof/>
          <w:lang w:eastAsia="cs-CZ"/>
        </w:rPr>
        <w:lastRenderedPageBreak/>
        <w:pict>
          <v:shape id="_x0000_s1033" type="#_x0000_t202" style="position:absolute;left:0;text-align:left;margin-left:5.25pt;margin-top:9.2pt;width:472.45pt;height:24.75pt;z-index:251665408" fillcolor="#e5dfec" stroked="f">
            <v:textbox style="mso-next-textbox:#_x0000_s1033" inset=",.3mm,,.3mm">
              <w:txbxContent>
                <w:p w:rsidR="00BA7E95" w:rsidRPr="00110677" w:rsidRDefault="00BA7E95" w:rsidP="00C74DEB">
                  <w:pPr>
                    <w:jc w:val="center"/>
                    <w:rPr>
                      <w:color w:val="5F497A"/>
                      <w:sz w:val="32"/>
                    </w:rPr>
                  </w:pPr>
                  <w:r w:rsidRPr="00110677">
                    <w:rPr>
                      <w:color w:val="5F497A"/>
                      <w:sz w:val="32"/>
                    </w:rPr>
                    <w:t>Úroveň spolupráce ZSP s ošetřujícím personálem</w:t>
                  </w:r>
                </w:p>
                <w:p w:rsidR="00BA7E95" w:rsidRPr="00110677" w:rsidRDefault="00BA7E95" w:rsidP="00110677">
                  <w:pPr>
                    <w:shd w:val="clear" w:color="auto" w:fill="DBE5F1"/>
                    <w:jc w:val="center"/>
                    <w:rPr>
                      <w:color w:val="5F497A"/>
                      <w:sz w:val="36"/>
                    </w:rPr>
                  </w:pPr>
                </w:p>
              </w:txbxContent>
            </v:textbox>
          </v:shape>
        </w:pict>
      </w:r>
    </w:p>
    <w:p w:rsidR="00BA7E95" w:rsidRDefault="00BA7E95" w:rsidP="00C74DEB">
      <w:pPr>
        <w:jc w:val="center"/>
      </w:pPr>
    </w:p>
    <w:p w:rsidR="00BA7E95" w:rsidRPr="00C74DEB" w:rsidRDefault="004F7ACB" w:rsidP="00C74DE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995035" cy="3713480"/>
            <wp:effectExtent l="0" t="0" r="0" b="0"/>
            <wp:docPr id="7" name="Graf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7E95" w:rsidRDefault="00BA7E95" w:rsidP="00E471AF">
      <w:pPr>
        <w:pStyle w:val="Bezmezer"/>
        <w:rPr>
          <w:rFonts w:ascii="Arial" w:hAnsi="Arial" w:cs="Arial"/>
        </w:rPr>
      </w:pPr>
    </w:p>
    <w:p w:rsidR="00BA7E95" w:rsidRPr="005310F1" w:rsidRDefault="00BA7E95" w:rsidP="00726965">
      <w:pPr>
        <w:pStyle w:val="Bezmezer"/>
        <w:rPr>
          <w:rFonts w:ascii="Arial" w:hAnsi="Arial" w:cs="Arial"/>
          <w:b/>
          <w:color w:val="5F497A"/>
        </w:rPr>
      </w:pPr>
      <w:r w:rsidRPr="005310F1">
        <w:rPr>
          <w:rFonts w:ascii="Arial" w:hAnsi="Arial" w:cs="Arial"/>
          <w:b/>
          <w:color w:val="5F497A"/>
        </w:rPr>
        <w:t>Kladné hodnocení služeb</w:t>
      </w:r>
    </w:p>
    <w:p w:rsidR="00BA7E95" w:rsidRPr="005310F1" w:rsidRDefault="00BA7E95" w:rsidP="005310F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Slovně bylo pracovišti vyjádřeno 8 pochval. </w:t>
      </w:r>
      <w:r w:rsidRPr="005310F1">
        <w:rPr>
          <w:rFonts w:ascii="Arial" w:hAnsi="Arial" w:cs="Arial"/>
        </w:rPr>
        <w:t>V poděkování respondenti vyjadřovali vynikající spolupráci na vysoké odborné úrovni, vstřícnou a profesionální komunikaci, aktivitu při řešení sociální situace klientů (pacientů) k oboustranné spokojenosti.</w:t>
      </w:r>
    </w:p>
    <w:p w:rsidR="00BA7E95" w:rsidRDefault="00BA7E95" w:rsidP="00E471A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A7E95" w:rsidRPr="00E471AF" w:rsidRDefault="00BA7E95" w:rsidP="00E471AF">
      <w:pPr>
        <w:pStyle w:val="Bezmezer"/>
        <w:rPr>
          <w:rFonts w:ascii="Arial" w:hAnsi="Arial" w:cs="Arial"/>
        </w:rPr>
      </w:pPr>
    </w:p>
    <w:p w:rsidR="00BA7E95" w:rsidRPr="005310F1" w:rsidRDefault="00BA7E95" w:rsidP="005310F1">
      <w:pPr>
        <w:pStyle w:val="Bezmezer"/>
        <w:rPr>
          <w:rFonts w:ascii="Arial" w:hAnsi="Arial" w:cs="Arial"/>
          <w:b/>
          <w:color w:val="5F497A"/>
        </w:rPr>
      </w:pPr>
      <w:r w:rsidRPr="005310F1">
        <w:rPr>
          <w:rFonts w:ascii="Arial" w:hAnsi="Arial" w:cs="Arial"/>
          <w:b/>
          <w:color w:val="5F497A"/>
        </w:rPr>
        <w:t>Připomínky ke službám pracoviště</w:t>
      </w:r>
    </w:p>
    <w:p w:rsidR="00BA7E95" w:rsidRDefault="00BA7E95" w:rsidP="00D2023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Nebyly.</w:t>
      </w:r>
    </w:p>
    <w:p w:rsidR="00BA7E95" w:rsidRDefault="00BA7E95" w:rsidP="00D20237">
      <w:pPr>
        <w:pStyle w:val="Bezmezer"/>
        <w:rPr>
          <w:rFonts w:ascii="Arial" w:hAnsi="Arial" w:cs="Arial"/>
        </w:rPr>
      </w:pPr>
    </w:p>
    <w:p w:rsidR="00BA7E95" w:rsidRDefault="00BA7E95" w:rsidP="00D20237">
      <w:pPr>
        <w:pStyle w:val="Bezmezer"/>
        <w:rPr>
          <w:rFonts w:ascii="Arial" w:hAnsi="Arial" w:cs="Arial"/>
        </w:rPr>
      </w:pPr>
    </w:p>
    <w:p w:rsidR="00BA7E95" w:rsidRDefault="00BA7E95" w:rsidP="00D20237">
      <w:pPr>
        <w:pStyle w:val="Bezmezer"/>
        <w:rPr>
          <w:rFonts w:ascii="Arial" w:hAnsi="Arial" w:cs="Arial"/>
        </w:rPr>
      </w:pPr>
      <w:r w:rsidRPr="00135909">
        <w:rPr>
          <w:rFonts w:ascii="Arial" w:hAnsi="Arial" w:cs="Arial"/>
        </w:rPr>
        <w:t xml:space="preserve">Zadal: </w:t>
      </w:r>
      <w:r>
        <w:rPr>
          <w:rFonts w:ascii="Arial" w:hAnsi="Arial" w:cs="Arial"/>
        </w:rPr>
        <w:t>Mgr. Dana Balutová, vedoucí Sociálního oddělení FNOL</w:t>
      </w:r>
    </w:p>
    <w:p w:rsidR="00BA7E95" w:rsidRDefault="00BA7E95" w:rsidP="00D20237">
      <w:pPr>
        <w:pStyle w:val="Bezmezer"/>
        <w:rPr>
          <w:rFonts w:ascii="Arial" w:hAnsi="Arial" w:cs="Arial"/>
        </w:rPr>
      </w:pPr>
      <w:r w:rsidRPr="00135909">
        <w:rPr>
          <w:rFonts w:ascii="Arial" w:hAnsi="Arial" w:cs="Arial"/>
        </w:rPr>
        <w:t>Zpracoval</w:t>
      </w:r>
      <w:r>
        <w:rPr>
          <w:rFonts w:ascii="Arial" w:hAnsi="Arial" w:cs="Arial"/>
        </w:rPr>
        <w:t>i</w:t>
      </w:r>
      <w:r w:rsidRPr="00135909">
        <w:rPr>
          <w:rFonts w:ascii="Arial" w:hAnsi="Arial" w:cs="Arial"/>
        </w:rPr>
        <w:t>: Bc. Lada Čiklová</w:t>
      </w:r>
      <w:r>
        <w:rPr>
          <w:rFonts w:ascii="Arial" w:hAnsi="Arial" w:cs="Arial"/>
        </w:rPr>
        <w:t>, David Odehnal</w:t>
      </w:r>
      <w:r w:rsidRPr="00135909">
        <w:rPr>
          <w:rFonts w:ascii="Arial" w:hAnsi="Arial" w:cs="Arial"/>
        </w:rPr>
        <w:t>, Odbor kvality</w:t>
      </w:r>
      <w:r>
        <w:rPr>
          <w:rFonts w:ascii="Arial" w:hAnsi="Arial" w:cs="Arial"/>
        </w:rPr>
        <w:t xml:space="preserve"> FNOL</w:t>
      </w:r>
      <w:r w:rsidRPr="00135909">
        <w:rPr>
          <w:rFonts w:ascii="Arial" w:hAnsi="Arial" w:cs="Arial"/>
        </w:rPr>
        <w:t xml:space="preserve">, dne </w:t>
      </w:r>
      <w:r>
        <w:rPr>
          <w:rFonts w:ascii="Arial" w:hAnsi="Arial" w:cs="Arial"/>
        </w:rPr>
        <w:t>5</w:t>
      </w:r>
      <w:r w:rsidRPr="001359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</w:t>
      </w:r>
      <w:r w:rsidRPr="00135909">
        <w:rPr>
          <w:rFonts w:ascii="Arial" w:hAnsi="Arial" w:cs="Arial"/>
        </w:rPr>
        <w:t>. 201</w:t>
      </w:r>
      <w:r>
        <w:rPr>
          <w:rFonts w:ascii="Arial" w:hAnsi="Arial" w:cs="Arial"/>
        </w:rPr>
        <w:t>4</w:t>
      </w:r>
    </w:p>
    <w:p w:rsidR="00BA7E95" w:rsidRDefault="00BA7E95"/>
    <w:p w:rsidR="00BA7E95" w:rsidRDefault="00BA7E95"/>
    <w:p w:rsidR="00BA7E95" w:rsidRDefault="00BA7E95"/>
    <w:p w:rsidR="00BA7E95" w:rsidRDefault="00BA7E95"/>
    <w:p w:rsidR="00BA7E95" w:rsidRDefault="00BA7E95"/>
    <w:p w:rsidR="00BA7E95" w:rsidRDefault="00BA7E95"/>
    <w:p w:rsidR="00BA7E95" w:rsidRDefault="00BA7E95"/>
    <w:p w:rsidR="00BA7E95" w:rsidRDefault="00BA7E95"/>
    <w:p w:rsidR="00BA7E95" w:rsidRDefault="00BA7E95"/>
    <w:sectPr w:rsidR="00BA7E95" w:rsidSect="002A22C5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59" w:rsidRDefault="005B6159" w:rsidP="00940A74">
      <w:pPr>
        <w:spacing w:after="0" w:line="240" w:lineRule="auto"/>
      </w:pPr>
      <w:r>
        <w:separator/>
      </w:r>
    </w:p>
  </w:endnote>
  <w:endnote w:type="continuationSeparator" w:id="0">
    <w:p w:rsidR="005B6159" w:rsidRDefault="005B6159" w:rsidP="0094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59" w:rsidRDefault="005B6159" w:rsidP="00940A74">
      <w:pPr>
        <w:spacing w:after="0" w:line="240" w:lineRule="auto"/>
      </w:pPr>
      <w:r>
        <w:separator/>
      </w:r>
    </w:p>
  </w:footnote>
  <w:footnote w:type="continuationSeparator" w:id="0">
    <w:p w:rsidR="005B6159" w:rsidRDefault="005B6159" w:rsidP="00940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B53"/>
    <w:multiLevelType w:val="hybridMultilevel"/>
    <w:tmpl w:val="89B0B59C"/>
    <w:lvl w:ilvl="0" w:tplc="CF18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25D71"/>
    <w:multiLevelType w:val="hybridMultilevel"/>
    <w:tmpl w:val="1FBCC4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811F7"/>
    <w:multiLevelType w:val="hybridMultilevel"/>
    <w:tmpl w:val="89B0B59C"/>
    <w:lvl w:ilvl="0" w:tplc="CF18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DE72661"/>
    <w:multiLevelType w:val="hybridMultilevel"/>
    <w:tmpl w:val="486A6694"/>
    <w:lvl w:ilvl="0" w:tplc="9B28D7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516CB1"/>
    <w:multiLevelType w:val="hybridMultilevel"/>
    <w:tmpl w:val="89B0B59C"/>
    <w:lvl w:ilvl="0" w:tplc="CF18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2A40AE"/>
    <w:multiLevelType w:val="hybridMultilevel"/>
    <w:tmpl w:val="C5C8398E"/>
    <w:lvl w:ilvl="0" w:tplc="5002BC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7C"/>
    <w:rsid w:val="00006FEA"/>
    <w:rsid w:val="000C4A7C"/>
    <w:rsid w:val="001004C3"/>
    <w:rsid w:val="00110677"/>
    <w:rsid w:val="00115FC8"/>
    <w:rsid w:val="00120B32"/>
    <w:rsid w:val="00133D99"/>
    <w:rsid w:val="00135909"/>
    <w:rsid w:val="001C26C5"/>
    <w:rsid w:val="001D6D16"/>
    <w:rsid w:val="002717FA"/>
    <w:rsid w:val="002A22C5"/>
    <w:rsid w:val="002C0436"/>
    <w:rsid w:val="0031243A"/>
    <w:rsid w:val="0036639C"/>
    <w:rsid w:val="003A5DFB"/>
    <w:rsid w:val="003B1A9B"/>
    <w:rsid w:val="004269CB"/>
    <w:rsid w:val="00457F45"/>
    <w:rsid w:val="004621D4"/>
    <w:rsid w:val="00493E92"/>
    <w:rsid w:val="004A6903"/>
    <w:rsid w:val="004B1FA7"/>
    <w:rsid w:val="004D0DBB"/>
    <w:rsid w:val="004E417E"/>
    <w:rsid w:val="004F1418"/>
    <w:rsid w:val="004F4284"/>
    <w:rsid w:val="004F7ACB"/>
    <w:rsid w:val="00501E33"/>
    <w:rsid w:val="005079D4"/>
    <w:rsid w:val="005310F1"/>
    <w:rsid w:val="00590F47"/>
    <w:rsid w:val="005B6159"/>
    <w:rsid w:val="00627A60"/>
    <w:rsid w:val="00673532"/>
    <w:rsid w:val="006B15DC"/>
    <w:rsid w:val="006B4C43"/>
    <w:rsid w:val="00726965"/>
    <w:rsid w:val="0075588A"/>
    <w:rsid w:val="00797635"/>
    <w:rsid w:val="00802E41"/>
    <w:rsid w:val="008139CF"/>
    <w:rsid w:val="00857CC7"/>
    <w:rsid w:val="00877396"/>
    <w:rsid w:val="008C0508"/>
    <w:rsid w:val="008E4FAC"/>
    <w:rsid w:val="00940A74"/>
    <w:rsid w:val="00955F34"/>
    <w:rsid w:val="009A34DE"/>
    <w:rsid w:val="009A634B"/>
    <w:rsid w:val="009B7F26"/>
    <w:rsid w:val="009C0204"/>
    <w:rsid w:val="009C66CF"/>
    <w:rsid w:val="00A05793"/>
    <w:rsid w:val="00A33641"/>
    <w:rsid w:val="00AD40A1"/>
    <w:rsid w:val="00AD4488"/>
    <w:rsid w:val="00B239FB"/>
    <w:rsid w:val="00B362D8"/>
    <w:rsid w:val="00B7797E"/>
    <w:rsid w:val="00B81C79"/>
    <w:rsid w:val="00B91195"/>
    <w:rsid w:val="00BA7E95"/>
    <w:rsid w:val="00BB4936"/>
    <w:rsid w:val="00BC0052"/>
    <w:rsid w:val="00BD0B0C"/>
    <w:rsid w:val="00C0665E"/>
    <w:rsid w:val="00C532DF"/>
    <w:rsid w:val="00C74DEB"/>
    <w:rsid w:val="00D20237"/>
    <w:rsid w:val="00D20CC0"/>
    <w:rsid w:val="00D369BA"/>
    <w:rsid w:val="00DC06DB"/>
    <w:rsid w:val="00E471AF"/>
    <w:rsid w:val="00E84E26"/>
    <w:rsid w:val="00ED436F"/>
    <w:rsid w:val="00EF532E"/>
    <w:rsid w:val="00F05BF0"/>
    <w:rsid w:val="00F37788"/>
    <w:rsid w:val="00F95D9B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CC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0C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C4A7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4E417E"/>
    <w:rPr>
      <w:lang w:eastAsia="en-US"/>
    </w:rPr>
  </w:style>
  <w:style w:type="paragraph" w:styleId="Zhlav">
    <w:name w:val="header"/>
    <w:basedOn w:val="Normln"/>
    <w:link w:val="ZhlavChar"/>
    <w:uiPriority w:val="99"/>
    <w:semiHidden/>
    <w:rsid w:val="0094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0A74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940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0A74"/>
    <w:rPr>
      <w:rFonts w:cs="Times New Roman"/>
    </w:rPr>
  </w:style>
  <w:style w:type="table" w:styleId="Mkatabulky">
    <w:name w:val="Table Grid"/>
    <w:basedOn w:val="Normlntabulka"/>
    <w:uiPriority w:val="99"/>
    <w:rsid w:val="00E471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Se_it_aplikace_Microsoft_Office_Excel_2007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Se_it_aplikace_Microsoft_Office_Excel_2007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Se_it_aplikace_Microsoft_Office_Excel_2007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Se_it_aplikace_Microsoft_Office_Excel_2007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Se_it_aplikace_Microsoft_Office_Excel_2007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Se_it_aplikace_Microsoft_Office_Excel_2007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Se_it_aplikace_Microsoft_Office_Excel_2007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6"/>
  <c:chart>
    <c:autoTitleDeleted val="1"/>
    <c:plotArea>
      <c:layout>
        <c:manualLayout>
          <c:layoutTarget val="inner"/>
          <c:xMode val="edge"/>
          <c:yMode val="edge"/>
          <c:x val="9.3636685870882558E-2"/>
          <c:y val="2.1769283707841244E-2"/>
          <c:w val="0.89497861863085371"/>
          <c:h val="0.86785490358934425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Úroveň komunikace s personálem Sociálního oddělení</c:v>
                </c:pt>
              </c:strCache>
            </c:strRef>
          </c:tx>
          <c:dLbls>
            <c:spPr>
              <a:noFill/>
              <a:ln w="25381">
                <a:noFill/>
              </a:ln>
            </c:spPr>
            <c:showVal val="1"/>
          </c:dLbls>
          <c:cat>
            <c:strRef>
              <c:f>List1!$A$2:$A$6</c:f>
              <c:strCache>
                <c:ptCount val="5"/>
                <c:pt idx="0">
                  <c:v>výborná</c:v>
                </c:pt>
                <c:pt idx="1">
                  <c:v>chvalitebná</c:v>
                </c:pt>
                <c:pt idx="2">
                  <c:v>dobrá</c:v>
                </c:pt>
                <c:pt idx="3">
                  <c:v>uspokojivá</c:v>
                </c:pt>
                <c:pt idx="4">
                  <c:v>neuspokojivá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52322432"/>
        <c:axId val="152323968"/>
      </c:barChart>
      <c:catAx>
        <c:axId val="152322432"/>
        <c:scaling>
          <c:orientation val="minMax"/>
        </c:scaling>
        <c:axPos val="b"/>
        <c:numFmt formatCode="General" sourceLinked="1"/>
        <c:tickLblPos val="nextTo"/>
        <c:crossAx val="152323968"/>
        <c:crosses val="autoZero"/>
        <c:auto val="1"/>
        <c:lblAlgn val="ctr"/>
        <c:lblOffset val="100"/>
      </c:catAx>
      <c:valAx>
        <c:axId val="152323968"/>
        <c:scaling>
          <c:orientation val="minMax"/>
          <c:max val="1.1000000000000001"/>
          <c:min val="0"/>
        </c:scaling>
        <c:axPos val="l"/>
        <c:majorGridlines/>
        <c:numFmt formatCode="0%" sourceLinked="1"/>
        <c:tickLblPos val="nextTo"/>
        <c:crossAx val="15232243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6"/>
  <c:chart>
    <c:autoTitleDeleted val="1"/>
    <c:plotArea>
      <c:layout>
        <c:manualLayout>
          <c:layoutTarget val="inner"/>
          <c:xMode val="edge"/>
          <c:yMode val="edge"/>
          <c:x val="9.151036111980812E-2"/>
          <c:y val="4.230676453822544E-2"/>
          <c:w val="0.89497861863085371"/>
          <c:h val="0.86785490358934458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Úroveň komunikace s personálem Sociálního oddělení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Lbls>
            <c:spPr>
              <a:noFill/>
              <a:ln w="25363">
                <a:noFill/>
              </a:ln>
            </c:spPr>
            <c:showVal val="1"/>
          </c:dLbls>
          <c:cat>
            <c:strRef>
              <c:f>List1!$A$2:$A$6</c:f>
              <c:strCache>
                <c:ptCount val="5"/>
                <c:pt idx="0">
                  <c:v>výborná</c:v>
                </c:pt>
                <c:pt idx="1">
                  <c:v>chvalitebná</c:v>
                </c:pt>
                <c:pt idx="2">
                  <c:v>dobrá</c:v>
                </c:pt>
                <c:pt idx="3">
                  <c:v>uspokojivá</c:v>
                </c:pt>
                <c:pt idx="4">
                  <c:v>neuspokojivá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0.98</c:v>
                </c:pt>
                <c:pt idx="1">
                  <c:v>2.0000000000000007E-2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26735872"/>
        <c:axId val="126737408"/>
      </c:barChart>
      <c:catAx>
        <c:axId val="126735872"/>
        <c:scaling>
          <c:orientation val="minMax"/>
        </c:scaling>
        <c:axPos val="b"/>
        <c:numFmt formatCode="General" sourceLinked="1"/>
        <c:tickLblPos val="nextTo"/>
        <c:crossAx val="126737408"/>
        <c:crosses val="autoZero"/>
        <c:auto val="1"/>
        <c:lblAlgn val="ctr"/>
        <c:lblOffset val="100"/>
      </c:catAx>
      <c:valAx>
        <c:axId val="126737408"/>
        <c:scaling>
          <c:orientation val="minMax"/>
          <c:max val="1.1000000000000001"/>
          <c:min val="0"/>
        </c:scaling>
        <c:axPos val="l"/>
        <c:majorGridlines/>
        <c:numFmt formatCode="0%" sourceLinked="1"/>
        <c:tickLblPos val="nextTo"/>
        <c:crossAx val="126735872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6"/>
  <c:chart>
    <c:autoTitleDeleted val="1"/>
    <c:plotArea>
      <c:layout>
        <c:manualLayout>
          <c:layoutTarget val="inner"/>
          <c:xMode val="edge"/>
          <c:yMode val="edge"/>
          <c:x val="9.3636685870882752E-2"/>
          <c:y val="2.1769283707841244E-2"/>
          <c:w val="0.89497861863085415"/>
          <c:h val="0.86785490358934514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Úroveň komunikace s personálem Sociálního oddělení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Lbls>
            <c:spPr>
              <a:noFill/>
              <a:ln w="25403">
                <a:noFill/>
              </a:ln>
            </c:spPr>
            <c:showVal val="1"/>
          </c:dLbls>
          <c:cat>
            <c:strRef>
              <c:f>List1!$A$2:$A$6</c:f>
              <c:strCache>
                <c:ptCount val="5"/>
                <c:pt idx="0">
                  <c:v>výborná</c:v>
                </c:pt>
                <c:pt idx="1">
                  <c:v>chvalitebná</c:v>
                </c:pt>
                <c:pt idx="2">
                  <c:v>dobrá</c:v>
                </c:pt>
                <c:pt idx="3">
                  <c:v>uspokojivá</c:v>
                </c:pt>
                <c:pt idx="4">
                  <c:v>neuspokojivá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0.98</c:v>
                </c:pt>
                <c:pt idx="1">
                  <c:v>2.0000000000000007E-2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238819968"/>
        <c:axId val="240517504"/>
      </c:barChart>
      <c:catAx>
        <c:axId val="238819968"/>
        <c:scaling>
          <c:orientation val="minMax"/>
        </c:scaling>
        <c:axPos val="b"/>
        <c:numFmt formatCode="General" sourceLinked="1"/>
        <c:tickLblPos val="nextTo"/>
        <c:crossAx val="240517504"/>
        <c:crosses val="autoZero"/>
        <c:auto val="1"/>
        <c:lblAlgn val="ctr"/>
        <c:lblOffset val="100"/>
      </c:catAx>
      <c:valAx>
        <c:axId val="240517504"/>
        <c:scaling>
          <c:orientation val="minMax"/>
          <c:max val="1.1000000000000001"/>
          <c:min val="0"/>
        </c:scaling>
        <c:axPos val="l"/>
        <c:majorGridlines/>
        <c:numFmt formatCode="0%" sourceLinked="1"/>
        <c:tickLblPos val="nextTo"/>
        <c:crossAx val="238819968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6"/>
  <c:chart>
    <c:autoTitleDeleted val="1"/>
    <c:plotArea>
      <c:layout>
        <c:manualLayout>
          <c:layoutTarget val="inner"/>
          <c:xMode val="edge"/>
          <c:yMode val="edge"/>
          <c:x val="9.3636685870882752E-2"/>
          <c:y val="2.1769283707841244E-2"/>
          <c:w val="0.89497861863085415"/>
          <c:h val="0.86785490358934514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Úroveň komunikace s personálem Sociálního oddělení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Lbls>
            <c:spPr>
              <a:noFill/>
              <a:ln w="25373">
                <a:noFill/>
              </a:ln>
            </c:spPr>
            <c:showVal val="1"/>
          </c:dLbls>
          <c:cat>
            <c:strRef>
              <c:f>List1!$A$2:$A$6</c:f>
              <c:strCache>
                <c:ptCount val="5"/>
                <c:pt idx="0">
                  <c:v>výborná</c:v>
                </c:pt>
                <c:pt idx="1">
                  <c:v>chvalitebná</c:v>
                </c:pt>
                <c:pt idx="2">
                  <c:v>dobrá</c:v>
                </c:pt>
                <c:pt idx="3">
                  <c:v>uspokojivá</c:v>
                </c:pt>
                <c:pt idx="4">
                  <c:v>neuspokojivá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0.98</c:v>
                </c:pt>
                <c:pt idx="1">
                  <c:v>2.0000000000000007E-2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216674304"/>
        <c:axId val="216675840"/>
      </c:barChart>
      <c:catAx>
        <c:axId val="216674304"/>
        <c:scaling>
          <c:orientation val="minMax"/>
        </c:scaling>
        <c:axPos val="b"/>
        <c:numFmt formatCode="General" sourceLinked="1"/>
        <c:tickLblPos val="nextTo"/>
        <c:crossAx val="216675840"/>
        <c:crosses val="autoZero"/>
        <c:auto val="1"/>
        <c:lblAlgn val="ctr"/>
        <c:lblOffset val="100"/>
      </c:catAx>
      <c:valAx>
        <c:axId val="216675840"/>
        <c:scaling>
          <c:orientation val="minMax"/>
          <c:max val="1.1000000000000001"/>
          <c:min val="0"/>
        </c:scaling>
        <c:axPos val="l"/>
        <c:majorGridlines/>
        <c:numFmt formatCode="0%" sourceLinked="1"/>
        <c:tickLblPos val="nextTo"/>
        <c:crossAx val="216674304"/>
        <c:crosses val="autoZero"/>
        <c:crossBetween val="between"/>
      </c:val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6"/>
  <c:chart>
    <c:autoTitleDeleted val="1"/>
    <c:plotArea>
      <c:layout>
        <c:manualLayout>
          <c:layoutTarget val="inner"/>
          <c:xMode val="edge"/>
          <c:yMode val="edge"/>
          <c:x val="9.3636685870882821E-2"/>
          <c:y val="2.1769283707841244E-2"/>
          <c:w val="0.89497861863085448"/>
          <c:h val="0.86785490358934536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Úroveň komunikace s personálem Sociálního oddělení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Lbls>
            <c:spPr>
              <a:noFill/>
              <a:ln w="25363">
                <a:noFill/>
              </a:ln>
            </c:spPr>
            <c:showVal val="1"/>
          </c:dLbls>
          <c:cat>
            <c:strRef>
              <c:f>List1!$A$2:$A$6</c:f>
              <c:strCache>
                <c:ptCount val="5"/>
                <c:pt idx="0">
                  <c:v>výborná</c:v>
                </c:pt>
                <c:pt idx="1">
                  <c:v>chvalitebná</c:v>
                </c:pt>
                <c:pt idx="2">
                  <c:v>dobrá</c:v>
                </c:pt>
                <c:pt idx="3">
                  <c:v>uspokojivá</c:v>
                </c:pt>
                <c:pt idx="4">
                  <c:v>neuspokojivá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0.98</c:v>
                </c:pt>
                <c:pt idx="1">
                  <c:v>2.0000000000000007E-2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243676288"/>
        <c:axId val="243677824"/>
      </c:barChart>
      <c:catAx>
        <c:axId val="243676288"/>
        <c:scaling>
          <c:orientation val="minMax"/>
        </c:scaling>
        <c:axPos val="b"/>
        <c:numFmt formatCode="General" sourceLinked="1"/>
        <c:tickLblPos val="nextTo"/>
        <c:crossAx val="243677824"/>
        <c:crosses val="autoZero"/>
        <c:auto val="1"/>
        <c:lblAlgn val="ctr"/>
        <c:lblOffset val="100"/>
      </c:catAx>
      <c:valAx>
        <c:axId val="243677824"/>
        <c:scaling>
          <c:orientation val="minMax"/>
          <c:max val="1.1000000000000001"/>
          <c:min val="0"/>
        </c:scaling>
        <c:axPos val="l"/>
        <c:majorGridlines/>
        <c:numFmt formatCode="0%" sourceLinked="1"/>
        <c:tickLblPos val="nextTo"/>
        <c:crossAx val="243676288"/>
        <c:crosses val="autoZero"/>
        <c:crossBetween val="between"/>
      </c:val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6"/>
  <c:chart>
    <c:autoTitleDeleted val="1"/>
    <c:plotArea>
      <c:layout>
        <c:manualLayout>
          <c:layoutTarget val="inner"/>
          <c:xMode val="edge"/>
          <c:yMode val="edge"/>
          <c:x val="9.3636685870882891E-2"/>
          <c:y val="2.1769283707841244E-2"/>
          <c:w val="0.89497861863085482"/>
          <c:h val="0.86785490358934581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Úroveň komunikace s personálem Sociálního oddělení</c:v>
                </c:pt>
              </c:strCache>
            </c:strRef>
          </c:tx>
          <c:dLbls>
            <c:spPr>
              <a:noFill/>
              <a:ln w="25363">
                <a:noFill/>
              </a:ln>
            </c:spPr>
            <c:showVal val="1"/>
          </c:dLbls>
          <c:cat>
            <c:strRef>
              <c:f>List1!$A$2:$A$6</c:f>
              <c:strCache>
                <c:ptCount val="5"/>
                <c:pt idx="0">
                  <c:v>výborná</c:v>
                </c:pt>
                <c:pt idx="1">
                  <c:v>chvalitebná</c:v>
                </c:pt>
                <c:pt idx="2">
                  <c:v>dobrá</c:v>
                </c:pt>
                <c:pt idx="3">
                  <c:v>uspokojivá</c:v>
                </c:pt>
                <c:pt idx="4">
                  <c:v>neuspokojivá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97208192"/>
        <c:axId val="97209728"/>
      </c:barChart>
      <c:catAx>
        <c:axId val="97208192"/>
        <c:scaling>
          <c:orientation val="minMax"/>
        </c:scaling>
        <c:axPos val="b"/>
        <c:numFmt formatCode="General" sourceLinked="1"/>
        <c:tickLblPos val="nextTo"/>
        <c:crossAx val="97209728"/>
        <c:crosses val="autoZero"/>
        <c:auto val="1"/>
        <c:lblAlgn val="ctr"/>
        <c:lblOffset val="100"/>
      </c:catAx>
      <c:valAx>
        <c:axId val="97209728"/>
        <c:scaling>
          <c:orientation val="minMax"/>
          <c:max val="1.1000000000000001"/>
          <c:min val="0"/>
        </c:scaling>
        <c:axPos val="l"/>
        <c:majorGridlines/>
        <c:numFmt formatCode="0%" sourceLinked="1"/>
        <c:tickLblPos val="nextTo"/>
        <c:crossAx val="97208192"/>
        <c:crosses val="autoZero"/>
        <c:crossBetween val="between"/>
      </c:valAx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6"/>
  <c:chart>
    <c:autoTitleDeleted val="1"/>
    <c:plotArea>
      <c:layout>
        <c:manualLayout>
          <c:layoutTarget val="inner"/>
          <c:xMode val="edge"/>
          <c:yMode val="edge"/>
          <c:x val="9.3636685870882974E-2"/>
          <c:y val="2.1769283707841244E-2"/>
          <c:w val="0.89497861863085515"/>
          <c:h val="0.86785490358934603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Úroveň komunikace s personálem Sociálního oddělení</c:v>
                </c:pt>
              </c:strCache>
            </c:strRef>
          </c:tx>
          <c:dLbls>
            <c:spPr>
              <a:noFill/>
              <a:ln w="25363">
                <a:noFill/>
              </a:ln>
            </c:spPr>
            <c:showVal val="1"/>
          </c:dLbls>
          <c:cat>
            <c:strRef>
              <c:f>List1!$A$2:$A$6</c:f>
              <c:strCache>
                <c:ptCount val="5"/>
                <c:pt idx="0">
                  <c:v>výborná</c:v>
                </c:pt>
                <c:pt idx="1">
                  <c:v>chvalitebná</c:v>
                </c:pt>
                <c:pt idx="2">
                  <c:v>dobrá</c:v>
                </c:pt>
                <c:pt idx="3">
                  <c:v>uspokojivá</c:v>
                </c:pt>
                <c:pt idx="4">
                  <c:v>neuspokojivá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244017792"/>
        <c:axId val="244023680"/>
      </c:barChart>
      <c:catAx>
        <c:axId val="244017792"/>
        <c:scaling>
          <c:orientation val="minMax"/>
        </c:scaling>
        <c:axPos val="b"/>
        <c:numFmt formatCode="General" sourceLinked="1"/>
        <c:tickLblPos val="nextTo"/>
        <c:crossAx val="244023680"/>
        <c:crosses val="autoZero"/>
        <c:auto val="1"/>
        <c:lblAlgn val="ctr"/>
        <c:lblOffset val="100"/>
      </c:catAx>
      <c:valAx>
        <c:axId val="244023680"/>
        <c:scaling>
          <c:orientation val="minMax"/>
          <c:max val="1.1000000000000001"/>
          <c:min val="0"/>
        </c:scaling>
        <c:axPos val="l"/>
        <c:majorGridlines/>
        <c:numFmt formatCode="0%" sourceLinked="1"/>
        <c:tickLblPos val="nextTo"/>
        <c:crossAx val="244017792"/>
        <c:crosses val="autoZero"/>
        <c:crossBetween val="between"/>
      </c:val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289</Words>
  <Characters>1709</Characters>
  <Application>Microsoft Office Word</Application>
  <DocSecurity>0</DocSecurity>
  <Lines>14</Lines>
  <Paragraphs>3</Paragraphs>
  <ScaleCrop>false</ScaleCrop>
  <Company>FNOL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63838</dc:creator>
  <cp:lastModifiedBy>60063</cp:lastModifiedBy>
  <cp:revision>3</cp:revision>
  <cp:lastPrinted>2014-02-05T13:18:00Z</cp:lastPrinted>
  <dcterms:created xsi:type="dcterms:W3CDTF">2014-02-05T13:16:00Z</dcterms:created>
  <dcterms:modified xsi:type="dcterms:W3CDTF">2014-02-05T13:19:00Z</dcterms:modified>
</cp:coreProperties>
</file>