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4E" w:rsidRDefault="00B41B86" w:rsidP="00B41B86">
      <w:pPr>
        <w:keepNext/>
        <w:tabs>
          <w:tab w:val="left" w:pos="1545"/>
          <w:tab w:val="center" w:pos="4536"/>
        </w:tabs>
        <w:spacing w:after="0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9E424E" w:rsidRPr="009E424E" w:rsidRDefault="009E424E" w:rsidP="009E424E">
      <w:pPr>
        <w:tabs>
          <w:tab w:val="left" w:pos="708"/>
          <w:tab w:val="center" w:pos="4536"/>
          <w:tab w:val="right" w:pos="9072"/>
        </w:tabs>
        <w:spacing w:after="0" w:line="300" w:lineRule="exact"/>
        <w:jc w:val="center"/>
        <w:rPr>
          <w:rFonts w:ascii="Arial" w:hAnsi="Arial" w:cs="Arial"/>
          <w:noProof/>
          <w:sz w:val="28"/>
          <w:szCs w:val="24"/>
          <w:lang/>
        </w:rPr>
      </w:pPr>
      <w:r w:rsidRPr="009E424E">
        <w:rPr>
          <w:rFonts w:ascii="Arial" w:hAnsi="Arial" w:cs="Arial"/>
          <w:noProof/>
          <w:sz w:val="28"/>
          <w:szCs w:val="24"/>
          <w:lang/>
        </w:rPr>
        <w:t>MINISTERSTVO ZDRAVOTNICTVÍ</w:t>
      </w:r>
    </w:p>
    <w:p w:rsidR="009E424E" w:rsidRPr="009E424E" w:rsidRDefault="009E424E" w:rsidP="009E424E">
      <w:pPr>
        <w:tabs>
          <w:tab w:val="left" w:pos="708"/>
          <w:tab w:val="center" w:pos="4536"/>
          <w:tab w:val="right" w:pos="9072"/>
        </w:tabs>
        <w:spacing w:after="0" w:line="300" w:lineRule="exact"/>
        <w:jc w:val="center"/>
        <w:rPr>
          <w:rFonts w:ascii="Arial" w:hAnsi="Arial" w:cs="Arial"/>
          <w:noProof/>
          <w:sz w:val="28"/>
          <w:szCs w:val="24"/>
          <w:lang/>
        </w:rPr>
      </w:pPr>
      <w:r w:rsidRPr="009E424E">
        <w:rPr>
          <w:rFonts w:ascii="Arial" w:hAnsi="Arial" w:cs="Arial"/>
          <w:noProof/>
          <w:sz w:val="28"/>
          <w:szCs w:val="24"/>
          <w:lang/>
        </w:rPr>
        <w:t>ČESKÉ REPUBLIKY</w:t>
      </w:r>
    </w:p>
    <w:p w:rsidR="009E424E" w:rsidRPr="009E424E" w:rsidRDefault="009E424E" w:rsidP="009E424E">
      <w:pPr>
        <w:tabs>
          <w:tab w:val="left" w:pos="708"/>
          <w:tab w:val="center" w:pos="4536"/>
          <w:tab w:val="right" w:pos="9072"/>
        </w:tabs>
        <w:spacing w:after="0" w:line="300" w:lineRule="exact"/>
        <w:jc w:val="center"/>
        <w:rPr>
          <w:rFonts w:ascii="Arial" w:hAnsi="Arial" w:cs="Arial"/>
          <w:noProof/>
          <w:sz w:val="28"/>
          <w:szCs w:val="24"/>
          <w:lang/>
        </w:rPr>
      </w:pPr>
    </w:p>
    <w:p w:rsidR="009E424E" w:rsidRPr="009E424E" w:rsidRDefault="009E424E" w:rsidP="009E424E">
      <w:pPr>
        <w:tabs>
          <w:tab w:val="left" w:pos="708"/>
          <w:tab w:val="center" w:pos="4536"/>
          <w:tab w:val="right" w:pos="9072"/>
        </w:tabs>
        <w:spacing w:after="0" w:line="300" w:lineRule="exact"/>
        <w:jc w:val="center"/>
        <w:rPr>
          <w:rFonts w:ascii="Arial" w:hAnsi="Arial" w:cs="Arial"/>
          <w:noProof/>
          <w:sz w:val="28"/>
          <w:szCs w:val="24"/>
          <w:lang/>
        </w:rPr>
      </w:pPr>
    </w:p>
    <w:p w:rsidR="009E424E" w:rsidRPr="009E424E" w:rsidRDefault="009E424E" w:rsidP="009E424E">
      <w:pPr>
        <w:tabs>
          <w:tab w:val="left" w:pos="708"/>
          <w:tab w:val="center" w:pos="4536"/>
          <w:tab w:val="right" w:pos="9072"/>
        </w:tabs>
        <w:spacing w:after="0" w:line="300" w:lineRule="exact"/>
        <w:rPr>
          <w:rFonts w:ascii="Arial" w:hAnsi="Arial" w:cs="Arial"/>
          <w:noProof/>
          <w:sz w:val="28"/>
          <w:szCs w:val="24"/>
          <w:lang/>
        </w:rPr>
      </w:pPr>
    </w:p>
    <w:p w:rsidR="009E424E" w:rsidRPr="009E424E" w:rsidRDefault="009E424E" w:rsidP="009E424E">
      <w:pPr>
        <w:tabs>
          <w:tab w:val="left" w:pos="708"/>
          <w:tab w:val="center" w:pos="4536"/>
          <w:tab w:val="right" w:pos="9072"/>
        </w:tabs>
        <w:spacing w:after="0" w:line="300" w:lineRule="exact"/>
        <w:jc w:val="center"/>
        <w:rPr>
          <w:rFonts w:ascii="Arial" w:hAnsi="Arial" w:cs="Arial"/>
          <w:noProof/>
          <w:sz w:val="28"/>
          <w:szCs w:val="24"/>
          <w:lang/>
        </w:rPr>
      </w:pPr>
    </w:p>
    <w:p w:rsidR="009E424E" w:rsidRPr="009E424E" w:rsidRDefault="00611818" w:rsidP="009E424E">
      <w:pPr>
        <w:keepNext/>
        <w:spacing w:before="240" w:after="60" w:line="300" w:lineRule="exact"/>
        <w:jc w:val="center"/>
        <w:outlineLvl w:val="1"/>
        <w:rPr>
          <w:rFonts w:ascii="Arial" w:hAnsi="Arial" w:cs="Arial"/>
          <w:b/>
          <w:bCs/>
          <w:iCs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noProof/>
          <w:sz w:val="28"/>
          <w:szCs w:val="28"/>
        </w:rPr>
        <w:t>METODIKA</w:t>
      </w:r>
    </w:p>
    <w:p w:rsidR="009E424E" w:rsidRPr="009E424E" w:rsidRDefault="009E424E" w:rsidP="009E424E">
      <w:pPr>
        <w:spacing w:after="0" w:line="300" w:lineRule="exact"/>
        <w:jc w:val="center"/>
        <w:rPr>
          <w:rFonts w:ascii="Arial" w:hAnsi="Arial" w:cs="Arial"/>
          <w:b/>
          <w:bCs/>
          <w:noProof/>
          <w:sz w:val="28"/>
          <w:szCs w:val="24"/>
        </w:rPr>
      </w:pPr>
    </w:p>
    <w:p w:rsidR="009E424E" w:rsidRPr="009E424E" w:rsidRDefault="009E424E" w:rsidP="009E424E">
      <w:pPr>
        <w:spacing w:after="0" w:line="300" w:lineRule="exact"/>
        <w:jc w:val="center"/>
        <w:rPr>
          <w:rFonts w:ascii="Arial" w:hAnsi="Arial" w:cs="Arial"/>
          <w:noProof/>
          <w:sz w:val="36"/>
          <w:szCs w:val="24"/>
        </w:rPr>
      </w:pPr>
    </w:p>
    <w:p w:rsidR="009E424E" w:rsidRPr="009E424E" w:rsidRDefault="009E424E" w:rsidP="009E424E">
      <w:pPr>
        <w:spacing w:after="0" w:line="300" w:lineRule="exact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:rsidR="009E424E" w:rsidRPr="009E424E" w:rsidRDefault="009E424E" w:rsidP="009E424E">
      <w:pPr>
        <w:spacing w:after="0" w:line="300" w:lineRule="exact"/>
        <w:jc w:val="center"/>
        <w:rPr>
          <w:rFonts w:ascii="Arial" w:hAnsi="Arial" w:cs="Arial"/>
          <w:noProof/>
          <w:sz w:val="36"/>
          <w:szCs w:val="24"/>
        </w:rPr>
      </w:pPr>
    </w:p>
    <w:p w:rsidR="009E424E" w:rsidRPr="009E424E" w:rsidRDefault="009E424E" w:rsidP="009E424E">
      <w:pPr>
        <w:spacing w:after="0" w:line="300" w:lineRule="exact"/>
        <w:jc w:val="center"/>
        <w:rPr>
          <w:rFonts w:ascii="Arial" w:hAnsi="Arial" w:cs="Arial"/>
          <w:noProof/>
          <w:sz w:val="28"/>
          <w:szCs w:val="24"/>
        </w:rPr>
      </w:pPr>
    </w:p>
    <w:p w:rsidR="009E424E" w:rsidRPr="009E424E" w:rsidRDefault="005810B2" w:rsidP="00154A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Cs/>
          <w:noProof/>
          <w:szCs w:val="24"/>
        </w:rPr>
      </w:pPr>
      <w:bookmarkStart w:id="1" w:name="_Hlk527115159"/>
      <w:r>
        <w:rPr>
          <w:rFonts w:ascii="Arial" w:hAnsi="Arial"/>
          <w:b/>
          <w:bCs/>
          <w:sz w:val="28"/>
          <w:szCs w:val="24"/>
          <w:lang/>
        </w:rPr>
        <w:t>Z</w:t>
      </w:r>
      <w:r w:rsidR="00615CCB">
        <w:rPr>
          <w:rFonts w:ascii="Arial" w:hAnsi="Arial"/>
          <w:b/>
          <w:bCs/>
          <w:sz w:val="28"/>
          <w:szCs w:val="24"/>
          <w:lang/>
        </w:rPr>
        <w:t>ásady</w:t>
      </w:r>
      <w:r w:rsidR="00A30D60">
        <w:rPr>
          <w:rFonts w:ascii="Arial" w:hAnsi="Arial"/>
          <w:b/>
          <w:bCs/>
          <w:sz w:val="28"/>
          <w:szCs w:val="24"/>
          <w:lang/>
        </w:rPr>
        <w:t xml:space="preserve"> </w:t>
      </w:r>
      <w:r w:rsidR="003E6F40">
        <w:rPr>
          <w:rFonts w:ascii="Arial" w:hAnsi="Arial"/>
          <w:b/>
          <w:bCs/>
          <w:sz w:val="28"/>
          <w:szCs w:val="24"/>
          <w:lang/>
        </w:rPr>
        <w:t>nakládání s</w:t>
      </w:r>
      <w:r w:rsidR="00A4513E">
        <w:rPr>
          <w:rFonts w:ascii="Arial" w:hAnsi="Arial"/>
          <w:b/>
          <w:bCs/>
          <w:sz w:val="28"/>
          <w:szCs w:val="24"/>
          <w:lang/>
        </w:rPr>
        <w:t xml:space="preserve"> informac</w:t>
      </w:r>
      <w:r w:rsidR="003E6F40">
        <w:rPr>
          <w:rFonts w:ascii="Arial" w:hAnsi="Arial"/>
          <w:b/>
          <w:bCs/>
          <w:sz w:val="28"/>
          <w:szCs w:val="24"/>
          <w:lang/>
        </w:rPr>
        <w:t>emi</w:t>
      </w:r>
      <w:r w:rsidR="00A4513E">
        <w:rPr>
          <w:rFonts w:ascii="Arial" w:hAnsi="Arial"/>
          <w:b/>
          <w:bCs/>
          <w:sz w:val="28"/>
          <w:szCs w:val="24"/>
          <w:lang/>
        </w:rPr>
        <w:t xml:space="preserve"> při uzavírání</w:t>
      </w:r>
      <w:r w:rsidR="0026230A">
        <w:rPr>
          <w:rFonts w:ascii="Arial" w:hAnsi="Arial"/>
          <w:b/>
          <w:bCs/>
          <w:sz w:val="28"/>
          <w:szCs w:val="24"/>
          <w:lang/>
        </w:rPr>
        <w:t xml:space="preserve"> smluv</w:t>
      </w:r>
      <w:r w:rsidR="00B87C3D">
        <w:rPr>
          <w:rFonts w:ascii="Arial" w:hAnsi="Arial"/>
          <w:b/>
          <w:bCs/>
          <w:sz w:val="28"/>
          <w:szCs w:val="24"/>
          <w:lang/>
        </w:rPr>
        <w:t xml:space="preserve"> a </w:t>
      </w:r>
      <w:r w:rsidR="00865E0F">
        <w:rPr>
          <w:rFonts w:ascii="Arial" w:hAnsi="Arial"/>
          <w:b/>
          <w:bCs/>
          <w:sz w:val="28"/>
          <w:szCs w:val="24"/>
          <w:lang/>
        </w:rPr>
        <w:t xml:space="preserve">vystavování </w:t>
      </w:r>
      <w:r w:rsidR="00B87C3D">
        <w:rPr>
          <w:rFonts w:ascii="Arial" w:hAnsi="Arial"/>
          <w:b/>
          <w:bCs/>
          <w:sz w:val="28"/>
          <w:szCs w:val="24"/>
          <w:lang/>
        </w:rPr>
        <w:t>objednávek</w:t>
      </w:r>
      <w:r w:rsidR="00615CCB">
        <w:rPr>
          <w:rFonts w:ascii="Arial" w:hAnsi="Arial"/>
          <w:b/>
          <w:bCs/>
          <w:sz w:val="28"/>
          <w:szCs w:val="24"/>
          <w:lang/>
        </w:rPr>
        <w:t xml:space="preserve"> </w:t>
      </w:r>
      <w:r w:rsidR="00611818">
        <w:rPr>
          <w:rFonts w:ascii="Arial" w:hAnsi="Arial"/>
          <w:b/>
          <w:bCs/>
          <w:sz w:val="28"/>
          <w:szCs w:val="24"/>
          <w:lang/>
        </w:rPr>
        <w:t>vybraný</w:t>
      </w:r>
      <w:r w:rsidR="00EF57DD">
        <w:rPr>
          <w:rFonts w:ascii="Arial" w:hAnsi="Arial"/>
          <w:b/>
          <w:bCs/>
          <w:sz w:val="28"/>
          <w:szCs w:val="24"/>
          <w:lang/>
        </w:rPr>
        <w:t>mi</w:t>
      </w:r>
      <w:r w:rsidR="00611818">
        <w:rPr>
          <w:rFonts w:ascii="Arial" w:hAnsi="Arial"/>
          <w:b/>
          <w:bCs/>
          <w:sz w:val="28"/>
          <w:szCs w:val="24"/>
          <w:lang/>
        </w:rPr>
        <w:t xml:space="preserve"> </w:t>
      </w:r>
      <w:r w:rsidR="00615CCB">
        <w:rPr>
          <w:rFonts w:ascii="Arial" w:hAnsi="Arial"/>
          <w:b/>
          <w:bCs/>
          <w:sz w:val="28"/>
          <w:szCs w:val="24"/>
          <w:lang/>
        </w:rPr>
        <w:t>přímo řízený</w:t>
      </w:r>
      <w:r w:rsidR="00EF57DD">
        <w:rPr>
          <w:rFonts w:ascii="Arial" w:hAnsi="Arial"/>
          <w:b/>
          <w:bCs/>
          <w:sz w:val="28"/>
          <w:szCs w:val="24"/>
          <w:lang/>
        </w:rPr>
        <w:t>mi</w:t>
      </w:r>
      <w:r w:rsidR="00615CCB">
        <w:rPr>
          <w:rFonts w:ascii="Arial" w:hAnsi="Arial"/>
          <w:b/>
          <w:bCs/>
          <w:sz w:val="28"/>
          <w:szCs w:val="24"/>
          <w:lang/>
        </w:rPr>
        <w:t xml:space="preserve"> organizac</w:t>
      </w:r>
      <w:r w:rsidR="00EF57DD">
        <w:rPr>
          <w:rFonts w:ascii="Arial" w:hAnsi="Arial"/>
          <w:b/>
          <w:bCs/>
          <w:sz w:val="28"/>
          <w:szCs w:val="24"/>
          <w:lang/>
        </w:rPr>
        <w:t>emi</w:t>
      </w:r>
      <w:r w:rsidR="00615CCB">
        <w:rPr>
          <w:rFonts w:ascii="Arial" w:hAnsi="Arial"/>
          <w:b/>
          <w:bCs/>
          <w:sz w:val="28"/>
          <w:szCs w:val="24"/>
          <w:lang/>
        </w:rPr>
        <w:t xml:space="preserve"> Ministerstva zdravotnictví</w:t>
      </w:r>
      <w:r w:rsidR="00A4513E">
        <w:rPr>
          <w:rFonts w:ascii="Arial" w:hAnsi="Arial"/>
          <w:b/>
          <w:bCs/>
          <w:sz w:val="28"/>
          <w:szCs w:val="24"/>
          <w:lang/>
        </w:rPr>
        <w:t xml:space="preserve"> v oblasti nákupu</w:t>
      </w:r>
    </w:p>
    <w:bookmarkEnd w:id="1"/>
    <w:p w:rsidR="009E424E" w:rsidRPr="009E424E" w:rsidRDefault="009E424E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9E424E" w:rsidRPr="009E424E" w:rsidRDefault="009E424E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9E424E" w:rsidRDefault="009E424E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5CCB" w:rsidRDefault="00615CCB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5CCB" w:rsidRDefault="00615CCB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5CCB" w:rsidRDefault="00615CCB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5CCB" w:rsidRDefault="00615CCB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5CCB" w:rsidRPr="009E424E" w:rsidRDefault="00615CCB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9E424E" w:rsidRDefault="009E424E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5CCB" w:rsidRPr="009E424E" w:rsidRDefault="00615CCB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9E424E" w:rsidRDefault="009E424E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611818" w:rsidRPr="009E424E" w:rsidRDefault="00611818" w:rsidP="009E424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9E424E" w:rsidRDefault="009E424E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9E424E" w:rsidRDefault="009E424E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9E424E" w:rsidRDefault="009E424E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9E424E" w:rsidRDefault="009E424E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615CCB" w:rsidRDefault="00615CCB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615CCB" w:rsidRDefault="00615CCB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9E424E" w:rsidRDefault="009E424E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/>
          <w:lang/>
        </w:rPr>
      </w:pPr>
    </w:p>
    <w:p w:rsidR="00D47764" w:rsidRDefault="00D47764" w:rsidP="009E424E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bCs/>
          <w:lang/>
        </w:rPr>
      </w:pPr>
    </w:p>
    <w:p w:rsidR="009E424E" w:rsidRDefault="00615CCB" w:rsidP="00D4378E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lastRenderedPageBreak/>
        <w:t>Za účelem stanovení zásad transparentního postupu přímo řízených organizací Ministerstva zdravotnictví</w:t>
      </w:r>
      <w:r w:rsidR="00F9138F">
        <w:rPr>
          <w:rFonts w:ascii="Arial" w:hAnsi="Arial" w:cs="Arial"/>
          <w:bCs/>
          <w:lang/>
        </w:rPr>
        <w:t xml:space="preserve"> a</w:t>
      </w:r>
      <w:r w:rsidR="00894E35">
        <w:rPr>
          <w:rFonts w:ascii="Arial" w:hAnsi="Arial" w:cs="Arial"/>
          <w:bCs/>
          <w:lang/>
        </w:rPr>
        <w:t xml:space="preserve"> </w:t>
      </w:r>
      <w:r w:rsidR="000E5ED7">
        <w:rPr>
          <w:rFonts w:ascii="Arial" w:hAnsi="Arial" w:cs="Arial"/>
          <w:bCs/>
          <w:lang/>
        </w:rPr>
        <w:t>z</w:t>
      </w:r>
      <w:r w:rsidR="00EA29D1">
        <w:rPr>
          <w:rFonts w:ascii="Arial" w:hAnsi="Arial" w:cs="Arial"/>
          <w:bCs/>
          <w:lang/>
        </w:rPr>
        <w:t xml:space="preserve">ajištění </w:t>
      </w:r>
      <w:r w:rsidR="007D5D01">
        <w:rPr>
          <w:rFonts w:ascii="Arial" w:hAnsi="Arial" w:cs="Arial"/>
          <w:bCs/>
          <w:lang/>
        </w:rPr>
        <w:t>zákonného nakládání s</w:t>
      </w:r>
      <w:r w:rsidR="00DE59AA">
        <w:rPr>
          <w:rFonts w:ascii="Arial" w:hAnsi="Arial" w:cs="Arial"/>
          <w:bCs/>
          <w:lang/>
        </w:rPr>
        <w:t> </w:t>
      </w:r>
      <w:r w:rsidR="007D5D01">
        <w:rPr>
          <w:rFonts w:ascii="Arial" w:hAnsi="Arial" w:cs="Arial"/>
          <w:bCs/>
          <w:lang/>
        </w:rPr>
        <w:t>informacemi</w:t>
      </w:r>
      <w:r w:rsidR="00DE59AA">
        <w:rPr>
          <w:rFonts w:ascii="Arial" w:hAnsi="Arial" w:cs="Arial"/>
          <w:bCs/>
          <w:lang/>
        </w:rPr>
        <w:t xml:space="preserve"> vyloučenými z povinnost</w:t>
      </w:r>
      <w:r w:rsidR="00974239">
        <w:rPr>
          <w:rFonts w:ascii="Arial" w:hAnsi="Arial" w:cs="Arial"/>
          <w:bCs/>
          <w:lang/>
        </w:rPr>
        <w:t>í</w:t>
      </w:r>
      <w:r w:rsidR="00DE59AA">
        <w:rPr>
          <w:rFonts w:ascii="Arial" w:hAnsi="Arial" w:cs="Arial"/>
          <w:bCs/>
          <w:lang/>
        </w:rPr>
        <w:t xml:space="preserve"> uveřejnění </w:t>
      </w:r>
      <w:r w:rsidR="00C875C1">
        <w:rPr>
          <w:rFonts w:ascii="Arial" w:hAnsi="Arial" w:cs="Arial"/>
          <w:bCs/>
          <w:lang/>
        </w:rPr>
        <w:t>a poskyt</w:t>
      </w:r>
      <w:r w:rsidR="00974239">
        <w:rPr>
          <w:rFonts w:ascii="Arial" w:hAnsi="Arial" w:cs="Arial"/>
          <w:bCs/>
          <w:lang/>
        </w:rPr>
        <w:t>nutí</w:t>
      </w:r>
      <w:r w:rsidR="00C875C1">
        <w:rPr>
          <w:rFonts w:ascii="Arial" w:hAnsi="Arial" w:cs="Arial"/>
          <w:bCs/>
          <w:lang/>
        </w:rPr>
        <w:t xml:space="preserve"> </w:t>
      </w:r>
      <w:r w:rsidR="00DE59AA">
        <w:rPr>
          <w:rFonts w:ascii="Arial" w:hAnsi="Arial" w:cs="Arial"/>
          <w:bCs/>
          <w:lang/>
        </w:rPr>
        <w:t>dle příslušných právních předpisů</w:t>
      </w:r>
    </w:p>
    <w:p w:rsidR="00E877D8" w:rsidRPr="009E424E" w:rsidRDefault="00E877D8" w:rsidP="00D4378E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Cs/>
          <w:lang/>
        </w:rPr>
      </w:pPr>
    </w:p>
    <w:p w:rsidR="009E424E" w:rsidRPr="009E424E" w:rsidRDefault="009E424E" w:rsidP="00D4378E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Cs/>
          <w:lang/>
        </w:rPr>
      </w:pPr>
    </w:p>
    <w:p w:rsidR="00D47764" w:rsidRPr="00803EB3" w:rsidRDefault="00615CCB" w:rsidP="0023129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Vydávám</w:t>
      </w:r>
    </w:p>
    <w:p w:rsidR="009E424E" w:rsidRDefault="002967E7" w:rsidP="00E877D8">
      <w:pPr>
        <w:spacing w:after="0" w:line="360" w:lineRule="auto"/>
        <w:ind w:left="709"/>
        <w:jc w:val="both"/>
        <w:rPr>
          <w:rFonts w:ascii="Arial" w:hAnsi="Arial" w:cs="Arial"/>
          <w:lang/>
        </w:rPr>
      </w:pPr>
      <w:r w:rsidRPr="002967E7">
        <w:rPr>
          <w:rFonts w:ascii="Arial" w:hAnsi="Arial" w:cs="Arial"/>
          <w:lang/>
        </w:rPr>
        <w:t>Zásady nakládání s informacemi vyloučenými z povinnost</w:t>
      </w:r>
      <w:r w:rsidR="00974239">
        <w:rPr>
          <w:rFonts w:ascii="Arial" w:hAnsi="Arial" w:cs="Arial"/>
          <w:lang/>
        </w:rPr>
        <w:t>í</w:t>
      </w:r>
      <w:r w:rsidRPr="002967E7">
        <w:rPr>
          <w:rFonts w:ascii="Arial" w:hAnsi="Arial" w:cs="Arial"/>
          <w:lang/>
        </w:rPr>
        <w:t xml:space="preserve"> uveřejnění </w:t>
      </w:r>
      <w:r w:rsidR="00756892">
        <w:rPr>
          <w:rFonts w:ascii="Arial" w:hAnsi="Arial" w:cs="Arial"/>
          <w:lang/>
        </w:rPr>
        <w:t>a poskyt</w:t>
      </w:r>
      <w:r w:rsidR="00974239">
        <w:rPr>
          <w:rFonts w:ascii="Arial" w:hAnsi="Arial" w:cs="Arial"/>
          <w:lang/>
        </w:rPr>
        <w:t>nutí</w:t>
      </w:r>
      <w:r w:rsidR="00756892">
        <w:rPr>
          <w:rFonts w:ascii="Arial" w:hAnsi="Arial" w:cs="Arial"/>
          <w:lang/>
        </w:rPr>
        <w:t xml:space="preserve"> </w:t>
      </w:r>
      <w:r w:rsidRPr="002967E7">
        <w:rPr>
          <w:rFonts w:ascii="Arial" w:hAnsi="Arial" w:cs="Arial"/>
          <w:lang/>
        </w:rPr>
        <w:t xml:space="preserve">dle příslušných právních předpisů v oblasti nákupů </w:t>
      </w:r>
      <w:r w:rsidR="00EF57DD">
        <w:rPr>
          <w:rFonts w:ascii="Arial" w:hAnsi="Arial" w:cs="Arial"/>
          <w:lang/>
        </w:rPr>
        <w:t>vybranými</w:t>
      </w:r>
      <w:r w:rsidR="00611818">
        <w:rPr>
          <w:rFonts w:ascii="Arial" w:hAnsi="Arial" w:cs="Arial"/>
          <w:lang/>
        </w:rPr>
        <w:t xml:space="preserve"> </w:t>
      </w:r>
      <w:r w:rsidRPr="002967E7">
        <w:rPr>
          <w:rFonts w:ascii="Arial" w:hAnsi="Arial" w:cs="Arial"/>
          <w:lang/>
        </w:rPr>
        <w:t>přímo řízený</w:t>
      </w:r>
      <w:r w:rsidR="00EF57DD">
        <w:rPr>
          <w:rFonts w:ascii="Arial" w:hAnsi="Arial" w:cs="Arial"/>
          <w:lang/>
        </w:rPr>
        <w:t>mi</w:t>
      </w:r>
      <w:r w:rsidRPr="002967E7">
        <w:rPr>
          <w:rFonts w:ascii="Arial" w:hAnsi="Arial" w:cs="Arial"/>
          <w:lang/>
        </w:rPr>
        <w:t xml:space="preserve"> organizac</w:t>
      </w:r>
      <w:r w:rsidR="00EF57DD">
        <w:rPr>
          <w:rFonts w:ascii="Arial" w:hAnsi="Arial" w:cs="Arial"/>
          <w:lang/>
        </w:rPr>
        <w:t>emi</w:t>
      </w:r>
      <w:r w:rsidRPr="002967E7">
        <w:rPr>
          <w:rFonts w:ascii="Arial" w:hAnsi="Arial" w:cs="Arial"/>
          <w:lang/>
        </w:rPr>
        <w:t xml:space="preserve"> Ministerstva zdravotnictví</w:t>
      </w:r>
      <w:r w:rsidR="00611818">
        <w:rPr>
          <w:rFonts w:ascii="Arial" w:hAnsi="Arial" w:cs="Arial"/>
          <w:lang/>
        </w:rPr>
        <w:t xml:space="preserve"> jako metodický pokyn pro vybrané přímo řízené organizace, poskytovatele zdravotních služeb (dále také „přímo řízené organizace“)</w:t>
      </w:r>
      <w:r w:rsidR="004B0DFD">
        <w:rPr>
          <w:rFonts w:ascii="Arial" w:hAnsi="Arial" w:cs="Arial"/>
          <w:lang/>
        </w:rPr>
        <w:t>;</w:t>
      </w:r>
    </w:p>
    <w:p w:rsidR="00F07D11" w:rsidRPr="009E424E" w:rsidRDefault="00F07D11" w:rsidP="00E877D8">
      <w:pPr>
        <w:spacing w:after="0" w:line="360" w:lineRule="auto"/>
        <w:ind w:left="709"/>
        <w:jc w:val="both"/>
        <w:rPr>
          <w:rFonts w:ascii="Arial" w:hAnsi="Arial" w:cs="Arial"/>
          <w:lang/>
        </w:rPr>
      </w:pPr>
    </w:p>
    <w:p w:rsidR="00F82C95" w:rsidRDefault="00611818" w:rsidP="0023129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D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o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p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l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ň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u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j</w:t>
      </w:r>
      <w:r w:rsidR="00F82C95">
        <w:rPr>
          <w:rFonts w:ascii="Arial" w:hAnsi="Arial"/>
          <w:b/>
          <w:noProof/>
        </w:rPr>
        <w:t xml:space="preserve"> </w:t>
      </w:r>
      <w:r w:rsidR="00F82C95" w:rsidRPr="000250F3">
        <w:rPr>
          <w:rFonts w:ascii="Arial" w:hAnsi="Arial"/>
          <w:b/>
          <w:noProof/>
        </w:rPr>
        <w:t>i</w:t>
      </w:r>
      <w:r>
        <w:rPr>
          <w:rFonts w:ascii="Arial" w:hAnsi="Arial"/>
          <w:b/>
          <w:noProof/>
        </w:rPr>
        <w:t xml:space="preserve">    a    u p ř e s ň u j i</w:t>
      </w:r>
    </w:p>
    <w:p w:rsidR="00F82C95" w:rsidRDefault="00F82C95" w:rsidP="00F82C95">
      <w:pPr>
        <w:pStyle w:val="Odstavecseseznamem"/>
        <w:spacing w:after="0"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Příkaz ministra č. 13/2018, ze dne 1. září 2018, resp. 1. června 2018, č.j. MZDR 16781/2018, a obecné Pokyny ministra v dopisech z 27. června 2018, č.j. 25960/2018-1/OPR a ze 3. září 2018, čj. MZDR 25960/2018-3/OPR, ve věci uveřejňování jednotkových cen léčivých přípravků a zdravotnického materiálu, které jsou předmětem nákupu v přímo řízených organizacích Ministerstva zdravotnictví</w:t>
      </w:r>
      <w:r w:rsidR="004A02D3">
        <w:rPr>
          <w:rFonts w:ascii="Arial" w:hAnsi="Arial"/>
          <w:noProof/>
        </w:rPr>
        <w:t>;</w:t>
      </w:r>
    </w:p>
    <w:p w:rsidR="00F82C95" w:rsidRPr="000250F3" w:rsidRDefault="00F82C95" w:rsidP="00F82C95">
      <w:pPr>
        <w:pStyle w:val="Odstavecseseznamem"/>
        <w:spacing w:after="0" w:line="360" w:lineRule="auto"/>
        <w:jc w:val="both"/>
        <w:rPr>
          <w:rFonts w:ascii="Arial" w:hAnsi="Arial"/>
          <w:noProof/>
        </w:rPr>
      </w:pPr>
    </w:p>
    <w:p w:rsidR="00D47764" w:rsidRPr="00803EB3" w:rsidRDefault="00D47764" w:rsidP="0023129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noProof/>
        </w:rPr>
      </w:pPr>
      <w:r w:rsidRPr="00803EB3">
        <w:rPr>
          <w:rFonts w:ascii="Arial" w:hAnsi="Arial"/>
          <w:b/>
          <w:noProof/>
        </w:rPr>
        <w:t>U</w:t>
      </w:r>
      <w:r w:rsidR="00803EB3">
        <w:rPr>
          <w:rFonts w:ascii="Arial" w:hAnsi="Arial"/>
          <w:b/>
          <w:noProof/>
        </w:rPr>
        <w:t xml:space="preserve"> </w:t>
      </w:r>
      <w:r w:rsidRPr="00803EB3">
        <w:rPr>
          <w:rFonts w:ascii="Arial" w:hAnsi="Arial"/>
          <w:b/>
          <w:noProof/>
        </w:rPr>
        <w:t>k</w:t>
      </w:r>
      <w:r w:rsidR="00803EB3">
        <w:rPr>
          <w:rFonts w:ascii="Arial" w:hAnsi="Arial"/>
          <w:b/>
          <w:noProof/>
        </w:rPr>
        <w:t> </w:t>
      </w:r>
      <w:r w:rsidRPr="00803EB3">
        <w:rPr>
          <w:rFonts w:ascii="Arial" w:hAnsi="Arial"/>
          <w:b/>
          <w:noProof/>
        </w:rPr>
        <w:t>l</w:t>
      </w:r>
      <w:r w:rsidR="00803EB3">
        <w:rPr>
          <w:rFonts w:ascii="Arial" w:hAnsi="Arial"/>
          <w:b/>
          <w:noProof/>
        </w:rPr>
        <w:t xml:space="preserve"> </w:t>
      </w:r>
      <w:r w:rsidRPr="00803EB3">
        <w:rPr>
          <w:rFonts w:ascii="Arial" w:hAnsi="Arial"/>
          <w:b/>
          <w:noProof/>
        </w:rPr>
        <w:t>á</w:t>
      </w:r>
      <w:r w:rsidR="00803EB3">
        <w:rPr>
          <w:rFonts w:ascii="Arial" w:hAnsi="Arial"/>
          <w:b/>
          <w:noProof/>
        </w:rPr>
        <w:t xml:space="preserve"> </w:t>
      </w:r>
      <w:r w:rsidRPr="00803EB3">
        <w:rPr>
          <w:rFonts w:ascii="Arial" w:hAnsi="Arial"/>
          <w:b/>
          <w:noProof/>
        </w:rPr>
        <w:t>d</w:t>
      </w:r>
      <w:r w:rsidR="00803EB3">
        <w:rPr>
          <w:rFonts w:ascii="Arial" w:hAnsi="Arial"/>
          <w:b/>
          <w:noProof/>
        </w:rPr>
        <w:t xml:space="preserve"> </w:t>
      </w:r>
      <w:r w:rsidR="00615CCB">
        <w:rPr>
          <w:rFonts w:ascii="Arial" w:hAnsi="Arial"/>
          <w:b/>
          <w:noProof/>
        </w:rPr>
        <w:t>á m</w:t>
      </w:r>
    </w:p>
    <w:p w:rsidR="00803EB3" w:rsidRDefault="00615CCB" w:rsidP="00E877D8">
      <w:pPr>
        <w:tabs>
          <w:tab w:val="left" w:pos="709"/>
          <w:tab w:val="left" w:pos="5103"/>
          <w:tab w:val="right" w:pos="9639"/>
        </w:tabs>
        <w:spacing w:after="120" w:line="360" w:lineRule="auto"/>
        <w:ind w:left="709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 xml:space="preserve">ředitelům </w:t>
      </w:r>
      <w:r w:rsidR="00611818">
        <w:rPr>
          <w:rFonts w:ascii="Arial" w:hAnsi="Arial" w:cs="Arial"/>
          <w:bCs/>
          <w:noProof/>
          <w:color w:val="000000"/>
        </w:rPr>
        <w:t xml:space="preserve">vybraných </w:t>
      </w:r>
      <w:r>
        <w:rPr>
          <w:rFonts w:ascii="Arial" w:hAnsi="Arial" w:cs="Arial"/>
          <w:bCs/>
          <w:noProof/>
          <w:color w:val="000000"/>
        </w:rPr>
        <w:t>přímo řízených organizací Ministerstva zdravotnictví</w:t>
      </w:r>
      <w:r w:rsidR="003573B5">
        <w:rPr>
          <w:rFonts w:ascii="Arial" w:hAnsi="Arial" w:cs="Arial"/>
          <w:bCs/>
          <w:noProof/>
          <w:color w:val="000000"/>
        </w:rPr>
        <w:t>, které jsou poskytovatel</w:t>
      </w:r>
      <w:r w:rsidR="00611818">
        <w:rPr>
          <w:rFonts w:ascii="Arial" w:hAnsi="Arial" w:cs="Arial"/>
          <w:bCs/>
          <w:noProof/>
          <w:color w:val="000000"/>
        </w:rPr>
        <w:t>i</w:t>
      </w:r>
      <w:r w:rsidR="003573B5">
        <w:rPr>
          <w:rFonts w:ascii="Arial" w:hAnsi="Arial" w:cs="Arial"/>
          <w:bCs/>
          <w:noProof/>
          <w:color w:val="000000"/>
        </w:rPr>
        <w:t xml:space="preserve"> zdravotních služeb,</w:t>
      </w:r>
      <w:r>
        <w:rPr>
          <w:rFonts w:ascii="Arial" w:hAnsi="Arial" w:cs="Arial"/>
          <w:bCs/>
          <w:noProof/>
          <w:color w:val="000000"/>
        </w:rPr>
        <w:t xml:space="preserve"> zajistit prostřednictvím vnitřních předpisů organizací dodržování těchto zásad</w:t>
      </w:r>
      <w:r w:rsidR="004A02D3">
        <w:rPr>
          <w:rFonts w:ascii="Arial" w:hAnsi="Arial" w:cs="Arial"/>
          <w:bCs/>
          <w:noProof/>
          <w:color w:val="000000"/>
        </w:rPr>
        <w:t>.</w:t>
      </w:r>
    </w:p>
    <w:p w:rsidR="00615CCB" w:rsidRPr="000250F3" w:rsidRDefault="00615CCB" w:rsidP="00E877D8">
      <w:pPr>
        <w:spacing w:after="0" w:line="360" w:lineRule="auto"/>
        <w:jc w:val="both"/>
        <w:rPr>
          <w:rFonts w:ascii="Arial" w:hAnsi="Arial"/>
          <w:noProof/>
        </w:rPr>
      </w:pPr>
    </w:p>
    <w:p w:rsidR="00D47764" w:rsidRPr="00D47764" w:rsidRDefault="00611818" w:rsidP="00D47764">
      <w:pPr>
        <w:spacing w:before="360"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Tato metodika</w:t>
      </w:r>
      <w:r w:rsidR="00D47764" w:rsidRPr="00D47764">
        <w:rPr>
          <w:rFonts w:ascii="Arial" w:hAnsi="Arial"/>
          <w:noProof/>
        </w:rPr>
        <w:t xml:space="preserve"> </w:t>
      </w:r>
      <w:r w:rsidR="00615CCB">
        <w:rPr>
          <w:rFonts w:ascii="Arial" w:hAnsi="Arial"/>
          <w:noProof/>
        </w:rPr>
        <w:t xml:space="preserve">nabývá </w:t>
      </w:r>
      <w:r w:rsidR="00D47764" w:rsidRPr="00D47764">
        <w:rPr>
          <w:rFonts w:ascii="Arial" w:hAnsi="Arial"/>
          <w:noProof/>
        </w:rPr>
        <w:t>účinnosti dnem</w:t>
      </w:r>
      <w:r w:rsidR="00CB09D0">
        <w:rPr>
          <w:rFonts w:ascii="Arial" w:hAnsi="Arial"/>
          <w:noProof/>
        </w:rPr>
        <w:t xml:space="preserve"> 11. března 2019</w:t>
      </w:r>
      <w:r w:rsidR="00D47764" w:rsidRPr="00D47764">
        <w:rPr>
          <w:rFonts w:ascii="Arial" w:hAnsi="Arial"/>
          <w:noProof/>
        </w:rPr>
        <w:t xml:space="preserve">. </w:t>
      </w:r>
    </w:p>
    <w:p w:rsidR="00D47764" w:rsidRPr="00D47764" w:rsidRDefault="00D47764" w:rsidP="00D47764">
      <w:pPr>
        <w:spacing w:before="360" w:after="0"/>
        <w:jc w:val="both"/>
        <w:rPr>
          <w:rFonts w:ascii="Arial" w:hAnsi="Arial"/>
          <w:noProof/>
        </w:rPr>
      </w:pPr>
    </w:p>
    <w:p w:rsidR="00D47764" w:rsidRDefault="00D47764" w:rsidP="00D47764">
      <w:pPr>
        <w:tabs>
          <w:tab w:val="left" w:pos="0"/>
          <w:tab w:val="left" w:pos="5103"/>
          <w:tab w:val="right" w:pos="9639"/>
        </w:tabs>
        <w:spacing w:after="0"/>
        <w:jc w:val="both"/>
        <w:rPr>
          <w:rFonts w:ascii="Arial" w:hAnsi="Arial" w:cs="Arial"/>
          <w:noProof/>
          <w:color w:val="000000"/>
          <w:szCs w:val="24"/>
          <w:lang/>
        </w:rPr>
      </w:pPr>
      <w:r w:rsidRPr="00D47764">
        <w:rPr>
          <w:rFonts w:ascii="Arial" w:hAnsi="Arial" w:cs="Arial"/>
          <w:noProof/>
          <w:color w:val="000000"/>
          <w:szCs w:val="24"/>
          <w:lang/>
        </w:rPr>
        <w:t xml:space="preserve">V Praze </w:t>
      </w:r>
      <w:r w:rsidRPr="00D47764">
        <w:rPr>
          <w:rFonts w:ascii="Arial" w:hAnsi="Arial" w:cs="Arial"/>
          <w:noProof/>
          <w:color w:val="000000"/>
          <w:szCs w:val="24"/>
          <w:lang/>
        </w:rPr>
        <w:t xml:space="preserve">dne </w:t>
      </w:r>
      <w:r w:rsidR="00CB09D0">
        <w:rPr>
          <w:rFonts w:ascii="Arial" w:hAnsi="Arial" w:cs="Arial"/>
          <w:noProof/>
          <w:color w:val="000000"/>
          <w:szCs w:val="24"/>
          <w:lang/>
        </w:rPr>
        <w:t>6. března</w:t>
      </w:r>
      <w:r w:rsidR="00221D0C">
        <w:rPr>
          <w:rFonts w:ascii="Arial" w:hAnsi="Arial" w:cs="Arial"/>
          <w:noProof/>
          <w:color w:val="000000"/>
          <w:szCs w:val="24"/>
          <w:lang/>
        </w:rPr>
        <w:t xml:space="preserve"> 2019</w:t>
      </w:r>
    </w:p>
    <w:p w:rsidR="00615CCB" w:rsidRDefault="00615CCB" w:rsidP="00D47764">
      <w:pPr>
        <w:spacing w:after="0"/>
        <w:ind w:left="284" w:hanging="284"/>
        <w:jc w:val="center"/>
        <w:rPr>
          <w:rFonts w:ascii="Arial" w:hAnsi="Arial"/>
          <w:noProof/>
          <w:lang/>
        </w:rPr>
      </w:pPr>
    </w:p>
    <w:p w:rsidR="0044090F" w:rsidRPr="00D47764" w:rsidRDefault="0044090F" w:rsidP="00D47764">
      <w:pPr>
        <w:spacing w:after="0"/>
        <w:ind w:left="284" w:hanging="284"/>
        <w:jc w:val="center"/>
        <w:rPr>
          <w:rFonts w:ascii="Arial" w:hAnsi="Arial"/>
          <w:noProof/>
          <w:lang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42"/>
      </w:tblGrid>
      <w:tr w:rsidR="00615CCB" w:rsidRPr="00D47764" w:rsidTr="00884FD1">
        <w:trPr>
          <w:jc w:val="center"/>
        </w:trPr>
        <w:tc>
          <w:tcPr>
            <w:tcW w:w="4642" w:type="dxa"/>
          </w:tcPr>
          <w:p w:rsidR="00615CCB" w:rsidRPr="00D47764" w:rsidRDefault="00615CCB" w:rsidP="00D47764">
            <w:pPr>
              <w:spacing w:after="0"/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615CCB" w:rsidRDefault="00615CCB" w:rsidP="00D47764">
            <w:pPr>
              <w:spacing w:after="0"/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615CCB" w:rsidRPr="00D47764" w:rsidRDefault="00615CCB" w:rsidP="00D47764">
            <w:pPr>
              <w:spacing w:after="0"/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615CCB" w:rsidRPr="00D47764" w:rsidRDefault="00615CCB" w:rsidP="00D47764">
            <w:pPr>
              <w:spacing w:after="0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………………………………………………….</w:t>
            </w:r>
          </w:p>
          <w:p w:rsidR="00615CCB" w:rsidRPr="00D47764" w:rsidRDefault="00615CCB" w:rsidP="00D47764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noProof/>
                <w:color w:val="000000"/>
              </w:rPr>
              <w:t>Mgr. et Mgr. Adam Vojtěch</w:t>
            </w:r>
            <w:r w:rsidR="00221D0C">
              <w:rPr>
                <w:rFonts w:ascii="Arial" w:hAnsi="Arial" w:cs="Arial"/>
                <w:noProof/>
                <w:color w:val="000000"/>
              </w:rPr>
              <w:t>,</w:t>
            </w:r>
            <w:r w:rsidR="005465D2">
              <w:rPr>
                <w:rFonts w:ascii="Arial" w:hAnsi="Arial" w:cs="Arial"/>
                <w:noProof/>
                <w:color w:val="000000"/>
              </w:rPr>
              <w:t xml:space="preserve"> MHA</w:t>
            </w:r>
          </w:p>
          <w:p w:rsidR="00615CCB" w:rsidRPr="00D47764" w:rsidRDefault="00615CCB" w:rsidP="00D47764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D47764">
              <w:rPr>
                <w:rFonts w:ascii="Arial" w:hAnsi="Arial" w:cs="Arial"/>
                <w:noProof/>
              </w:rPr>
              <w:t>ministr zdravotnictví</w:t>
            </w:r>
          </w:p>
        </w:tc>
      </w:tr>
    </w:tbl>
    <w:p w:rsidR="003A37F3" w:rsidRDefault="003A37F3" w:rsidP="00855F63">
      <w:pPr>
        <w:spacing w:after="0"/>
        <w:jc w:val="center"/>
        <w:rPr>
          <w:rFonts w:ascii="Arial" w:hAnsi="Arial" w:cs="Arial"/>
          <w:bCs/>
          <w:color w:val="000000"/>
        </w:rPr>
      </w:pPr>
    </w:p>
    <w:p w:rsidR="00BA0318" w:rsidRPr="004C2F00" w:rsidRDefault="004C2F00" w:rsidP="007E3D2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2F00">
        <w:rPr>
          <w:rFonts w:ascii="Arial" w:hAnsi="Arial" w:cs="Arial"/>
          <w:b/>
          <w:bCs/>
          <w:color w:val="000000"/>
        </w:rPr>
        <w:lastRenderedPageBreak/>
        <w:t>Zásady</w:t>
      </w:r>
      <w:r w:rsidR="00CB09D0">
        <w:rPr>
          <w:rFonts w:ascii="Arial" w:hAnsi="Arial" w:cs="Arial"/>
          <w:b/>
          <w:bCs/>
          <w:color w:val="000000"/>
        </w:rPr>
        <w:t xml:space="preserve"> </w:t>
      </w:r>
      <w:r w:rsidR="00CB09D0" w:rsidRPr="00CB09D0">
        <w:rPr>
          <w:rFonts w:ascii="Arial" w:hAnsi="Arial" w:cs="Arial"/>
          <w:b/>
          <w:bCs/>
          <w:color w:val="000000"/>
        </w:rPr>
        <w:t>nakládání s informacemi vyloučenými z povinností uveřejnění a poskytnutí dle příslušných právních předpisů v oblasti nákupů vybranými přímo řízenými organizacemi Ministerstva zdravotnictví</w:t>
      </w:r>
      <w:r w:rsidRPr="004C2F00">
        <w:rPr>
          <w:rFonts w:ascii="Arial" w:hAnsi="Arial" w:cs="Arial"/>
          <w:b/>
          <w:bCs/>
          <w:color w:val="000000"/>
        </w:rPr>
        <w:t xml:space="preserve"> </w:t>
      </w:r>
    </w:p>
    <w:p w:rsidR="001E7B6B" w:rsidRDefault="001E7B6B" w:rsidP="007E3D2C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CB09D0" w:rsidRPr="004C2F00" w:rsidRDefault="00CB09D0" w:rsidP="007E3D2C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1E7B6B" w:rsidRDefault="00E009A9" w:rsidP="007E3D2C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color w:val="000000"/>
        </w:rPr>
      </w:pPr>
      <w:r w:rsidRPr="00E009A9">
        <w:rPr>
          <w:rFonts w:ascii="Arial" w:hAnsi="Arial" w:cs="Arial"/>
          <w:bCs/>
          <w:color w:val="000000"/>
        </w:rPr>
        <w:t>Čl. 1</w:t>
      </w:r>
    </w:p>
    <w:p w:rsidR="00E009A9" w:rsidRDefault="00E009A9" w:rsidP="007E3D2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156090">
        <w:rPr>
          <w:rFonts w:ascii="Arial" w:hAnsi="Arial" w:cs="Arial"/>
          <w:b/>
          <w:bCs/>
          <w:color w:val="000000"/>
        </w:rPr>
        <w:t>Předmět</w:t>
      </w:r>
    </w:p>
    <w:p w:rsidR="00325672" w:rsidRPr="001E7B6B" w:rsidRDefault="00325672" w:rsidP="007E3D2C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color w:val="000000"/>
        </w:rPr>
      </w:pPr>
    </w:p>
    <w:p w:rsidR="00615CCB" w:rsidRDefault="00611818" w:rsidP="007E3D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metodika</w:t>
      </w:r>
      <w:r w:rsidR="00615CCB">
        <w:rPr>
          <w:rFonts w:ascii="Arial" w:hAnsi="Arial" w:cs="Arial"/>
        </w:rPr>
        <w:t xml:space="preserve"> upravuje zásady </w:t>
      </w:r>
      <w:r w:rsidR="00E17474">
        <w:rPr>
          <w:rFonts w:ascii="Arial" w:hAnsi="Arial" w:cs="Arial"/>
        </w:rPr>
        <w:t xml:space="preserve">nakládání s informacemi </w:t>
      </w:r>
      <w:r w:rsidR="006552F4">
        <w:rPr>
          <w:rFonts w:ascii="Arial" w:hAnsi="Arial" w:cs="Arial"/>
        </w:rPr>
        <w:t xml:space="preserve">a pravidla jejich zveřejňování </w:t>
      </w:r>
      <w:r w:rsidR="00D0021F">
        <w:rPr>
          <w:rFonts w:ascii="Arial" w:hAnsi="Arial" w:cs="Arial"/>
        </w:rPr>
        <w:t>v</w:t>
      </w:r>
      <w:r w:rsidR="006552F4">
        <w:rPr>
          <w:rFonts w:ascii="Arial" w:hAnsi="Arial" w:cs="Arial"/>
        </w:rPr>
        <w:t> </w:t>
      </w:r>
      <w:r w:rsidR="00615CCB">
        <w:rPr>
          <w:rFonts w:ascii="Arial" w:hAnsi="Arial" w:cs="Arial"/>
        </w:rPr>
        <w:t>následujících oblastech: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</w:rPr>
      </w:pPr>
    </w:p>
    <w:p w:rsidR="005844A8" w:rsidRDefault="00F7493A" w:rsidP="007E3D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 výpočtu jednotkových cen a j</w:t>
      </w:r>
      <w:r w:rsidR="001D2C75">
        <w:rPr>
          <w:rFonts w:ascii="Arial" w:hAnsi="Arial" w:cs="Arial"/>
        </w:rPr>
        <w:t>ednotkové ceny léčivých přípravků</w:t>
      </w:r>
      <w:r w:rsidR="00103030">
        <w:rPr>
          <w:rFonts w:ascii="Arial" w:hAnsi="Arial" w:cs="Arial"/>
        </w:rPr>
        <w:t>, které jsou předmětem nákupů v přímo řízených organizacích Ministerstva zdravotnictví,</w:t>
      </w:r>
      <w:r w:rsidR="00C5282B">
        <w:rPr>
          <w:rFonts w:ascii="Arial" w:hAnsi="Arial" w:cs="Arial"/>
        </w:rPr>
        <w:t xml:space="preserve"> uveden</w:t>
      </w:r>
      <w:r w:rsidR="00255F0F">
        <w:rPr>
          <w:rFonts w:ascii="Arial" w:hAnsi="Arial" w:cs="Arial"/>
        </w:rPr>
        <w:t>é</w:t>
      </w:r>
      <w:r w:rsidR="00C5282B">
        <w:rPr>
          <w:rFonts w:ascii="Arial" w:hAnsi="Arial" w:cs="Arial"/>
        </w:rPr>
        <w:t xml:space="preserve"> ve smlouvách, objednávkách,</w:t>
      </w:r>
      <w:r w:rsidR="009748AB">
        <w:rPr>
          <w:rFonts w:ascii="Arial" w:hAnsi="Arial" w:cs="Arial"/>
        </w:rPr>
        <w:t xml:space="preserve"> </w:t>
      </w:r>
      <w:r w:rsidR="00C5282B">
        <w:rPr>
          <w:rFonts w:ascii="Arial" w:hAnsi="Arial" w:cs="Arial"/>
        </w:rPr>
        <w:t>či nabídkách</w:t>
      </w:r>
      <w:r w:rsidR="004155D7">
        <w:rPr>
          <w:rFonts w:ascii="Arial" w:hAnsi="Arial" w:cs="Arial"/>
        </w:rPr>
        <w:t xml:space="preserve"> a hodnot</w:t>
      </w:r>
      <w:r w:rsidR="00991903">
        <w:rPr>
          <w:rFonts w:ascii="Arial" w:hAnsi="Arial" w:cs="Arial"/>
        </w:rPr>
        <w:t>í</w:t>
      </w:r>
      <w:r w:rsidR="004155D7">
        <w:rPr>
          <w:rFonts w:ascii="Arial" w:hAnsi="Arial" w:cs="Arial"/>
        </w:rPr>
        <w:t>cích zprávách</w:t>
      </w:r>
      <w:r w:rsidR="00C5282B">
        <w:rPr>
          <w:rFonts w:ascii="Arial" w:hAnsi="Arial" w:cs="Arial"/>
        </w:rPr>
        <w:t xml:space="preserve"> v</w:t>
      </w:r>
      <w:r w:rsidR="009748AB">
        <w:rPr>
          <w:rFonts w:ascii="Arial" w:hAnsi="Arial" w:cs="Arial"/>
        </w:rPr>
        <w:t xml:space="preserve"> řízeních o </w:t>
      </w:r>
      <w:r w:rsidR="00C5282B">
        <w:rPr>
          <w:rFonts w:ascii="Arial" w:hAnsi="Arial" w:cs="Arial"/>
        </w:rPr>
        <w:t>veřejných zakázkách</w:t>
      </w:r>
      <w:r w:rsidR="001D2C75">
        <w:rPr>
          <w:rFonts w:ascii="Arial" w:hAnsi="Arial" w:cs="Arial"/>
        </w:rPr>
        <w:t>,</w:t>
      </w:r>
    </w:p>
    <w:p w:rsidR="00A735F0" w:rsidRDefault="001D2C75" w:rsidP="007E3D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Slevov</w:t>
      </w:r>
      <w:r w:rsidR="009748A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 bonusov</w:t>
      </w:r>
      <w:r w:rsidR="009748A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schémata</w:t>
      </w:r>
      <w:r w:rsidR="009748AB">
        <w:rPr>
          <w:rFonts w:ascii="Arial" w:hAnsi="Arial" w:cs="Arial"/>
        </w:rPr>
        <w:t xml:space="preserve"> týkající se nákupů léčivých přípravků</w:t>
      </w:r>
      <w:r w:rsidR="007D4BD5">
        <w:rPr>
          <w:rFonts w:ascii="Arial" w:hAnsi="Arial" w:cs="Arial"/>
        </w:rPr>
        <w:t xml:space="preserve"> v přímo řízených organizacích Ministerstva zdravotnictví</w:t>
      </w:r>
      <w:r w:rsidR="0061138B">
        <w:rPr>
          <w:rFonts w:ascii="Arial" w:hAnsi="Arial" w:cs="Arial"/>
        </w:rPr>
        <w:t xml:space="preserve"> a </w:t>
      </w:r>
      <w:r w:rsidR="0039599B">
        <w:rPr>
          <w:rFonts w:ascii="Arial" w:hAnsi="Arial" w:cs="Arial"/>
        </w:rPr>
        <w:t xml:space="preserve">obsahující či umožňující </w:t>
      </w:r>
      <w:r w:rsidR="00D11D29">
        <w:rPr>
          <w:rFonts w:ascii="Arial" w:hAnsi="Arial" w:cs="Arial"/>
        </w:rPr>
        <w:t xml:space="preserve">určit způsob </w:t>
      </w:r>
      <w:r w:rsidR="0039599B">
        <w:rPr>
          <w:rFonts w:ascii="Arial" w:hAnsi="Arial" w:cs="Arial"/>
        </w:rPr>
        <w:t>výpočt</w:t>
      </w:r>
      <w:r w:rsidR="00D11D29">
        <w:rPr>
          <w:rFonts w:ascii="Arial" w:hAnsi="Arial" w:cs="Arial"/>
        </w:rPr>
        <w:t>u</w:t>
      </w:r>
      <w:r w:rsidR="0039599B">
        <w:rPr>
          <w:rFonts w:ascii="Arial" w:hAnsi="Arial" w:cs="Arial"/>
        </w:rPr>
        <w:t xml:space="preserve"> jednotkové ceny</w:t>
      </w:r>
      <w:r w:rsidR="00276D5D">
        <w:rPr>
          <w:rFonts w:ascii="Arial" w:hAnsi="Arial" w:cs="Arial"/>
        </w:rPr>
        <w:t xml:space="preserve"> a/nebo </w:t>
      </w:r>
      <w:r w:rsidR="00045DD4">
        <w:rPr>
          <w:rFonts w:ascii="Arial" w:hAnsi="Arial" w:cs="Arial"/>
        </w:rPr>
        <w:t xml:space="preserve">vlastní </w:t>
      </w:r>
      <w:r w:rsidR="00276D5D">
        <w:rPr>
          <w:rFonts w:ascii="Arial" w:hAnsi="Arial" w:cs="Arial"/>
        </w:rPr>
        <w:t>jednotkové ceny</w:t>
      </w:r>
      <w:r w:rsidR="0039599B">
        <w:rPr>
          <w:rFonts w:ascii="Arial" w:hAnsi="Arial" w:cs="Arial"/>
        </w:rPr>
        <w:t xml:space="preserve"> léčivého přípravku</w:t>
      </w:r>
      <w:r w:rsidR="00A735F0">
        <w:rPr>
          <w:rFonts w:ascii="Arial" w:hAnsi="Arial" w:cs="Arial"/>
        </w:rPr>
        <w:t>,</w:t>
      </w:r>
    </w:p>
    <w:p w:rsidR="00BB0972" w:rsidRDefault="00A735F0" w:rsidP="007E3D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transparentnosti hospodaření přímo řízených organizací Ministerstva zdravotnictví </w:t>
      </w:r>
      <w:r w:rsidR="00B43649">
        <w:rPr>
          <w:rFonts w:ascii="Arial" w:hAnsi="Arial" w:cs="Arial"/>
        </w:rPr>
        <w:t xml:space="preserve">vůči </w:t>
      </w:r>
      <w:r w:rsidR="00056229">
        <w:rPr>
          <w:rFonts w:ascii="Arial" w:hAnsi="Arial" w:cs="Arial"/>
        </w:rPr>
        <w:t xml:space="preserve">příslušným </w:t>
      </w:r>
      <w:r w:rsidR="00B43649">
        <w:rPr>
          <w:rFonts w:ascii="Arial" w:hAnsi="Arial" w:cs="Arial"/>
        </w:rPr>
        <w:t xml:space="preserve">dozorovým orgánům prostřednictvím </w:t>
      </w:r>
      <w:r w:rsidR="00DC7412">
        <w:rPr>
          <w:rFonts w:ascii="Arial" w:hAnsi="Arial" w:cs="Arial"/>
        </w:rPr>
        <w:t xml:space="preserve">Databáze </w:t>
      </w:r>
      <w:r w:rsidR="003464C2">
        <w:rPr>
          <w:rFonts w:ascii="Arial" w:hAnsi="Arial" w:cs="Arial"/>
        </w:rPr>
        <w:t xml:space="preserve">reálných </w:t>
      </w:r>
      <w:r w:rsidR="00DC7412">
        <w:rPr>
          <w:rFonts w:ascii="Arial" w:hAnsi="Arial" w:cs="Arial"/>
        </w:rPr>
        <w:t>jednotkových cen</w:t>
      </w:r>
      <w:r w:rsidR="00615CCB">
        <w:rPr>
          <w:rFonts w:ascii="Arial" w:hAnsi="Arial" w:cs="Arial"/>
        </w:rPr>
        <w:t>.</w:t>
      </w:r>
    </w:p>
    <w:p w:rsidR="00BB0972" w:rsidRPr="00CB09D0" w:rsidRDefault="00BB0972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6552F4" w:rsidRPr="00CB09D0" w:rsidRDefault="006552F4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6552F4" w:rsidRDefault="006552F4" w:rsidP="006552F4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BB0972">
        <w:rPr>
          <w:rFonts w:ascii="Arial" w:hAnsi="Arial" w:cs="Arial"/>
          <w:bCs/>
          <w:color w:val="000000"/>
        </w:rPr>
        <w:t xml:space="preserve">Čl. </w:t>
      </w:r>
      <w:r>
        <w:rPr>
          <w:rFonts w:ascii="Arial" w:hAnsi="Arial" w:cs="Arial"/>
          <w:bCs/>
          <w:color w:val="000000"/>
        </w:rPr>
        <w:t>2</w:t>
      </w:r>
    </w:p>
    <w:p w:rsidR="006552F4" w:rsidRDefault="001A5575" w:rsidP="006552F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Povinnost u</w:t>
      </w:r>
      <w:r w:rsidR="006552F4">
        <w:rPr>
          <w:rFonts w:ascii="Arial" w:hAnsi="Arial" w:cs="Arial"/>
          <w:b/>
          <w:bCs/>
        </w:rPr>
        <w:t>veřejňování</w:t>
      </w:r>
      <w:r>
        <w:rPr>
          <w:rFonts w:ascii="Arial" w:hAnsi="Arial" w:cs="Arial"/>
          <w:b/>
          <w:bCs/>
        </w:rPr>
        <w:t xml:space="preserve"> a poskytování</w:t>
      </w:r>
      <w:r w:rsidR="006552F4">
        <w:rPr>
          <w:rFonts w:ascii="Arial" w:hAnsi="Arial" w:cs="Arial"/>
          <w:b/>
          <w:bCs/>
        </w:rPr>
        <w:t xml:space="preserve"> informací o jednotkových cenách v Registru smluv</w:t>
      </w:r>
    </w:p>
    <w:p w:rsidR="0047111E" w:rsidRDefault="0047111E" w:rsidP="0047111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552F4" w:rsidRDefault="006552F4" w:rsidP="0047111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Přímo řízené organizace jsou nad rámec požadavků zákona povinny uveřejnit v Registru smluv informace o jednotkových cenách nakupovaných léčivých přípr</w:t>
      </w:r>
      <w:r w:rsidR="00CB09D0">
        <w:rPr>
          <w:rFonts w:ascii="Arial" w:hAnsi="Arial" w:cs="Arial"/>
          <w:bCs/>
          <w:color w:val="000000"/>
        </w:rPr>
        <w:t>avků. Výjimkou je postup podle č</w:t>
      </w:r>
      <w:r>
        <w:rPr>
          <w:rFonts w:ascii="Arial" w:hAnsi="Arial" w:cs="Arial"/>
          <w:bCs/>
          <w:color w:val="000000"/>
        </w:rPr>
        <w:t xml:space="preserve">l. 3 a následujících </w:t>
      </w:r>
      <w:r w:rsidR="001768EE">
        <w:rPr>
          <w:rFonts w:ascii="Arial" w:hAnsi="Arial" w:cs="Arial"/>
          <w:bCs/>
          <w:color w:val="000000"/>
        </w:rPr>
        <w:t>této metodiky</w:t>
      </w:r>
      <w:r>
        <w:rPr>
          <w:rFonts w:ascii="Arial" w:hAnsi="Arial" w:cs="Arial"/>
          <w:bCs/>
          <w:color w:val="000000"/>
        </w:rPr>
        <w:t>.</w:t>
      </w:r>
    </w:p>
    <w:p w:rsidR="006552F4" w:rsidRPr="00CB09D0" w:rsidRDefault="006552F4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CB09D0" w:rsidRPr="00CB09D0" w:rsidRDefault="00CB09D0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C77F2B" w:rsidRDefault="00E009A9" w:rsidP="007E3D2C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BB0972">
        <w:rPr>
          <w:rFonts w:ascii="Arial" w:hAnsi="Arial" w:cs="Arial"/>
          <w:bCs/>
          <w:color w:val="000000"/>
        </w:rPr>
        <w:t xml:space="preserve">Čl. </w:t>
      </w:r>
      <w:r w:rsidR="001A5575">
        <w:rPr>
          <w:rFonts w:ascii="Arial" w:hAnsi="Arial" w:cs="Arial"/>
          <w:bCs/>
          <w:color w:val="000000"/>
        </w:rPr>
        <w:t>3</w:t>
      </w:r>
    </w:p>
    <w:p w:rsidR="00742105" w:rsidRDefault="00B00CA3" w:rsidP="007E3D2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Rozsah informací vyloučených z povinnost</w:t>
      </w:r>
      <w:r w:rsidR="00F845F9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uveřejnění</w:t>
      </w:r>
      <w:r w:rsidR="00AD3BD1">
        <w:rPr>
          <w:rFonts w:ascii="Arial" w:hAnsi="Arial" w:cs="Arial"/>
          <w:b/>
          <w:bCs/>
        </w:rPr>
        <w:t xml:space="preserve"> a poskytnutí</w:t>
      </w:r>
    </w:p>
    <w:p w:rsidR="00325672" w:rsidRDefault="00325672" w:rsidP="007E3D2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C71DC" w:rsidRPr="00CB09D0" w:rsidRDefault="007C71DC" w:rsidP="007E3D2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B09D0">
        <w:rPr>
          <w:rFonts w:ascii="Arial" w:hAnsi="Arial" w:cs="Arial"/>
          <w:bCs/>
          <w:color w:val="000000"/>
        </w:rPr>
        <w:t xml:space="preserve">Přímo řízené organizace Ministerstva zdravotnictví budou </w:t>
      </w:r>
      <w:r w:rsidR="00ED179B" w:rsidRPr="00CB09D0">
        <w:rPr>
          <w:rFonts w:ascii="Arial" w:hAnsi="Arial" w:cs="Arial"/>
          <w:bCs/>
          <w:color w:val="000000"/>
        </w:rPr>
        <w:t>v případě požadavku ze strany dodavatele nebo držitele registrace a po vyhodnocení splnění objektivních kritérií</w:t>
      </w:r>
      <w:r w:rsidR="006C757C" w:rsidRPr="00CB09D0">
        <w:rPr>
          <w:rFonts w:ascii="Arial" w:hAnsi="Arial" w:cs="Arial"/>
          <w:bCs/>
          <w:color w:val="000000"/>
        </w:rPr>
        <w:t xml:space="preserve"> stanovených níže v této metodice a dále v relevantních právních předpisech, zejména zákoně č. 89/2012 Sb., občanský zákoník,</w:t>
      </w:r>
      <w:r w:rsidR="00ED179B" w:rsidRPr="00CB09D0">
        <w:rPr>
          <w:rFonts w:ascii="Arial" w:hAnsi="Arial" w:cs="Arial"/>
          <w:bCs/>
          <w:color w:val="000000"/>
        </w:rPr>
        <w:t xml:space="preserve"> považovat </w:t>
      </w:r>
      <w:r w:rsidR="00AB7B24" w:rsidRPr="00CB09D0">
        <w:rPr>
          <w:rFonts w:ascii="Arial" w:hAnsi="Arial" w:cs="Arial"/>
          <w:bCs/>
          <w:color w:val="000000"/>
        </w:rPr>
        <w:t>níže specifikované informace za vyloučené z povinnost</w:t>
      </w:r>
      <w:r w:rsidR="00F845F9" w:rsidRPr="00CB09D0">
        <w:rPr>
          <w:rFonts w:ascii="Arial" w:hAnsi="Arial" w:cs="Arial"/>
          <w:bCs/>
          <w:color w:val="000000"/>
        </w:rPr>
        <w:t>í</w:t>
      </w:r>
      <w:r w:rsidR="00AB7B24" w:rsidRPr="00CB09D0">
        <w:rPr>
          <w:rFonts w:ascii="Arial" w:hAnsi="Arial" w:cs="Arial"/>
          <w:bCs/>
          <w:color w:val="000000"/>
        </w:rPr>
        <w:t xml:space="preserve"> uveřejnění </w:t>
      </w:r>
      <w:r w:rsidR="00F106AB" w:rsidRPr="00CB09D0">
        <w:rPr>
          <w:rFonts w:ascii="Arial" w:hAnsi="Arial" w:cs="Arial"/>
          <w:bCs/>
          <w:color w:val="000000"/>
        </w:rPr>
        <w:t>a</w:t>
      </w:r>
      <w:r w:rsidR="00AD3BD1" w:rsidRPr="00CB09D0">
        <w:rPr>
          <w:rFonts w:ascii="Arial" w:hAnsi="Arial" w:cs="Arial"/>
          <w:bCs/>
          <w:color w:val="000000"/>
        </w:rPr>
        <w:t xml:space="preserve"> poskytnutí </w:t>
      </w:r>
      <w:r w:rsidR="00AB7B24" w:rsidRPr="00CB09D0">
        <w:rPr>
          <w:rFonts w:ascii="Arial" w:hAnsi="Arial" w:cs="Arial"/>
          <w:bCs/>
          <w:color w:val="000000"/>
        </w:rPr>
        <w:t>dle příslušných právních předpisů</w:t>
      </w:r>
      <w:r w:rsidR="00F106AB" w:rsidRPr="00CB09D0">
        <w:rPr>
          <w:rFonts w:ascii="Arial" w:hAnsi="Arial" w:cs="Arial"/>
          <w:bCs/>
          <w:color w:val="000000"/>
        </w:rPr>
        <w:t xml:space="preserve"> a budou s nimi nakládat </w:t>
      </w:r>
      <w:r w:rsidR="00FE6A4B" w:rsidRPr="00CB09D0">
        <w:rPr>
          <w:rFonts w:ascii="Arial" w:hAnsi="Arial" w:cs="Arial"/>
          <w:bCs/>
          <w:color w:val="000000"/>
        </w:rPr>
        <w:t>v souladu s</w:t>
      </w:r>
      <w:r w:rsidR="001768EE" w:rsidRPr="00CB09D0">
        <w:rPr>
          <w:rFonts w:ascii="Arial" w:hAnsi="Arial" w:cs="Arial"/>
          <w:bCs/>
          <w:color w:val="000000"/>
        </w:rPr>
        <w:t> touto metodikou</w:t>
      </w:r>
      <w:r w:rsidR="00FE6A4B" w:rsidRPr="00CB09D0">
        <w:rPr>
          <w:rFonts w:ascii="Arial" w:hAnsi="Arial" w:cs="Arial"/>
          <w:bCs/>
          <w:color w:val="000000"/>
        </w:rPr>
        <w:t>.</w:t>
      </w:r>
    </w:p>
    <w:p w:rsidR="001467EE" w:rsidRDefault="001467EE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EF0EAC" w:rsidRDefault="00EF57DD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9677B">
        <w:rPr>
          <w:rFonts w:ascii="Arial" w:hAnsi="Arial" w:cs="Arial"/>
          <w:bCs/>
        </w:rPr>
        <w:t>.1</w:t>
      </w:r>
      <w:r w:rsidR="00E9677B">
        <w:rPr>
          <w:rFonts w:ascii="Arial" w:hAnsi="Arial" w:cs="Arial"/>
          <w:bCs/>
        </w:rPr>
        <w:tab/>
        <w:t xml:space="preserve">Způsob výpočtu jednotkových cen a </w:t>
      </w:r>
      <w:r w:rsidR="00C20133">
        <w:rPr>
          <w:rFonts w:ascii="Arial" w:hAnsi="Arial" w:cs="Arial"/>
          <w:bCs/>
        </w:rPr>
        <w:t xml:space="preserve">vlastní </w:t>
      </w:r>
      <w:r w:rsidR="00E9677B">
        <w:rPr>
          <w:rFonts w:ascii="Arial" w:hAnsi="Arial" w:cs="Arial"/>
          <w:bCs/>
        </w:rPr>
        <w:t>jednotkové ceny léčivých pří</w:t>
      </w:r>
      <w:r w:rsidR="008D0954">
        <w:rPr>
          <w:rFonts w:ascii="Arial" w:hAnsi="Arial" w:cs="Arial"/>
          <w:bCs/>
        </w:rPr>
        <w:t>pravků</w:t>
      </w:r>
      <w:r w:rsidR="005904ED">
        <w:rPr>
          <w:rFonts w:ascii="Arial" w:hAnsi="Arial" w:cs="Arial"/>
          <w:bCs/>
        </w:rPr>
        <w:t>.</w:t>
      </w:r>
    </w:p>
    <w:p w:rsidR="00325672" w:rsidRDefault="00325672" w:rsidP="00325672">
      <w:pPr>
        <w:spacing w:after="0" w:line="240" w:lineRule="auto"/>
        <w:jc w:val="both"/>
        <w:rPr>
          <w:rFonts w:ascii="Arial" w:hAnsi="Arial" w:cs="Arial"/>
          <w:bCs/>
        </w:rPr>
      </w:pPr>
    </w:p>
    <w:p w:rsidR="00F3346B" w:rsidRPr="00CB09D0" w:rsidRDefault="001134E7" w:rsidP="00325672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B09D0">
        <w:rPr>
          <w:rFonts w:ascii="Arial" w:hAnsi="Arial" w:cs="Arial"/>
          <w:bCs/>
          <w:color w:val="000000"/>
        </w:rPr>
        <w:t>Kupní smlouvy</w:t>
      </w:r>
      <w:r w:rsidR="00744FFB" w:rsidRPr="00CB09D0">
        <w:rPr>
          <w:rFonts w:ascii="Arial" w:hAnsi="Arial" w:cs="Arial"/>
          <w:bCs/>
          <w:color w:val="000000"/>
        </w:rPr>
        <w:t xml:space="preserve"> (včetně smluv rámcových)</w:t>
      </w:r>
      <w:r w:rsidR="00320AA4" w:rsidRPr="00CB09D0">
        <w:rPr>
          <w:rFonts w:ascii="Arial" w:hAnsi="Arial" w:cs="Arial"/>
          <w:bCs/>
          <w:color w:val="000000"/>
        </w:rPr>
        <w:t>, případně objednávky,</w:t>
      </w:r>
      <w:r w:rsidRPr="00CB09D0">
        <w:rPr>
          <w:rFonts w:ascii="Arial" w:hAnsi="Arial" w:cs="Arial"/>
          <w:bCs/>
          <w:color w:val="000000"/>
        </w:rPr>
        <w:t xml:space="preserve"> přímo řízených organizací Ministerstva zdravotnictví, jejichž předmětem je </w:t>
      </w:r>
      <w:r w:rsidR="000C2902" w:rsidRPr="00CB09D0">
        <w:rPr>
          <w:rFonts w:ascii="Arial" w:hAnsi="Arial" w:cs="Arial"/>
          <w:bCs/>
          <w:color w:val="000000"/>
        </w:rPr>
        <w:t>koupě</w:t>
      </w:r>
      <w:r w:rsidRPr="00CB09D0">
        <w:rPr>
          <w:rFonts w:ascii="Arial" w:hAnsi="Arial" w:cs="Arial"/>
          <w:bCs/>
          <w:color w:val="000000"/>
        </w:rPr>
        <w:t xml:space="preserve"> léčivých přípravků, mohou obsahovat informace zahrnující způsob výpočtu jednotkových cen kupovaných léčivých přípravků. </w:t>
      </w:r>
      <w:r w:rsidR="00A73BA8" w:rsidRPr="00CB09D0">
        <w:rPr>
          <w:rFonts w:ascii="Arial" w:hAnsi="Arial" w:cs="Arial"/>
          <w:bCs/>
          <w:color w:val="000000"/>
        </w:rPr>
        <w:t>Dle</w:t>
      </w:r>
      <w:r w:rsidR="0047111E" w:rsidRPr="00CB09D0">
        <w:rPr>
          <w:rFonts w:ascii="Arial" w:hAnsi="Arial" w:cs="Arial"/>
          <w:bCs/>
          <w:color w:val="000000"/>
        </w:rPr>
        <w:t> </w:t>
      </w:r>
      <w:r w:rsidR="00A73BA8" w:rsidRPr="00CB09D0">
        <w:rPr>
          <w:rFonts w:ascii="Arial" w:hAnsi="Arial" w:cs="Arial"/>
          <w:bCs/>
          <w:color w:val="000000"/>
        </w:rPr>
        <w:t xml:space="preserve">zákona o registru smluv platí, že </w:t>
      </w:r>
      <w:r w:rsidR="00682AC4" w:rsidRPr="00CB09D0">
        <w:rPr>
          <w:rFonts w:ascii="Arial" w:hAnsi="Arial" w:cs="Arial"/>
          <w:bCs/>
          <w:color w:val="000000"/>
        </w:rPr>
        <w:t xml:space="preserve">povinnost uveřejnit prostřednictvím registru smluv se nevztahuje na </w:t>
      </w:r>
      <w:r w:rsidR="00C14214" w:rsidRPr="00CB09D0">
        <w:rPr>
          <w:rFonts w:ascii="Arial" w:hAnsi="Arial" w:cs="Arial"/>
          <w:bCs/>
          <w:color w:val="000000"/>
        </w:rPr>
        <w:t>technickou předlohu, návod, výkres, projektovou dokumentaci, model, způsob výpočtu jednotkových cen, vzor a výpočet.</w:t>
      </w:r>
      <w:r w:rsidR="00F3346B" w:rsidRPr="00CB09D0">
        <w:rPr>
          <w:rFonts w:ascii="Arial" w:hAnsi="Arial" w:cs="Arial"/>
          <w:bCs/>
          <w:color w:val="000000"/>
        </w:rPr>
        <w:t xml:space="preserve"> </w:t>
      </w:r>
      <w:r w:rsidR="00B57965" w:rsidRPr="00CB09D0">
        <w:rPr>
          <w:rFonts w:ascii="Arial" w:hAnsi="Arial" w:cs="Arial"/>
          <w:bCs/>
          <w:color w:val="000000"/>
        </w:rPr>
        <w:t>Důvodová zpráva k zákonu registru smluv k této výjimce uvádí</w:t>
      </w:r>
      <w:r w:rsidR="00BC7CB4" w:rsidRPr="00CB09D0">
        <w:rPr>
          <w:rFonts w:ascii="Arial" w:hAnsi="Arial" w:cs="Arial"/>
          <w:bCs/>
          <w:color w:val="000000"/>
        </w:rPr>
        <w:t xml:space="preserve"> následující odůvodnění</w:t>
      </w:r>
      <w:r w:rsidR="00B57965" w:rsidRPr="00CB09D0">
        <w:rPr>
          <w:rFonts w:ascii="Arial" w:hAnsi="Arial" w:cs="Arial"/>
          <w:bCs/>
          <w:color w:val="000000"/>
        </w:rPr>
        <w:t>:</w:t>
      </w:r>
    </w:p>
    <w:p w:rsidR="00231293" w:rsidRDefault="00231293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B57965" w:rsidRPr="00231293" w:rsidRDefault="00B57965" w:rsidP="007E3D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231293">
        <w:rPr>
          <w:rFonts w:ascii="Arial" w:hAnsi="Arial" w:cs="Arial"/>
          <w:bCs/>
        </w:rPr>
        <w:lastRenderedPageBreak/>
        <w:t>„</w:t>
      </w:r>
      <w:r w:rsidRPr="00231293">
        <w:rPr>
          <w:rFonts w:ascii="Arial" w:hAnsi="Arial" w:cs="Arial"/>
          <w:bCs/>
          <w:i/>
        </w:rPr>
        <w:t xml:space="preserve">Podle § 3 odst. 2 písm. </w:t>
      </w:r>
      <w:r w:rsidR="004977B5">
        <w:rPr>
          <w:rFonts w:ascii="Arial" w:hAnsi="Arial" w:cs="Arial"/>
          <w:bCs/>
          <w:i/>
        </w:rPr>
        <w:t>b</w:t>
      </w:r>
      <w:r w:rsidRPr="00231293">
        <w:rPr>
          <w:rFonts w:ascii="Arial" w:hAnsi="Arial" w:cs="Arial"/>
          <w:bCs/>
          <w:i/>
        </w:rPr>
        <w:t>) není povinnost uveřejňovat technické předlohy, návody,</w:t>
      </w:r>
      <w:r w:rsidR="00231293" w:rsidRPr="00231293">
        <w:rPr>
          <w:rFonts w:ascii="Arial" w:hAnsi="Arial" w:cs="Arial"/>
          <w:bCs/>
          <w:i/>
        </w:rPr>
        <w:t xml:space="preserve"> </w:t>
      </w:r>
      <w:r w:rsidRPr="00231293">
        <w:rPr>
          <w:rFonts w:ascii="Arial" w:hAnsi="Arial" w:cs="Arial"/>
          <w:bCs/>
          <w:i/>
        </w:rPr>
        <w:t>výkresy, projektové dokumentace, modely, způsob výpočtu jednotkových cen a vzory; jejich</w:t>
      </w:r>
      <w:r w:rsidR="00F3346B" w:rsidRPr="00231293">
        <w:rPr>
          <w:rFonts w:ascii="Arial" w:hAnsi="Arial" w:cs="Arial"/>
          <w:bCs/>
          <w:i/>
        </w:rPr>
        <w:t xml:space="preserve"> </w:t>
      </w:r>
      <w:r w:rsidRPr="00231293">
        <w:rPr>
          <w:rFonts w:ascii="Arial" w:hAnsi="Arial" w:cs="Arial"/>
          <w:bCs/>
          <w:i/>
        </w:rPr>
        <w:t>uveřejňování není nezbytné z hlediska předkladatelem sledovaného cíle vyšší transparentnosti smluv a nakládání s veřejným majetkem, administrativní zátěž spojená s uveřejňováním takových dokumentů není vyvážena odpovídajícími přínosy veřejnému zájmu. To nic nemění na tom, že tyto dokumenty jsou zveřejnitelné dobrovolně, resp. poskytnutelné povinně na základě žádosti dle InfZ, s výjimkou případného výskytu chráněných informací.</w:t>
      </w:r>
      <w:r w:rsidRPr="00231293">
        <w:rPr>
          <w:rFonts w:ascii="Arial" w:hAnsi="Arial" w:cs="Arial"/>
          <w:bCs/>
        </w:rPr>
        <w:t>“</w:t>
      </w:r>
    </w:p>
    <w:p w:rsidR="00B57965" w:rsidRDefault="00B57965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3B73C0" w:rsidRDefault="005A5DE6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Zákonodárce</w:t>
      </w:r>
      <w:r w:rsidR="00F72665">
        <w:rPr>
          <w:rFonts w:ascii="Arial" w:hAnsi="Arial" w:cs="Arial"/>
          <w:bCs/>
        </w:rPr>
        <w:t xml:space="preserve"> dává ohledně </w:t>
      </w:r>
      <w:r w:rsidR="00C13857">
        <w:rPr>
          <w:rFonts w:ascii="Arial" w:hAnsi="Arial" w:cs="Arial"/>
          <w:bCs/>
        </w:rPr>
        <w:t xml:space="preserve">výše popsaných informací </w:t>
      </w:r>
      <w:r w:rsidR="00F72665">
        <w:rPr>
          <w:rFonts w:ascii="Arial" w:hAnsi="Arial" w:cs="Arial"/>
          <w:bCs/>
        </w:rPr>
        <w:t xml:space="preserve">povinným subjektům možnost </w:t>
      </w:r>
      <w:r w:rsidR="00C13857">
        <w:rPr>
          <w:rFonts w:ascii="Arial" w:hAnsi="Arial" w:cs="Arial"/>
          <w:bCs/>
        </w:rPr>
        <w:t>uveřejnit je dob</w:t>
      </w:r>
      <w:r w:rsidR="00C13857" w:rsidRPr="0047111E">
        <w:rPr>
          <w:rFonts w:ascii="Arial" w:hAnsi="Arial" w:cs="Arial"/>
          <w:bCs/>
        </w:rPr>
        <w:t>rovolně</w:t>
      </w:r>
      <w:r w:rsidR="00005D45" w:rsidRPr="0047111E">
        <w:rPr>
          <w:rFonts w:ascii="Arial" w:hAnsi="Arial" w:cs="Arial"/>
          <w:bCs/>
        </w:rPr>
        <w:t xml:space="preserve"> (o poskytnutí dle zákona o svobodném přístupu k informacím je pojednáno níže)</w:t>
      </w:r>
      <w:r w:rsidR="003B73C0">
        <w:rPr>
          <w:rFonts w:ascii="Arial" w:hAnsi="Arial" w:cs="Arial"/>
          <w:bCs/>
        </w:rPr>
        <w:t>.</w:t>
      </w:r>
      <w:r w:rsidR="008E690F" w:rsidRPr="0047111E">
        <w:rPr>
          <w:rFonts w:ascii="Arial" w:hAnsi="Arial" w:cs="Arial"/>
          <w:bCs/>
        </w:rPr>
        <w:t xml:space="preserve"> </w:t>
      </w:r>
    </w:p>
    <w:p w:rsidR="003B73C0" w:rsidRDefault="003B73C0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5A5DE6" w:rsidRPr="00611818" w:rsidRDefault="003B73C0" w:rsidP="007E3D2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1818">
        <w:rPr>
          <w:rFonts w:ascii="Arial" w:hAnsi="Arial" w:cs="Arial"/>
          <w:b/>
          <w:bCs/>
        </w:rPr>
        <w:t xml:space="preserve">V případě, že by dodavatel nesouhlasil s uveřejněním nebo poskytnutím informace o jednotkových cenách, přímo řízená organizace možnost dobrovolného zveřejnění nepoužije a </w:t>
      </w:r>
      <w:r w:rsidR="006A2E9C" w:rsidRPr="00611818">
        <w:rPr>
          <w:rFonts w:ascii="Arial" w:hAnsi="Arial" w:cs="Arial"/>
          <w:b/>
          <w:bCs/>
        </w:rPr>
        <w:t>postup</w:t>
      </w:r>
      <w:r w:rsidR="006A2E9C">
        <w:rPr>
          <w:rFonts w:ascii="Arial" w:hAnsi="Arial" w:cs="Arial"/>
          <w:b/>
          <w:bCs/>
        </w:rPr>
        <w:t>uje</w:t>
      </w:r>
      <w:r w:rsidR="006A2E9C" w:rsidRPr="00611818">
        <w:rPr>
          <w:rFonts w:ascii="Arial" w:hAnsi="Arial" w:cs="Arial"/>
          <w:b/>
          <w:bCs/>
        </w:rPr>
        <w:t xml:space="preserve"> </w:t>
      </w:r>
      <w:r w:rsidR="00134377" w:rsidRPr="00611818">
        <w:rPr>
          <w:rFonts w:ascii="Arial" w:hAnsi="Arial" w:cs="Arial"/>
          <w:b/>
          <w:bCs/>
        </w:rPr>
        <w:t xml:space="preserve">podle pravidel </w:t>
      </w:r>
      <w:r w:rsidR="00611818">
        <w:rPr>
          <w:rFonts w:ascii="Arial" w:hAnsi="Arial" w:cs="Arial"/>
          <w:b/>
          <w:bCs/>
        </w:rPr>
        <w:t>uvedených v této metodice</w:t>
      </w:r>
      <w:r w:rsidR="00134377" w:rsidRPr="00611818">
        <w:rPr>
          <w:rFonts w:ascii="Arial" w:hAnsi="Arial" w:cs="Arial"/>
          <w:b/>
          <w:bCs/>
        </w:rPr>
        <w:t>.</w:t>
      </w:r>
    </w:p>
    <w:p w:rsidR="008D0954" w:rsidRPr="0047111E" w:rsidRDefault="008D0954" w:rsidP="007E3D2C">
      <w:pPr>
        <w:spacing w:after="0" w:line="240" w:lineRule="auto"/>
        <w:rPr>
          <w:rFonts w:ascii="Arial" w:hAnsi="Arial" w:cs="Arial"/>
          <w:bCs/>
        </w:rPr>
      </w:pPr>
    </w:p>
    <w:p w:rsidR="008D0954" w:rsidRDefault="00EF57DD" w:rsidP="007E3D2C">
      <w:pPr>
        <w:spacing w:after="0" w:line="240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8D0954">
        <w:rPr>
          <w:rFonts w:ascii="Arial" w:hAnsi="Arial" w:cs="Arial"/>
          <w:bCs/>
        </w:rPr>
        <w:t>.2</w:t>
      </w:r>
      <w:r w:rsidR="008D0954">
        <w:rPr>
          <w:rFonts w:ascii="Arial" w:hAnsi="Arial" w:cs="Arial"/>
          <w:bCs/>
        </w:rPr>
        <w:tab/>
        <w:t>I</w:t>
      </w:r>
      <w:r w:rsidR="008D0954" w:rsidRPr="008D0954">
        <w:rPr>
          <w:rFonts w:ascii="Arial" w:hAnsi="Arial" w:cs="Arial"/>
          <w:bCs/>
        </w:rPr>
        <w:t>nformace, které nelze poskytnout při postupu podle předpisů upravujících svobodný přístup k</w:t>
      </w:r>
      <w:r w:rsidR="008D0954">
        <w:rPr>
          <w:rFonts w:ascii="Arial" w:hAnsi="Arial" w:cs="Arial"/>
          <w:bCs/>
        </w:rPr>
        <w:t> </w:t>
      </w:r>
      <w:r w:rsidR="008D0954" w:rsidRPr="008D0954">
        <w:rPr>
          <w:rFonts w:ascii="Arial" w:hAnsi="Arial" w:cs="Arial"/>
          <w:bCs/>
        </w:rPr>
        <w:t>informacím</w:t>
      </w:r>
      <w:r w:rsidR="008D0954">
        <w:rPr>
          <w:rFonts w:ascii="Arial" w:hAnsi="Arial" w:cs="Arial"/>
          <w:bCs/>
        </w:rPr>
        <w:t xml:space="preserve"> (včetně obchodního tajemství)</w:t>
      </w:r>
      <w:r w:rsidR="006419DE">
        <w:rPr>
          <w:rFonts w:ascii="Arial" w:hAnsi="Arial" w:cs="Arial"/>
          <w:bCs/>
        </w:rPr>
        <w:t>.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0D72D1" w:rsidRDefault="00F72307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Zákon o registru smluv výslovně stanoví, že z povinnosti uveřejnění jsou vyloučeny informace, které nelze poskytnout při postupu podle předpisů upravujících svobodný přístup k</w:t>
      </w:r>
      <w:r w:rsidR="00996F3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informacím</w:t>
      </w:r>
      <w:r w:rsidR="00996F30">
        <w:rPr>
          <w:rFonts w:ascii="Arial" w:hAnsi="Arial" w:cs="Arial"/>
          <w:bCs/>
        </w:rPr>
        <w:t xml:space="preserve">. Takovou informací může být mimo jiné i obchodní tajemství třetí osoby. </w:t>
      </w:r>
      <w:r w:rsidR="00613644">
        <w:rPr>
          <w:rFonts w:ascii="Arial" w:hAnsi="Arial" w:cs="Arial"/>
          <w:bCs/>
        </w:rPr>
        <w:t>Za</w:t>
      </w:r>
      <w:r w:rsidR="0047111E">
        <w:rPr>
          <w:rFonts w:ascii="Arial" w:hAnsi="Arial" w:cs="Arial"/>
          <w:bCs/>
        </w:rPr>
        <w:t> </w:t>
      </w:r>
      <w:r w:rsidR="00613644">
        <w:rPr>
          <w:rFonts w:ascii="Arial" w:hAnsi="Arial" w:cs="Arial"/>
          <w:bCs/>
        </w:rPr>
        <w:t>účelem transparentního hospodaření a postup</w:t>
      </w:r>
      <w:r w:rsidR="00FA344A">
        <w:rPr>
          <w:rFonts w:ascii="Arial" w:hAnsi="Arial" w:cs="Arial"/>
          <w:bCs/>
        </w:rPr>
        <w:t xml:space="preserve">ů při nakládání s veřejnými prostředky </w:t>
      </w:r>
      <w:r w:rsidR="001768EE">
        <w:rPr>
          <w:rFonts w:ascii="Arial" w:hAnsi="Arial" w:cs="Arial"/>
          <w:bCs/>
        </w:rPr>
        <w:t>tato metodika</w:t>
      </w:r>
      <w:r w:rsidR="00996F30">
        <w:rPr>
          <w:rFonts w:ascii="Arial" w:hAnsi="Arial" w:cs="Arial"/>
          <w:bCs/>
        </w:rPr>
        <w:t xml:space="preserve"> </w:t>
      </w:r>
      <w:r w:rsidR="00613644">
        <w:rPr>
          <w:rFonts w:ascii="Arial" w:hAnsi="Arial" w:cs="Arial"/>
          <w:bCs/>
        </w:rPr>
        <w:t xml:space="preserve">sjednocuje postup přímo řízených organizací Ministerstva zdravotnictví </w:t>
      </w:r>
      <w:r w:rsidR="00FA344A">
        <w:rPr>
          <w:rFonts w:ascii="Arial" w:hAnsi="Arial" w:cs="Arial"/>
          <w:bCs/>
        </w:rPr>
        <w:t>při</w:t>
      </w:r>
      <w:r w:rsidR="0047111E">
        <w:rPr>
          <w:rFonts w:ascii="Arial" w:hAnsi="Arial" w:cs="Arial"/>
          <w:bCs/>
        </w:rPr>
        <w:t> </w:t>
      </w:r>
      <w:r w:rsidR="00DF2041">
        <w:rPr>
          <w:rFonts w:ascii="Arial" w:hAnsi="Arial" w:cs="Arial"/>
          <w:bCs/>
        </w:rPr>
        <w:t>posuzování obchodního tajemství v jednotlivých případech nákupů léčivých přípravků.</w:t>
      </w:r>
      <w:r w:rsidR="0047111E">
        <w:rPr>
          <w:rFonts w:ascii="Arial" w:hAnsi="Arial" w:cs="Arial"/>
          <w:bCs/>
        </w:rPr>
        <w:t xml:space="preserve"> </w:t>
      </w:r>
      <w:r w:rsidR="000D72D1">
        <w:rPr>
          <w:rFonts w:ascii="Arial" w:hAnsi="Arial" w:cs="Arial"/>
          <w:bCs/>
        </w:rPr>
        <w:t xml:space="preserve">Nezbytnou podmínkou, avšak nikoliv jediným kritériem, je </w:t>
      </w:r>
      <w:r w:rsidR="004C61F8">
        <w:rPr>
          <w:rFonts w:ascii="Arial" w:hAnsi="Arial" w:cs="Arial"/>
          <w:bCs/>
        </w:rPr>
        <w:t xml:space="preserve">existence </w:t>
      </w:r>
      <w:r w:rsidR="000D72D1">
        <w:rPr>
          <w:rFonts w:ascii="Arial" w:hAnsi="Arial" w:cs="Arial"/>
          <w:bCs/>
        </w:rPr>
        <w:t xml:space="preserve">označení určité informace či souboru informací </w:t>
      </w:r>
      <w:r w:rsidR="00203B2C">
        <w:rPr>
          <w:rFonts w:ascii="Arial" w:hAnsi="Arial" w:cs="Arial"/>
          <w:bCs/>
        </w:rPr>
        <w:t xml:space="preserve">jako obchodního tajemství </w:t>
      </w:r>
      <w:r w:rsidR="000D72D1">
        <w:rPr>
          <w:rFonts w:ascii="Arial" w:hAnsi="Arial" w:cs="Arial"/>
          <w:bCs/>
        </w:rPr>
        <w:t>jejich poskytovatele</w:t>
      </w:r>
      <w:r w:rsidR="00203B2C">
        <w:rPr>
          <w:rFonts w:ascii="Arial" w:hAnsi="Arial" w:cs="Arial"/>
          <w:bCs/>
        </w:rPr>
        <w:t>m přímo řízené organizaci Ministerstva zdravotnictví</w:t>
      </w:r>
      <w:r w:rsidR="000D72D1">
        <w:rPr>
          <w:rFonts w:ascii="Arial" w:hAnsi="Arial" w:cs="Arial"/>
          <w:bCs/>
        </w:rPr>
        <w:t>.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B406C5" w:rsidRDefault="00163434" w:rsidP="007E3D2C">
      <w:pPr>
        <w:spacing w:after="0" w:line="240" w:lineRule="auto"/>
        <w:jc w:val="both"/>
        <w:rPr>
          <w:rFonts w:ascii="Arial" w:hAnsi="Arial" w:cs="Arial"/>
          <w:bCs/>
        </w:rPr>
      </w:pPr>
      <w:r w:rsidRPr="00163434">
        <w:rPr>
          <w:rFonts w:ascii="Arial" w:hAnsi="Arial" w:cs="Arial"/>
          <w:bCs/>
        </w:rPr>
        <w:t xml:space="preserve">Definice obchodního tajemství je </w:t>
      </w:r>
      <w:r w:rsidR="004D3580">
        <w:rPr>
          <w:rFonts w:ascii="Arial" w:hAnsi="Arial" w:cs="Arial"/>
          <w:bCs/>
        </w:rPr>
        <w:t xml:space="preserve">uvedena </w:t>
      </w:r>
      <w:r w:rsidRPr="00163434">
        <w:rPr>
          <w:rFonts w:ascii="Arial" w:hAnsi="Arial" w:cs="Arial"/>
          <w:bCs/>
        </w:rPr>
        <w:t xml:space="preserve">v § 504 </w:t>
      </w:r>
      <w:r w:rsidR="004D3580">
        <w:rPr>
          <w:rFonts w:ascii="Arial" w:hAnsi="Arial" w:cs="Arial"/>
          <w:bCs/>
        </w:rPr>
        <w:t>Občanského zákoníku</w:t>
      </w:r>
      <w:r w:rsidRPr="00163434">
        <w:rPr>
          <w:rFonts w:ascii="Arial" w:hAnsi="Arial" w:cs="Arial"/>
          <w:bCs/>
        </w:rPr>
        <w:t xml:space="preserve">, </w:t>
      </w:r>
      <w:r w:rsidR="004D3580">
        <w:rPr>
          <w:rFonts w:ascii="Arial" w:hAnsi="Arial" w:cs="Arial"/>
          <w:bCs/>
        </w:rPr>
        <w:t>po</w:t>
      </w:r>
      <w:r w:rsidRPr="00163434">
        <w:rPr>
          <w:rFonts w:ascii="Arial" w:hAnsi="Arial" w:cs="Arial"/>
          <w:bCs/>
        </w:rPr>
        <w:t>dle něhož „</w:t>
      </w:r>
      <w:r w:rsidR="004D3580" w:rsidRPr="00B6631C">
        <w:rPr>
          <w:rFonts w:ascii="Arial" w:hAnsi="Arial" w:cs="Arial"/>
          <w:bCs/>
          <w:i/>
        </w:rPr>
        <w:t>o</w:t>
      </w:r>
      <w:r w:rsidRPr="00B6631C">
        <w:rPr>
          <w:rFonts w:ascii="Arial" w:hAnsi="Arial" w:cs="Arial"/>
          <w:bCs/>
          <w:i/>
        </w:rPr>
        <w:t>bchodní tajemství tvoří konkurenčně významné, určitelné, ocenitelné a v příslušných obchodních kruzích běžně nedostupné skutečnosti, které souvisejí se závodem a jejichž vlastník zajišťuje ve svém zájmu odpovídajícím způsobem jejich utajení.</w:t>
      </w:r>
      <w:r w:rsidRPr="00163434">
        <w:rPr>
          <w:rFonts w:ascii="Arial" w:hAnsi="Arial" w:cs="Arial"/>
          <w:bCs/>
        </w:rPr>
        <w:t>“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4C61F8" w:rsidRDefault="000530F2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Aby </w:t>
      </w:r>
      <w:r w:rsidR="004A581C">
        <w:rPr>
          <w:rFonts w:ascii="Arial" w:hAnsi="Arial" w:cs="Arial"/>
          <w:bCs/>
        </w:rPr>
        <w:t xml:space="preserve">měla určitá informace objektivně povahu obchodního tajemství, </w:t>
      </w:r>
      <w:r w:rsidRPr="000530F2">
        <w:rPr>
          <w:rFonts w:ascii="Arial" w:hAnsi="Arial" w:cs="Arial"/>
          <w:bCs/>
        </w:rPr>
        <w:t xml:space="preserve">musí být </w:t>
      </w:r>
      <w:r w:rsidR="004A581C">
        <w:rPr>
          <w:rFonts w:ascii="Arial" w:hAnsi="Arial" w:cs="Arial"/>
          <w:bCs/>
        </w:rPr>
        <w:t xml:space="preserve">výše uvedené </w:t>
      </w:r>
      <w:r w:rsidRPr="000530F2">
        <w:rPr>
          <w:rFonts w:ascii="Arial" w:hAnsi="Arial" w:cs="Arial"/>
          <w:bCs/>
        </w:rPr>
        <w:t xml:space="preserve">definiční znaky naplněny současně (kumulativně). Pouze </w:t>
      </w:r>
      <w:r w:rsidR="000D2183">
        <w:rPr>
          <w:rFonts w:ascii="Arial" w:hAnsi="Arial" w:cs="Arial"/>
          <w:bCs/>
        </w:rPr>
        <w:t xml:space="preserve">za takových </w:t>
      </w:r>
      <w:r w:rsidR="00875EEF">
        <w:rPr>
          <w:rFonts w:ascii="Arial" w:hAnsi="Arial" w:cs="Arial"/>
          <w:bCs/>
        </w:rPr>
        <w:t>podmínek</w:t>
      </w:r>
      <w:r w:rsidRPr="000530F2">
        <w:rPr>
          <w:rFonts w:ascii="Arial" w:hAnsi="Arial" w:cs="Arial"/>
          <w:bCs/>
        </w:rPr>
        <w:t xml:space="preserve"> se</w:t>
      </w:r>
      <w:r w:rsidR="004A581C">
        <w:rPr>
          <w:rFonts w:ascii="Arial" w:hAnsi="Arial" w:cs="Arial"/>
          <w:bCs/>
        </w:rPr>
        <w:t xml:space="preserve"> objektivně</w:t>
      </w:r>
      <w:r w:rsidRPr="000530F2">
        <w:rPr>
          <w:rFonts w:ascii="Arial" w:hAnsi="Arial" w:cs="Arial"/>
          <w:bCs/>
        </w:rPr>
        <w:t xml:space="preserve"> jedná o obchodní tajemství a </w:t>
      </w:r>
      <w:r w:rsidR="000D2183">
        <w:rPr>
          <w:rFonts w:ascii="Arial" w:hAnsi="Arial" w:cs="Arial"/>
          <w:bCs/>
        </w:rPr>
        <w:t>uplatní se jeho zákonná ochrana.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D5382F" w:rsidRDefault="00D5382F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přímo řízená organizace Ministerstva zdravotnictví obdrží od dodavatele léčivých přípravků</w:t>
      </w:r>
      <w:r w:rsidR="000F0A23">
        <w:rPr>
          <w:rFonts w:ascii="Arial" w:hAnsi="Arial" w:cs="Arial"/>
          <w:bCs/>
        </w:rPr>
        <w:t xml:space="preserve"> informaci</w:t>
      </w:r>
      <w:r>
        <w:rPr>
          <w:rFonts w:ascii="Arial" w:hAnsi="Arial" w:cs="Arial"/>
          <w:bCs/>
        </w:rPr>
        <w:t xml:space="preserve"> označenou jako obchodní tajemství, </w:t>
      </w:r>
      <w:r w:rsidR="000F0A23">
        <w:rPr>
          <w:rFonts w:ascii="Arial" w:hAnsi="Arial" w:cs="Arial"/>
          <w:bCs/>
        </w:rPr>
        <w:t>jedná se o první, nikoliv však jedinou, podmínku</w:t>
      </w:r>
      <w:r w:rsidR="001D69C4">
        <w:rPr>
          <w:rFonts w:ascii="Arial" w:hAnsi="Arial" w:cs="Arial"/>
          <w:bCs/>
        </w:rPr>
        <w:t xml:space="preserve">, aby bylo s takovou informací jako s obchodním tajemstvím nakládáno. Přímo řízená organizace je povinná v každém jednotlivém případě </w:t>
      </w:r>
      <w:r w:rsidR="006A2E9C">
        <w:rPr>
          <w:rFonts w:ascii="Arial" w:hAnsi="Arial" w:cs="Arial"/>
          <w:bCs/>
        </w:rPr>
        <w:t>zkoumat</w:t>
      </w:r>
      <w:r w:rsidR="001D69C4">
        <w:rPr>
          <w:rFonts w:ascii="Arial" w:hAnsi="Arial" w:cs="Arial"/>
          <w:bCs/>
        </w:rPr>
        <w:t>, zda daná informace naplňuje současně všechny výše uvedené podmínky</w:t>
      </w:r>
      <w:r w:rsidR="009F0CBC">
        <w:rPr>
          <w:rFonts w:ascii="Arial" w:hAnsi="Arial" w:cs="Arial"/>
          <w:bCs/>
        </w:rPr>
        <w:t xml:space="preserve"> stanovené Občanským zákoníkem.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DA77FA" w:rsidRDefault="009F0CBC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Lze přitom konstatovat, že </w:t>
      </w:r>
      <w:r w:rsidR="00BA66FD">
        <w:rPr>
          <w:rFonts w:ascii="Arial" w:hAnsi="Arial" w:cs="Arial"/>
          <w:bCs/>
        </w:rPr>
        <w:t xml:space="preserve">kupní </w:t>
      </w:r>
      <w:r>
        <w:rPr>
          <w:rFonts w:ascii="Arial" w:hAnsi="Arial" w:cs="Arial"/>
          <w:bCs/>
        </w:rPr>
        <w:t>ceny léčivých přípravků</w:t>
      </w:r>
      <w:r w:rsidR="00A23B46">
        <w:rPr>
          <w:rFonts w:ascii="Arial" w:hAnsi="Arial" w:cs="Arial"/>
          <w:bCs/>
        </w:rPr>
        <w:t xml:space="preserve"> (s výjimkou </w:t>
      </w:r>
      <w:r w:rsidR="00016A11">
        <w:rPr>
          <w:rFonts w:ascii="Arial" w:hAnsi="Arial" w:cs="Arial"/>
          <w:bCs/>
        </w:rPr>
        <w:t>úředně stanovených maximálních cen výrobce/cen původce a výše úhrady)</w:t>
      </w:r>
      <w:r w:rsidR="0028716D">
        <w:rPr>
          <w:rFonts w:ascii="Arial" w:hAnsi="Arial" w:cs="Arial"/>
          <w:bCs/>
        </w:rPr>
        <w:t>, jakož i speciální ceny, slevy</w:t>
      </w:r>
      <w:r w:rsidR="00123AE7">
        <w:rPr>
          <w:rFonts w:ascii="Arial" w:hAnsi="Arial" w:cs="Arial"/>
          <w:bCs/>
        </w:rPr>
        <w:t xml:space="preserve"> a</w:t>
      </w:r>
      <w:r w:rsidR="0028716D">
        <w:rPr>
          <w:rFonts w:ascii="Arial" w:hAnsi="Arial" w:cs="Arial"/>
          <w:bCs/>
        </w:rPr>
        <w:t xml:space="preserve"> bonus</w:t>
      </w:r>
      <w:r w:rsidR="00123AE7">
        <w:rPr>
          <w:rFonts w:ascii="Arial" w:hAnsi="Arial" w:cs="Arial"/>
          <w:bCs/>
        </w:rPr>
        <w:t>ová schémata,</w:t>
      </w:r>
      <w:r w:rsidR="00BA66FD">
        <w:rPr>
          <w:rFonts w:ascii="Arial" w:hAnsi="Arial" w:cs="Arial"/>
          <w:bCs/>
        </w:rPr>
        <w:t xml:space="preserve"> uvedené ve smlouvách či potvrzen</w:t>
      </w:r>
      <w:r w:rsidR="00336C44">
        <w:rPr>
          <w:rFonts w:ascii="Arial" w:hAnsi="Arial" w:cs="Arial"/>
          <w:bCs/>
        </w:rPr>
        <w:t>ých</w:t>
      </w:r>
      <w:r w:rsidR="00BA66FD">
        <w:rPr>
          <w:rFonts w:ascii="Arial" w:hAnsi="Arial" w:cs="Arial"/>
          <w:bCs/>
        </w:rPr>
        <w:t xml:space="preserve"> objednávkách</w:t>
      </w:r>
      <w:r w:rsidR="00123AE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DA77FA">
        <w:rPr>
          <w:rFonts w:ascii="Arial" w:hAnsi="Arial" w:cs="Arial"/>
          <w:bCs/>
        </w:rPr>
        <w:t xml:space="preserve">často mohou obchodní tajemství držitele rozhodnutí o registraci či dodavatele skutečně </w:t>
      </w:r>
      <w:r w:rsidR="00A81D5F">
        <w:rPr>
          <w:rFonts w:ascii="Arial" w:hAnsi="Arial" w:cs="Arial"/>
          <w:bCs/>
        </w:rPr>
        <w:t xml:space="preserve">objektivně </w:t>
      </w:r>
      <w:r w:rsidR="00DA77FA">
        <w:rPr>
          <w:rFonts w:ascii="Arial" w:hAnsi="Arial" w:cs="Arial"/>
          <w:bCs/>
        </w:rPr>
        <w:t>představovat</w:t>
      </w:r>
      <w:r w:rsidR="00EA28BA">
        <w:rPr>
          <w:rFonts w:ascii="Arial" w:hAnsi="Arial" w:cs="Arial"/>
          <w:bCs/>
        </w:rPr>
        <w:t>,</w:t>
      </w:r>
      <w:r w:rsidR="00B6533E">
        <w:rPr>
          <w:rFonts w:ascii="Arial" w:hAnsi="Arial" w:cs="Arial"/>
          <w:bCs/>
        </w:rPr>
        <w:t xml:space="preserve"> a to z následujících důvodů</w:t>
      </w:r>
      <w:r w:rsidR="00EA28BA">
        <w:rPr>
          <w:rFonts w:ascii="Arial" w:hAnsi="Arial" w:cs="Arial"/>
          <w:bCs/>
        </w:rPr>
        <w:t>:</w:t>
      </w:r>
    </w:p>
    <w:p w:rsidR="00325672" w:rsidRPr="0047111E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DA77FA" w:rsidRPr="0047111E" w:rsidRDefault="00DA77FA" w:rsidP="007E3D2C">
      <w:pPr>
        <w:pStyle w:val="Odstavecseseznamem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bCs/>
        </w:rPr>
      </w:pPr>
      <w:r w:rsidRPr="0047111E">
        <w:rPr>
          <w:rFonts w:ascii="Arial" w:hAnsi="Arial" w:cs="Arial"/>
          <w:bCs/>
        </w:rPr>
        <w:lastRenderedPageBreak/>
        <w:t xml:space="preserve">mohou být konkurenčně významné, neboť </w:t>
      </w:r>
      <w:r w:rsidR="008A42CE" w:rsidRPr="0047111E">
        <w:rPr>
          <w:rFonts w:ascii="Arial" w:hAnsi="Arial" w:cs="Arial"/>
          <w:bCs/>
        </w:rPr>
        <w:t>cenová politika jednotlivých výrobců/dodavatelů léčivých přípravků se liší a může odrážet postavení na trhu, investiční záměry v různých oblastech či regionech</w:t>
      </w:r>
      <w:r w:rsidRPr="0047111E">
        <w:rPr>
          <w:rFonts w:ascii="Arial" w:hAnsi="Arial" w:cs="Arial"/>
          <w:bCs/>
        </w:rPr>
        <w:t>;</w:t>
      </w:r>
    </w:p>
    <w:p w:rsidR="00DA77FA" w:rsidRPr="0047111E" w:rsidRDefault="00DA77FA" w:rsidP="007E3D2C">
      <w:pPr>
        <w:pStyle w:val="Odstavecseseznamem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bCs/>
        </w:rPr>
      </w:pPr>
      <w:r w:rsidRPr="0047111E">
        <w:rPr>
          <w:rFonts w:ascii="Arial" w:hAnsi="Arial" w:cs="Arial"/>
          <w:bCs/>
        </w:rPr>
        <w:t xml:space="preserve">jsou určitelné, </w:t>
      </w:r>
      <w:r w:rsidR="00C10E52" w:rsidRPr="0047111E">
        <w:rPr>
          <w:rFonts w:ascii="Arial" w:hAnsi="Arial" w:cs="Arial"/>
          <w:bCs/>
        </w:rPr>
        <w:t xml:space="preserve">neboť je </w:t>
      </w:r>
      <w:r w:rsidRPr="0047111E">
        <w:rPr>
          <w:rFonts w:ascii="Arial" w:hAnsi="Arial" w:cs="Arial"/>
          <w:bCs/>
        </w:rPr>
        <w:t xml:space="preserve">lze identifikovat </w:t>
      </w:r>
      <w:r w:rsidR="00E346DD" w:rsidRPr="0047111E">
        <w:rPr>
          <w:rFonts w:ascii="Arial" w:hAnsi="Arial" w:cs="Arial"/>
          <w:bCs/>
        </w:rPr>
        <w:t>jako cenu konkrétního plnění</w:t>
      </w:r>
      <w:r w:rsidRPr="0047111E">
        <w:rPr>
          <w:rFonts w:ascii="Arial" w:hAnsi="Arial" w:cs="Arial"/>
          <w:bCs/>
        </w:rPr>
        <w:t>;</w:t>
      </w:r>
    </w:p>
    <w:p w:rsidR="00DA77FA" w:rsidRPr="0047111E" w:rsidRDefault="00DA77FA" w:rsidP="007E3D2C">
      <w:pPr>
        <w:pStyle w:val="Odstavecseseznamem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bCs/>
        </w:rPr>
      </w:pPr>
      <w:r w:rsidRPr="0047111E">
        <w:rPr>
          <w:rFonts w:ascii="Arial" w:hAnsi="Arial" w:cs="Arial"/>
          <w:bCs/>
        </w:rPr>
        <w:t>jsou ocenitelné</w:t>
      </w:r>
      <w:r w:rsidR="00E346DD" w:rsidRPr="0047111E">
        <w:rPr>
          <w:rFonts w:ascii="Arial" w:hAnsi="Arial" w:cs="Arial"/>
          <w:bCs/>
        </w:rPr>
        <w:t>, neboť je lze vyjádřit v penězích</w:t>
      </w:r>
      <w:r w:rsidRPr="0047111E">
        <w:rPr>
          <w:rFonts w:ascii="Arial" w:hAnsi="Arial" w:cs="Arial"/>
          <w:bCs/>
        </w:rPr>
        <w:t>;</w:t>
      </w:r>
    </w:p>
    <w:p w:rsidR="00DA77FA" w:rsidRPr="0047111E" w:rsidRDefault="00DA77FA" w:rsidP="007E3D2C">
      <w:pPr>
        <w:pStyle w:val="Odstavecseseznamem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bCs/>
        </w:rPr>
      </w:pPr>
      <w:r w:rsidRPr="0047111E">
        <w:rPr>
          <w:rFonts w:ascii="Arial" w:hAnsi="Arial" w:cs="Arial"/>
          <w:bCs/>
        </w:rPr>
        <w:t>mohou být v příslušných obchodních kruzích běžně nedostupné</w:t>
      </w:r>
      <w:r w:rsidR="00E346DD" w:rsidRPr="0047111E">
        <w:rPr>
          <w:rFonts w:ascii="Arial" w:hAnsi="Arial" w:cs="Arial"/>
          <w:bCs/>
        </w:rPr>
        <w:t>, neboť ceny a</w:t>
      </w:r>
      <w:r w:rsidR="0047111E">
        <w:rPr>
          <w:rFonts w:ascii="Arial" w:hAnsi="Arial" w:cs="Arial"/>
          <w:bCs/>
        </w:rPr>
        <w:t> </w:t>
      </w:r>
      <w:r w:rsidR="00E346DD" w:rsidRPr="0047111E">
        <w:rPr>
          <w:rFonts w:ascii="Arial" w:hAnsi="Arial" w:cs="Arial"/>
          <w:bCs/>
        </w:rPr>
        <w:t xml:space="preserve">cenová strategie je </w:t>
      </w:r>
      <w:r w:rsidR="00613621" w:rsidRPr="0047111E">
        <w:rPr>
          <w:rFonts w:ascii="Arial" w:hAnsi="Arial" w:cs="Arial"/>
          <w:bCs/>
        </w:rPr>
        <w:t>chráněnou informací každého soutěžitele a nejsou běžně s ostatními subjektu v obchodních kruzích sdílené</w:t>
      </w:r>
      <w:r w:rsidRPr="0047111E">
        <w:rPr>
          <w:rFonts w:ascii="Arial" w:hAnsi="Arial" w:cs="Arial"/>
          <w:bCs/>
        </w:rPr>
        <w:t>;</w:t>
      </w:r>
    </w:p>
    <w:p w:rsidR="00DA77FA" w:rsidRPr="0047111E" w:rsidRDefault="00DA77FA" w:rsidP="007E3D2C">
      <w:pPr>
        <w:pStyle w:val="Odstavecseseznamem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bCs/>
        </w:rPr>
      </w:pPr>
      <w:r w:rsidRPr="0047111E">
        <w:rPr>
          <w:rFonts w:ascii="Arial" w:hAnsi="Arial" w:cs="Arial"/>
          <w:bCs/>
        </w:rPr>
        <w:t xml:space="preserve">souvisejí se závodem, neboť se přímo týkají </w:t>
      </w:r>
      <w:r w:rsidR="00C96C27" w:rsidRPr="0047111E">
        <w:rPr>
          <w:rFonts w:ascii="Arial" w:hAnsi="Arial" w:cs="Arial"/>
          <w:bCs/>
        </w:rPr>
        <w:t xml:space="preserve">primárních </w:t>
      </w:r>
      <w:r w:rsidRPr="0047111E">
        <w:rPr>
          <w:rFonts w:ascii="Arial" w:hAnsi="Arial" w:cs="Arial"/>
          <w:bCs/>
        </w:rPr>
        <w:t xml:space="preserve">podnikatelských aktivit </w:t>
      </w:r>
      <w:r w:rsidR="00930E14" w:rsidRPr="0047111E">
        <w:rPr>
          <w:rFonts w:ascii="Arial" w:hAnsi="Arial" w:cs="Arial"/>
          <w:bCs/>
        </w:rPr>
        <w:t>držitelů rozhodnutí o registraci/dodavatelů</w:t>
      </w:r>
      <w:r w:rsidR="00C96C27" w:rsidRPr="0047111E">
        <w:rPr>
          <w:rFonts w:ascii="Arial" w:hAnsi="Arial" w:cs="Arial"/>
          <w:bCs/>
        </w:rPr>
        <w:t xml:space="preserve"> léčivých přípravků</w:t>
      </w:r>
      <w:r w:rsidRPr="0047111E">
        <w:rPr>
          <w:rFonts w:ascii="Arial" w:hAnsi="Arial" w:cs="Arial"/>
          <w:bCs/>
        </w:rPr>
        <w:t>;</w:t>
      </w:r>
    </w:p>
    <w:p w:rsidR="00DA77FA" w:rsidRPr="0047111E" w:rsidRDefault="00C25166" w:rsidP="007E3D2C">
      <w:pPr>
        <w:pStyle w:val="Odstavecseseznamem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bCs/>
        </w:rPr>
      </w:pPr>
      <w:r w:rsidRPr="0047111E">
        <w:rPr>
          <w:rFonts w:ascii="Arial" w:hAnsi="Arial" w:cs="Arial"/>
          <w:bCs/>
        </w:rPr>
        <w:t xml:space="preserve">jejich utajení může být zajišťováno </w:t>
      </w:r>
      <w:r w:rsidR="00DA77FA" w:rsidRPr="0047111E">
        <w:rPr>
          <w:rFonts w:ascii="Arial" w:hAnsi="Arial" w:cs="Arial"/>
          <w:bCs/>
        </w:rPr>
        <w:t xml:space="preserve">konkrétními </w:t>
      </w:r>
      <w:r w:rsidR="00C76AF0" w:rsidRPr="0047111E">
        <w:rPr>
          <w:rFonts w:ascii="Arial" w:hAnsi="Arial" w:cs="Arial"/>
          <w:bCs/>
        </w:rPr>
        <w:t>nástroji</w:t>
      </w:r>
      <w:r w:rsidRPr="0047111E">
        <w:rPr>
          <w:rFonts w:ascii="Arial" w:hAnsi="Arial" w:cs="Arial"/>
          <w:bCs/>
        </w:rPr>
        <w:t>,</w:t>
      </w:r>
      <w:r w:rsidR="00DA77FA" w:rsidRPr="0047111E">
        <w:rPr>
          <w:rFonts w:ascii="Arial" w:hAnsi="Arial" w:cs="Arial"/>
          <w:bCs/>
        </w:rPr>
        <w:t xml:space="preserve"> např. </w:t>
      </w:r>
      <w:r w:rsidR="00BA1E55" w:rsidRPr="0047111E">
        <w:rPr>
          <w:rFonts w:ascii="Arial" w:hAnsi="Arial" w:cs="Arial"/>
          <w:bCs/>
        </w:rPr>
        <w:t>závazky mlčenlivosti v rámci společnosti,</w:t>
      </w:r>
      <w:r w:rsidR="00C76AF0" w:rsidRPr="0047111E">
        <w:rPr>
          <w:rFonts w:ascii="Arial" w:hAnsi="Arial" w:cs="Arial"/>
          <w:bCs/>
        </w:rPr>
        <w:t xml:space="preserve"> </w:t>
      </w:r>
      <w:r w:rsidR="00D253ED" w:rsidRPr="0047111E">
        <w:rPr>
          <w:rFonts w:ascii="Arial" w:hAnsi="Arial" w:cs="Arial"/>
          <w:bCs/>
        </w:rPr>
        <w:t>vyhrazeným</w:t>
      </w:r>
      <w:r w:rsidR="00C76AF0" w:rsidRPr="0047111E">
        <w:rPr>
          <w:rFonts w:ascii="Arial" w:hAnsi="Arial" w:cs="Arial"/>
          <w:bCs/>
        </w:rPr>
        <w:t xml:space="preserve"> přístupem</w:t>
      </w:r>
      <w:r w:rsidR="00D253ED" w:rsidRPr="0047111E">
        <w:rPr>
          <w:rFonts w:ascii="Arial" w:hAnsi="Arial" w:cs="Arial"/>
          <w:bCs/>
        </w:rPr>
        <w:t>,</w:t>
      </w:r>
      <w:r w:rsidR="00BA1E55" w:rsidRPr="0047111E">
        <w:rPr>
          <w:rFonts w:ascii="Arial" w:hAnsi="Arial" w:cs="Arial"/>
          <w:bCs/>
        </w:rPr>
        <w:t xml:space="preserve"> smluvní</w:t>
      </w:r>
      <w:r w:rsidR="00A774C5" w:rsidRPr="0047111E">
        <w:rPr>
          <w:rFonts w:ascii="Arial" w:hAnsi="Arial" w:cs="Arial"/>
          <w:bCs/>
        </w:rPr>
        <w:t>mi</w:t>
      </w:r>
      <w:r w:rsidR="00BA1E55" w:rsidRPr="0047111E">
        <w:rPr>
          <w:rFonts w:ascii="Arial" w:hAnsi="Arial" w:cs="Arial"/>
          <w:bCs/>
        </w:rPr>
        <w:t xml:space="preserve"> závazky </w:t>
      </w:r>
      <w:r w:rsidR="00F21013" w:rsidRPr="0047111E">
        <w:rPr>
          <w:rFonts w:ascii="Arial" w:hAnsi="Arial" w:cs="Arial"/>
          <w:bCs/>
        </w:rPr>
        <w:t>osob s přístupem k</w:t>
      </w:r>
      <w:r w:rsidR="00A774C5" w:rsidRPr="0047111E">
        <w:rPr>
          <w:rFonts w:ascii="Arial" w:hAnsi="Arial" w:cs="Arial"/>
          <w:bCs/>
        </w:rPr>
        <w:t> </w:t>
      </w:r>
      <w:r w:rsidR="00F21013" w:rsidRPr="0047111E">
        <w:rPr>
          <w:rFonts w:ascii="Arial" w:hAnsi="Arial" w:cs="Arial"/>
          <w:bCs/>
        </w:rPr>
        <w:t>informacím</w:t>
      </w:r>
      <w:r w:rsidR="00A774C5" w:rsidRPr="0047111E">
        <w:rPr>
          <w:rFonts w:ascii="Arial" w:hAnsi="Arial" w:cs="Arial"/>
          <w:bCs/>
        </w:rPr>
        <w:t xml:space="preserve"> se zajištěním smluvní pokutou</w:t>
      </w:r>
      <w:r w:rsidR="00DA77FA" w:rsidRPr="0047111E">
        <w:rPr>
          <w:rFonts w:ascii="Arial" w:hAnsi="Arial" w:cs="Arial"/>
          <w:bCs/>
        </w:rPr>
        <w:t>.</w:t>
      </w:r>
    </w:p>
    <w:p w:rsidR="004840D4" w:rsidRDefault="004840D4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4840D4" w:rsidRPr="004840D4" w:rsidRDefault="00FF3E7C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Při výše uvedeném postupu je třeba mít na paměti příslušnou judikaturu v této oblasti. </w:t>
      </w:r>
      <w:r w:rsidRPr="0047111E">
        <w:rPr>
          <w:rFonts w:ascii="Arial" w:hAnsi="Arial" w:cs="Arial"/>
          <w:bCs/>
        </w:rPr>
        <w:t>Dle</w:t>
      </w:r>
      <w:r w:rsidR="0047111E" w:rsidRPr="0047111E">
        <w:rPr>
          <w:rFonts w:ascii="Arial" w:hAnsi="Arial" w:cs="Arial"/>
          <w:bCs/>
        </w:rPr>
        <w:t> </w:t>
      </w:r>
      <w:r w:rsidR="00F83AEF" w:rsidRPr="0047111E">
        <w:rPr>
          <w:rFonts w:ascii="Arial" w:hAnsi="Arial" w:cs="Arial"/>
          <w:bCs/>
        </w:rPr>
        <w:t>stanoviska Nejvyššího správního soudu (</w:t>
      </w:r>
      <w:r w:rsidR="00F83AEF" w:rsidRPr="0047111E">
        <w:rPr>
          <w:rFonts w:ascii="Arial" w:hAnsi="Arial" w:cs="Arial"/>
          <w:bCs/>
          <w:i/>
        </w:rPr>
        <w:t>viz NSS 7As 24/2007</w:t>
      </w:r>
      <w:r w:rsidR="00F83AEF" w:rsidRPr="0047111E">
        <w:rPr>
          <w:rFonts w:ascii="Arial" w:hAnsi="Arial" w:cs="Arial"/>
          <w:bCs/>
        </w:rPr>
        <w:t>) platí, že</w:t>
      </w:r>
      <w:r w:rsidR="00D1613F" w:rsidRPr="0047111E">
        <w:rPr>
          <w:rFonts w:ascii="Arial" w:hAnsi="Arial" w:cs="Arial"/>
          <w:bCs/>
        </w:rPr>
        <w:t xml:space="preserve"> p</w:t>
      </w:r>
      <w:r w:rsidR="004840D4" w:rsidRPr="0047111E">
        <w:rPr>
          <w:rFonts w:ascii="Arial" w:hAnsi="Arial" w:cs="Arial"/>
          <w:bCs/>
        </w:rPr>
        <w:t>ovinný subjekt</w:t>
      </w:r>
      <w:r w:rsidR="004840D4" w:rsidRPr="004840D4">
        <w:rPr>
          <w:rFonts w:ascii="Arial" w:hAnsi="Arial" w:cs="Arial"/>
          <w:bCs/>
        </w:rPr>
        <w:t xml:space="preserve"> podle zákona </w:t>
      </w:r>
      <w:r w:rsidR="00D1613F">
        <w:rPr>
          <w:rFonts w:ascii="Arial" w:hAnsi="Arial" w:cs="Arial"/>
          <w:bCs/>
        </w:rPr>
        <w:t xml:space="preserve">o svobodném přístupu k informacím </w:t>
      </w:r>
      <w:r w:rsidR="004840D4" w:rsidRPr="004840D4">
        <w:rPr>
          <w:rFonts w:ascii="Arial" w:hAnsi="Arial" w:cs="Arial"/>
          <w:bCs/>
        </w:rPr>
        <w:t>musí zkoumat v každém jednotlivém případě, zda informace označená jejím vlastníkem naplňuje všechny podmínky obchodního tajemství – musí přitom postupovat podle principů správního řádu a vycházet ze spolehlivě zjištěného stavu věcí:</w:t>
      </w:r>
    </w:p>
    <w:p w:rsidR="00325672" w:rsidRDefault="00325672" w:rsidP="0047111E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4840D4" w:rsidRPr="006C5502" w:rsidRDefault="004840D4" w:rsidP="007E3D2C">
      <w:pPr>
        <w:spacing w:after="0" w:line="240" w:lineRule="auto"/>
        <w:ind w:left="708"/>
        <w:jc w:val="both"/>
        <w:rPr>
          <w:rFonts w:ascii="Arial" w:hAnsi="Arial" w:cs="Arial"/>
          <w:bCs/>
          <w:i/>
        </w:rPr>
      </w:pPr>
      <w:r w:rsidRPr="006C5502">
        <w:rPr>
          <w:rFonts w:ascii="Arial" w:hAnsi="Arial" w:cs="Arial"/>
          <w:bCs/>
          <w:i/>
        </w:rPr>
        <w:t>„Povinný subjekt proto musí v řízení postupovat v souladu se správním řádem (podle § 3 odst. 4, §</w:t>
      </w:r>
      <w:r w:rsidR="003464C2">
        <w:rPr>
          <w:rFonts w:ascii="Arial" w:hAnsi="Arial" w:cs="Arial"/>
          <w:bCs/>
          <w:i/>
        </w:rPr>
        <w:t xml:space="preserve"> </w:t>
      </w:r>
      <w:r w:rsidRPr="006C5502">
        <w:rPr>
          <w:rFonts w:ascii="Arial" w:hAnsi="Arial" w:cs="Arial"/>
          <w:bCs/>
          <w:i/>
        </w:rPr>
        <w:t>32 odst. 1 a § 46 správního řádu). Musí tedy vycházet ze spolehlivě zjištěného stavu věci, tzn. prověřit splnění podmínek existence obchodního tajemství a neakceptovat bez dalšího tvrzení podnikatele.</w:t>
      </w:r>
    </w:p>
    <w:p w:rsidR="00DA77FA" w:rsidRDefault="004840D4" w:rsidP="007E3D2C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6C5502">
        <w:rPr>
          <w:rFonts w:ascii="Arial" w:hAnsi="Arial" w:cs="Arial"/>
          <w:bCs/>
          <w:i/>
        </w:rPr>
        <w:t>Ustanovení § 9 odst. 1 zákona o informacích je nutno vykládat jako odraz obecného vyvažování právem chráněných zájmů, kdy na jedné straně stojí zájem veřejnosti na</w:t>
      </w:r>
      <w:r w:rsidR="0047111E">
        <w:rPr>
          <w:rFonts w:ascii="Arial" w:hAnsi="Arial" w:cs="Arial"/>
          <w:bCs/>
          <w:i/>
        </w:rPr>
        <w:t> </w:t>
      </w:r>
      <w:r w:rsidRPr="006C5502">
        <w:rPr>
          <w:rFonts w:ascii="Arial" w:hAnsi="Arial" w:cs="Arial"/>
          <w:bCs/>
          <w:i/>
        </w:rPr>
        <w:t>kontrole veřejné správy a na straně druhé zájem soukromoprávních subjektů na</w:t>
      </w:r>
      <w:r w:rsidR="0047111E">
        <w:rPr>
          <w:rFonts w:ascii="Arial" w:hAnsi="Arial" w:cs="Arial"/>
          <w:bCs/>
          <w:i/>
        </w:rPr>
        <w:t> </w:t>
      </w:r>
      <w:r w:rsidRPr="006C5502">
        <w:rPr>
          <w:rFonts w:ascii="Arial" w:hAnsi="Arial" w:cs="Arial"/>
          <w:bCs/>
          <w:i/>
        </w:rPr>
        <w:t>uchování jejich obchodního tajemství. Je přitom třeba posoudit, který z těchto oprávněných zájmů v konkrétním případě převažuje.“</w:t>
      </w:r>
    </w:p>
    <w:p w:rsidR="00A15602" w:rsidRDefault="00A1560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DA77FA" w:rsidRDefault="00C54FE7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Zákon o svobodném přístupu k informacím </w:t>
      </w:r>
      <w:r w:rsidR="008B04FD">
        <w:rPr>
          <w:rFonts w:ascii="Arial" w:hAnsi="Arial" w:cs="Arial"/>
          <w:bCs/>
        </w:rPr>
        <w:t>ve svém ustanovení § 9 odst. 2 prolamuje ochranu obchodního tajemství, když stanoví:</w:t>
      </w:r>
    </w:p>
    <w:p w:rsidR="00325672" w:rsidRDefault="00325672" w:rsidP="0047111E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8B04FD" w:rsidRPr="008B04FD" w:rsidRDefault="008B04FD" w:rsidP="007E3D2C">
      <w:pPr>
        <w:spacing w:after="0" w:line="240" w:lineRule="auto"/>
        <w:ind w:left="708"/>
        <w:jc w:val="both"/>
        <w:rPr>
          <w:rFonts w:ascii="Arial" w:hAnsi="Arial" w:cs="Arial"/>
          <w:bCs/>
          <w:i/>
        </w:rPr>
      </w:pPr>
      <w:r w:rsidRPr="008B04FD">
        <w:rPr>
          <w:rFonts w:ascii="Arial" w:hAnsi="Arial" w:cs="Arial"/>
          <w:bCs/>
          <w:i/>
        </w:rPr>
        <w:t>„Při poskytování informace, která se týká používání veřejných prostředků, se nepovažuje poskytnutí informace o rozsahu a příjemci těchto prostředků za porušení obchodního tajemství.“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9F24D3" w:rsidRPr="009F24D3" w:rsidRDefault="00C308BD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ustanovení jistě dopadá i na přímo řízené organizace Ministerstva zdravotnictví</w:t>
      </w:r>
      <w:r w:rsidR="00517A61">
        <w:rPr>
          <w:rFonts w:ascii="Arial" w:hAnsi="Arial" w:cs="Arial"/>
          <w:bCs/>
        </w:rPr>
        <w:t xml:space="preserve">, které jsou povinné postupovat při uplatňování </w:t>
      </w:r>
      <w:r w:rsidR="009F24D3">
        <w:rPr>
          <w:rFonts w:ascii="Arial" w:hAnsi="Arial" w:cs="Arial"/>
          <w:bCs/>
        </w:rPr>
        <w:t xml:space="preserve">tohoto ustanovení v souladu </w:t>
      </w:r>
      <w:r w:rsidR="009F24D3" w:rsidRPr="0047111E">
        <w:rPr>
          <w:rFonts w:ascii="Arial" w:hAnsi="Arial" w:cs="Arial"/>
          <w:bCs/>
        </w:rPr>
        <w:t>s příslušnou judikaturou</w:t>
      </w:r>
      <w:r w:rsidR="00492D4D" w:rsidRPr="0047111E">
        <w:rPr>
          <w:rFonts w:ascii="Arial" w:hAnsi="Arial" w:cs="Arial"/>
          <w:bCs/>
        </w:rPr>
        <w:t>.</w:t>
      </w:r>
      <w:r w:rsidR="006A76C2" w:rsidRPr="0047111E">
        <w:rPr>
          <w:rFonts w:ascii="Arial" w:hAnsi="Arial" w:cs="Arial"/>
          <w:bCs/>
        </w:rPr>
        <w:t xml:space="preserve"> </w:t>
      </w:r>
      <w:r w:rsidR="00492D4D" w:rsidRPr="0047111E">
        <w:rPr>
          <w:rFonts w:ascii="Arial" w:hAnsi="Arial" w:cs="Arial"/>
          <w:bCs/>
        </w:rPr>
        <w:t>Nejvyšší správní soud (</w:t>
      </w:r>
      <w:r w:rsidR="00492D4D" w:rsidRPr="0047111E">
        <w:rPr>
          <w:rFonts w:ascii="Arial" w:hAnsi="Arial" w:cs="Arial"/>
          <w:bCs/>
          <w:i/>
        </w:rPr>
        <w:t>viz N</w:t>
      </w:r>
      <w:r w:rsidR="009F24D3" w:rsidRPr="0047111E">
        <w:rPr>
          <w:rFonts w:ascii="Arial" w:hAnsi="Arial" w:cs="Arial"/>
          <w:bCs/>
          <w:i/>
        </w:rPr>
        <w:t>SS 7 A 118/2002</w:t>
      </w:r>
      <w:r w:rsidR="00996EDD" w:rsidRPr="0047111E">
        <w:rPr>
          <w:rFonts w:ascii="Arial" w:hAnsi="Arial" w:cs="Arial"/>
          <w:bCs/>
          <w:i/>
        </w:rPr>
        <w:t>-</w:t>
      </w:r>
      <w:r w:rsidR="009F24D3" w:rsidRPr="0047111E">
        <w:rPr>
          <w:rFonts w:ascii="Arial" w:hAnsi="Arial" w:cs="Arial"/>
          <w:bCs/>
          <w:i/>
        </w:rPr>
        <w:t>37</w:t>
      </w:r>
      <w:r w:rsidR="00492D4D" w:rsidRPr="0047111E">
        <w:rPr>
          <w:rFonts w:ascii="Arial" w:hAnsi="Arial" w:cs="Arial"/>
          <w:bCs/>
        </w:rPr>
        <w:t>) k aplikaci</w:t>
      </w:r>
      <w:r w:rsidR="00492D4D">
        <w:rPr>
          <w:rFonts w:ascii="Arial" w:hAnsi="Arial" w:cs="Arial"/>
          <w:bCs/>
        </w:rPr>
        <w:t xml:space="preserve"> uvedeného ustanovení zákona o svobodném přístupu k informacím konstatova</w:t>
      </w:r>
      <w:r w:rsidR="00996EDD">
        <w:rPr>
          <w:rFonts w:ascii="Arial" w:hAnsi="Arial" w:cs="Arial"/>
          <w:bCs/>
        </w:rPr>
        <w:t>l</w:t>
      </w:r>
      <w:r w:rsidR="00492D4D">
        <w:rPr>
          <w:rFonts w:ascii="Arial" w:hAnsi="Arial" w:cs="Arial"/>
          <w:bCs/>
        </w:rPr>
        <w:t xml:space="preserve"> následující:</w:t>
      </w:r>
    </w:p>
    <w:p w:rsidR="00325672" w:rsidRDefault="00325672" w:rsidP="0047111E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492D4D" w:rsidRPr="00492D4D" w:rsidRDefault="009F24D3" w:rsidP="007E3D2C">
      <w:pPr>
        <w:spacing w:after="0" w:line="240" w:lineRule="auto"/>
        <w:ind w:left="708"/>
        <w:jc w:val="both"/>
        <w:rPr>
          <w:rFonts w:ascii="Arial" w:hAnsi="Arial" w:cs="Arial"/>
          <w:bCs/>
          <w:i/>
        </w:rPr>
      </w:pPr>
      <w:r w:rsidRPr="00492D4D">
        <w:rPr>
          <w:rFonts w:ascii="Arial" w:hAnsi="Arial" w:cs="Arial"/>
          <w:bCs/>
          <w:i/>
        </w:rPr>
        <w:t>„Smyslem úpravy § 9 odst. 2 zákona je umožnit veřejnou kontrolu hospodaření s</w:t>
      </w:r>
      <w:r w:rsidR="0047111E">
        <w:rPr>
          <w:rFonts w:ascii="Arial" w:hAnsi="Arial" w:cs="Arial"/>
          <w:bCs/>
          <w:i/>
        </w:rPr>
        <w:t> </w:t>
      </w:r>
      <w:r w:rsidRPr="00492D4D">
        <w:rPr>
          <w:rFonts w:ascii="Arial" w:hAnsi="Arial" w:cs="Arial"/>
          <w:bCs/>
          <w:i/>
        </w:rPr>
        <w:t xml:space="preserve">veřejnými prostředky. Jelikož samotná informace o ceně nevypovídá o tomto způsobu hospodaření, je nutné společně s ní vždy poskytnout </w:t>
      </w:r>
      <w:r w:rsidRPr="00F17239">
        <w:rPr>
          <w:rFonts w:ascii="Arial" w:hAnsi="Arial" w:cs="Arial"/>
          <w:b/>
          <w:bCs/>
          <w:i/>
        </w:rPr>
        <w:t>alespoň rámcovou informaci o předmětu plnění</w:t>
      </w:r>
      <w:r w:rsidRPr="00492D4D">
        <w:rPr>
          <w:rFonts w:ascii="Arial" w:hAnsi="Arial" w:cs="Arial"/>
          <w:bCs/>
          <w:i/>
        </w:rPr>
        <w:t>, za něž se cena poskytuje. Přípustná míra rámcovosti pak vychází právě z toho, zda je možné posoudit hospodárnost využití veřejných prostředků.“</w:t>
      </w:r>
    </w:p>
    <w:p w:rsidR="00325672" w:rsidRDefault="00325672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7E3D2C" w:rsidRDefault="007E3D2C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352566" w:rsidRDefault="00352566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Konkrétní podmínky hospodárného nakládání </w:t>
      </w:r>
      <w:r w:rsidR="00A83EB7">
        <w:rPr>
          <w:rFonts w:ascii="Arial" w:hAnsi="Arial" w:cs="Arial"/>
          <w:bCs/>
        </w:rPr>
        <w:t>s veřejným</w:t>
      </w:r>
      <w:r w:rsidR="003464C2">
        <w:rPr>
          <w:rFonts w:ascii="Arial" w:hAnsi="Arial" w:cs="Arial"/>
          <w:bCs/>
        </w:rPr>
        <w:t>i</w:t>
      </w:r>
      <w:r w:rsidR="00A83EB7">
        <w:rPr>
          <w:rFonts w:ascii="Arial" w:hAnsi="Arial" w:cs="Arial"/>
          <w:bCs/>
        </w:rPr>
        <w:t xml:space="preserve"> prostředky jsou oprávněn</w:t>
      </w:r>
      <w:r w:rsidR="00247560">
        <w:rPr>
          <w:rFonts w:ascii="Arial" w:hAnsi="Arial" w:cs="Arial"/>
          <w:bCs/>
        </w:rPr>
        <w:t>é</w:t>
      </w:r>
      <w:r w:rsidR="00A83EB7">
        <w:rPr>
          <w:rFonts w:ascii="Arial" w:hAnsi="Arial" w:cs="Arial"/>
          <w:bCs/>
        </w:rPr>
        <w:t xml:space="preserve"> kontrolovat k tomu </w:t>
      </w:r>
      <w:r w:rsidR="00B42275">
        <w:rPr>
          <w:rFonts w:ascii="Arial" w:hAnsi="Arial" w:cs="Arial"/>
          <w:bCs/>
        </w:rPr>
        <w:t xml:space="preserve">zákonem </w:t>
      </w:r>
      <w:r w:rsidR="00887070">
        <w:rPr>
          <w:rFonts w:ascii="Arial" w:hAnsi="Arial" w:cs="Arial"/>
          <w:bCs/>
        </w:rPr>
        <w:t>zmocněné</w:t>
      </w:r>
      <w:r w:rsidR="00B42275">
        <w:rPr>
          <w:rFonts w:ascii="Arial" w:hAnsi="Arial" w:cs="Arial"/>
          <w:bCs/>
        </w:rPr>
        <w:t xml:space="preserve"> či smluvně</w:t>
      </w:r>
      <w:r w:rsidR="004155BE">
        <w:rPr>
          <w:rFonts w:ascii="Arial" w:hAnsi="Arial" w:cs="Arial"/>
          <w:bCs/>
        </w:rPr>
        <w:t xml:space="preserve"> oprávněné</w:t>
      </w:r>
      <w:r w:rsidR="00A83EB7">
        <w:rPr>
          <w:rFonts w:ascii="Arial" w:hAnsi="Arial" w:cs="Arial"/>
          <w:bCs/>
        </w:rPr>
        <w:t xml:space="preserve"> instituce, </w:t>
      </w:r>
      <w:r w:rsidR="003464C2">
        <w:rPr>
          <w:rFonts w:ascii="Arial" w:hAnsi="Arial" w:cs="Arial"/>
          <w:bCs/>
        </w:rPr>
        <w:t>zejména</w:t>
      </w:r>
      <w:r w:rsidR="00A83EB7">
        <w:rPr>
          <w:rFonts w:ascii="Arial" w:hAnsi="Arial" w:cs="Arial"/>
          <w:bCs/>
        </w:rPr>
        <w:t xml:space="preserve"> </w:t>
      </w:r>
      <w:r w:rsidR="00B42275">
        <w:rPr>
          <w:rFonts w:ascii="Arial" w:hAnsi="Arial" w:cs="Arial"/>
          <w:bCs/>
        </w:rPr>
        <w:t>N</w:t>
      </w:r>
      <w:r w:rsidR="004155BE">
        <w:rPr>
          <w:rFonts w:ascii="Arial" w:hAnsi="Arial" w:cs="Arial"/>
          <w:bCs/>
        </w:rPr>
        <w:t>ejvyšší kontrolní úřad a zdravotní pojišťovn</w:t>
      </w:r>
      <w:r w:rsidR="003464C2">
        <w:rPr>
          <w:rFonts w:ascii="Arial" w:hAnsi="Arial" w:cs="Arial"/>
          <w:bCs/>
        </w:rPr>
        <w:t>y</w:t>
      </w:r>
      <w:r w:rsidR="004155BE">
        <w:rPr>
          <w:rFonts w:ascii="Arial" w:hAnsi="Arial" w:cs="Arial"/>
          <w:bCs/>
        </w:rPr>
        <w:t>.</w:t>
      </w:r>
    </w:p>
    <w:p w:rsidR="002B3A14" w:rsidRDefault="002B3A14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163CDC" w:rsidRDefault="00163CDC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Výše uvedená </w:t>
      </w:r>
      <w:r w:rsidR="00874D67">
        <w:rPr>
          <w:rFonts w:ascii="Arial" w:hAnsi="Arial" w:cs="Arial"/>
          <w:bCs/>
        </w:rPr>
        <w:t xml:space="preserve">pravidla ochrany obchodního tajemství </w:t>
      </w:r>
      <w:r w:rsidR="00116E99">
        <w:rPr>
          <w:rFonts w:ascii="Arial" w:hAnsi="Arial" w:cs="Arial"/>
          <w:bCs/>
        </w:rPr>
        <w:t xml:space="preserve">nejsou aplikovatelná na </w:t>
      </w:r>
      <w:r w:rsidR="00EA2708">
        <w:rPr>
          <w:rFonts w:ascii="Arial" w:hAnsi="Arial" w:cs="Arial"/>
          <w:bCs/>
        </w:rPr>
        <w:t xml:space="preserve">oprávněně zveřejněné </w:t>
      </w:r>
      <w:r w:rsidR="00116E99">
        <w:rPr>
          <w:rFonts w:ascii="Arial" w:hAnsi="Arial" w:cs="Arial"/>
          <w:bCs/>
        </w:rPr>
        <w:t>ceny léčivých přípravků</w:t>
      </w:r>
      <w:r w:rsidR="00EA2708">
        <w:rPr>
          <w:rFonts w:ascii="Arial" w:hAnsi="Arial" w:cs="Arial"/>
          <w:bCs/>
        </w:rPr>
        <w:t xml:space="preserve">, kterými jsou </w:t>
      </w:r>
      <w:r w:rsidR="00404216">
        <w:rPr>
          <w:rFonts w:ascii="Arial" w:hAnsi="Arial" w:cs="Arial"/>
          <w:bCs/>
        </w:rPr>
        <w:t xml:space="preserve">například </w:t>
      </w:r>
      <w:r w:rsidR="00F05025">
        <w:rPr>
          <w:rFonts w:ascii="Arial" w:hAnsi="Arial" w:cs="Arial"/>
          <w:bCs/>
        </w:rPr>
        <w:t>úředně stanovené maximální ceny</w:t>
      </w:r>
      <w:r w:rsidR="008B283E">
        <w:rPr>
          <w:rFonts w:ascii="Arial" w:hAnsi="Arial" w:cs="Arial"/>
          <w:bCs/>
        </w:rPr>
        <w:t xml:space="preserve"> výrobce/cena původce</w:t>
      </w:r>
      <w:r w:rsidR="00F05025">
        <w:rPr>
          <w:rFonts w:ascii="Arial" w:hAnsi="Arial" w:cs="Arial"/>
          <w:bCs/>
        </w:rPr>
        <w:t xml:space="preserve"> a výše úhrady léčivého přípravku vycházející z příslušného správního řízení u Státního ústavu pro kontrolu léčiv</w:t>
      </w:r>
      <w:r w:rsidR="00404216">
        <w:rPr>
          <w:rFonts w:ascii="Arial" w:hAnsi="Arial" w:cs="Arial"/>
          <w:bCs/>
        </w:rPr>
        <w:t xml:space="preserve"> a tímto ústavem zveřejněné</w:t>
      </w:r>
      <w:r w:rsidR="00F05025">
        <w:rPr>
          <w:rFonts w:ascii="Arial" w:hAnsi="Arial" w:cs="Arial"/>
          <w:bCs/>
        </w:rPr>
        <w:t>.</w:t>
      </w:r>
      <w:r w:rsidR="00705D9C">
        <w:rPr>
          <w:rFonts w:ascii="Arial" w:hAnsi="Arial" w:cs="Arial"/>
          <w:bCs/>
        </w:rPr>
        <w:t xml:space="preserve"> Avšak, informace o tom, že konkrétní doda</w:t>
      </w:r>
      <w:r w:rsidR="0047111E">
        <w:rPr>
          <w:rFonts w:ascii="Arial" w:hAnsi="Arial" w:cs="Arial"/>
          <w:bCs/>
        </w:rPr>
        <w:t xml:space="preserve">vatel dodal léčivý přípravek </w:t>
      </w:r>
      <w:r w:rsidR="00705D9C">
        <w:rPr>
          <w:rFonts w:ascii="Arial" w:hAnsi="Arial" w:cs="Arial"/>
          <w:bCs/>
        </w:rPr>
        <w:t>konkrétní</w:t>
      </w:r>
      <w:r w:rsidR="0047111E">
        <w:rPr>
          <w:rFonts w:ascii="Arial" w:hAnsi="Arial" w:cs="Arial"/>
          <w:bCs/>
        </w:rPr>
        <w:t>mu poskytovateli</w:t>
      </w:r>
      <w:r w:rsidR="00705D9C">
        <w:rPr>
          <w:rFonts w:ascii="Arial" w:hAnsi="Arial" w:cs="Arial"/>
          <w:bCs/>
        </w:rPr>
        <w:t xml:space="preserve"> zdravot</w:t>
      </w:r>
      <w:r w:rsidR="00DF229E">
        <w:rPr>
          <w:rFonts w:ascii="Arial" w:hAnsi="Arial" w:cs="Arial"/>
          <w:bCs/>
        </w:rPr>
        <w:t>n</w:t>
      </w:r>
      <w:r w:rsidR="0047111E">
        <w:rPr>
          <w:rFonts w:ascii="Arial" w:hAnsi="Arial" w:cs="Arial"/>
          <w:bCs/>
        </w:rPr>
        <w:t>ích služeb</w:t>
      </w:r>
      <w:r w:rsidR="00250DE6">
        <w:rPr>
          <w:rFonts w:ascii="Arial" w:hAnsi="Arial" w:cs="Arial"/>
          <w:bCs/>
        </w:rPr>
        <w:t xml:space="preserve"> za </w:t>
      </w:r>
      <w:r w:rsidR="00435086">
        <w:rPr>
          <w:rFonts w:ascii="Arial" w:hAnsi="Arial" w:cs="Arial"/>
          <w:bCs/>
        </w:rPr>
        <w:t>cenu odpovídající maximální ceně</w:t>
      </w:r>
      <w:r w:rsidR="00346F13">
        <w:rPr>
          <w:rFonts w:ascii="Arial" w:hAnsi="Arial" w:cs="Arial"/>
          <w:bCs/>
        </w:rPr>
        <w:t xml:space="preserve"> výrobce/cenu původce</w:t>
      </w:r>
      <w:r w:rsidR="00435086">
        <w:rPr>
          <w:rFonts w:ascii="Arial" w:hAnsi="Arial" w:cs="Arial"/>
          <w:bCs/>
        </w:rPr>
        <w:t xml:space="preserve"> či </w:t>
      </w:r>
      <w:r w:rsidR="00346F13">
        <w:rPr>
          <w:rFonts w:ascii="Arial" w:hAnsi="Arial" w:cs="Arial"/>
          <w:bCs/>
        </w:rPr>
        <w:t xml:space="preserve">ve výši </w:t>
      </w:r>
      <w:r w:rsidR="00435086">
        <w:rPr>
          <w:rFonts w:ascii="Arial" w:hAnsi="Arial" w:cs="Arial"/>
          <w:bCs/>
        </w:rPr>
        <w:t>stanovené úhrad</w:t>
      </w:r>
      <w:r w:rsidR="00346F13">
        <w:rPr>
          <w:rFonts w:ascii="Arial" w:hAnsi="Arial" w:cs="Arial"/>
          <w:bCs/>
        </w:rPr>
        <w:t>y</w:t>
      </w:r>
      <w:r w:rsidR="00435086">
        <w:rPr>
          <w:rFonts w:ascii="Arial" w:hAnsi="Arial" w:cs="Arial"/>
          <w:bCs/>
        </w:rPr>
        <w:t>, povahu obchodního tajemství jistě mít může.</w:t>
      </w:r>
    </w:p>
    <w:p w:rsidR="002B3A14" w:rsidRDefault="002B3A14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1E2E78" w:rsidRDefault="001E2E78" w:rsidP="007E3D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této souvislosti je třeba uvést též to, že jednotkové ceny </w:t>
      </w:r>
      <w:r w:rsidR="00D335B9">
        <w:rPr>
          <w:rFonts w:ascii="Arial" w:hAnsi="Arial" w:cs="Arial"/>
          <w:bCs/>
        </w:rPr>
        <w:t xml:space="preserve">léčivých přípravků </w:t>
      </w:r>
      <w:r w:rsidRPr="001E2E78">
        <w:rPr>
          <w:rFonts w:ascii="Arial" w:hAnsi="Arial" w:cs="Arial"/>
          <w:bCs/>
        </w:rPr>
        <w:t xml:space="preserve">mohou naplnit </w:t>
      </w:r>
      <w:r w:rsidR="00D335B9">
        <w:rPr>
          <w:rFonts w:ascii="Arial" w:hAnsi="Arial" w:cs="Arial"/>
          <w:bCs/>
        </w:rPr>
        <w:t xml:space="preserve">parametry </w:t>
      </w:r>
      <w:r w:rsidRPr="001E2E78">
        <w:rPr>
          <w:rFonts w:ascii="Arial" w:hAnsi="Arial" w:cs="Arial"/>
          <w:bCs/>
        </w:rPr>
        <w:t xml:space="preserve">obchodního tajemství </w:t>
      </w:r>
      <w:r w:rsidR="000744D8">
        <w:rPr>
          <w:rFonts w:ascii="Arial" w:hAnsi="Arial" w:cs="Arial"/>
          <w:bCs/>
        </w:rPr>
        <w:t xml:space="preserve">dvojím způsobem. </w:t>
      </w:r>
      <w:r w:rsidR="00A95283">
        <w:rPr>
          <w:rFonts w:ascii="Arial" w:hAnsi="Arial" w:cs="Arial"/>
          <w:bCs/>
        </w:rPr>
        <w:t>Konkrétní j</w:t>
      </w:r>
      <w:r w:rsidR="000744D8">
        <w:rPr>
          <w:rFonts w:ascii="Arial" w:hAnsi="Arial" w:cs="Arial"/>
          <w:bCs/>
        </w:rPr>
        <w:t>ednotková cena může být obchodním tajemství sama o sobě (viz výklad o podmínkách obchodního tajemství výše)</w:t>
      </w:r>
      <w:r w:rsidR="00A95283">
        <w:rPr>
          <w:rFonts w:ascii="Arial" w:hAnsi="Arial" w:cs="Arial"/>
          <w:bCs/>
        </w:rPr>
        <w:t xml:space="preserve">, jakož i v souhrnu </w:t>
      </w:r>
      <w:r w:rsidR="00FE04A8">
        <w:rPr>
          <w:rFonts w:ascii="Arial" w:hAnsi="Arial" w:cs="Arial"/>
          <w:bCs/>
        </w:rPr>
        <w:t xml:space="preserve">s jinými prodejními cenami konkrétního dodavatele, neboť </w:t>
      </w:r>
      <w:r w:rsidR="00E151DD">
        <w:rPr>
          <w:rFonts w:ascii="Arial" w:hAnsi="Arial" w:cs="Arial"/>
          <w:bCs/>
        </w:rPr>
        <w:t xml:space="preserve">z takového souhrnu </w:t>
      </w:r>
      <w:r w:rsidR="00D258F5">
        <w:rPr>
          <w:rFonts w:ascii="Arial" w:hAnsi="Arial" w:cs="Arial"/>
          <w:bCs/>
        </w:rPr>
        <w:t>může být odvoditelná dlouhodobější cenová politika daného soutěžitele na trhu.</w:t>
      </w:r>
      <w:r w:rsidRPr="001E2E78">
        <w:rPr>
          <w:rFonts w:ascii="Arial" w:hAnsi="Arial" w:cs="Arial"/>
          <w:bCs/>
        </w:rPr>
        <w:t xml:space="preserve"> </w:t>
      </w:r>
      <w:r w:rsidR="00170323">
        <w:rPr>
          <w:rFonts w:ascii="Arial" w:hAnsi="Arial" w:cs="Arial"/>
          <w:bCs/>
        </w:rPr>
        <w:t>Toto výslovně upravuje i zákon o registru smluv ve svém ust. § 5 odst. 6</w:t>
      </w:r>
      <w:r w:rsidR="00C76E3E">
        <w:rPr>
          <w:rFonts w:ascii="Arial" w:hAnsi="Arial" w:cs="Arial"/>
          <w:bCs/>
        </w:rPr>
        <w:t>, k</w:t>
      </w:r>
      <w:r w:rsidR="00B56508">
        <w:rPr>
          <w:rFonts w:ascii="Arial" w:hAnsi="Arial" w:cs="Arial"/>
          <w:bCs/>
        </w:rPr>
        <w:t>t</w:t>
      </w:r>
      <w:r w:rsidR="00C76E3E">
        <w:rPr>
          <w:rFonts w:ascii="Arial" w:hAnsi="Arial" w:cs="Arial"/>
          <w:bCs/>
        </w:rPr>
        <w:t>er</w:t>
      </w:r>
      <w:r w:rsidR="00B56508">
        <w:rPr>
          <w:rFonts w:ascii="Arial" w:hAnsi="Arial" w:cs="Arial"/>
          <w:bCs/>
        </w:rPr>
        <w:t>é</w:t>
      </w:r>
      <w:r w:rsidR="00C76E3E">
        <w:rPr>
          <w:rFonts w:ascii="Arial" w:hAnsi="Arial" w:cs="Arial"/>
          <w:bCs/>
        </w:rPr>
        <w:t xml:space="preserve"> stanoví</w:t>
      </w:r>
      <w:r w:rsidR="00B56508">
        <w:rPr>
          <w:rFonts w:ascii="Arial" w:hAnsi="Arial" w:cs="Arial"/>
          <w:bCs/>
        </w:rPr>
        <w:t>, že z uveřejnění v registru smluv lze vyloučit informace</w:t>
      </w:r>
      <w:r w:rsidR="00500487">
        <w:rPr>
          <w:rFonts w:ascii="Arial" w:hAnsi="Arial" w:cs="Arial"/>
          <w:bCs/>
        </w:rPr>
        <w:t xml:space="preserve"> i tehdy</w:t>
      </w:r>
      <w:r w:rsidR="00B56508" w:rsidRPr="00B56508">
        <w:rPr>
          <w:rFonts w:ascii="Arial" w:hAnsi="Arial" w:cs="Arial"/>
          <w:bCs/>
        </w:rPr>
        <w:t>, pokud by obchodním tajemstvím bylo až více uveřejněných informací zároveň.</w:t>
      </w:r>
    </w:p>
    <w:p w:rsidR="003B73C0" w:rsidRDefault="003B73C0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3B73C0" w:rsidRPr="00611818" w:rsidRDefault="003B73C0" w:rsidP="007E3D2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1818">
        <w:rPr>
          <w:rFonts w:ascii="Arial" w:hAnsi="Arial" w:cs="Arial"/>
          <w:b/>
          <w:bCs/>
        </w:rPr>
        <w:t>Přímo řízená organizace Ministerstva zdravotnictví nezveřejní v registru smluv informaci o jednotkových cenách, pokud tato informace tvoří obchodní tajemství dodavatele</w:t>
      </w:r>
      <w:r>
        <w:rPr>
          <w:rFonts w:ascii="Arial" w:hAnsi="Arial" w:cs="Arial"/>
          <w:b/>
          <w:bCs/>
        </w:rPr>
        <w:t>, a bude postupovat v souladu s </w:t>
      </w:r>
      <w:r w:rsidR="00CB09D0">
        <w:rPr>
          <w:rFonts w:ascii="Arial" w:hAnsi="Arial" w:cs="Arial"/>
          <w:b/>
          <w:bCs/>
        </w:rPr>
        <w:t>č</w:t>
      </w:r>
      <w:r>
        <w:rPr>
          <w:rFonts w:ascii="Arial" w:hAnsi="Arial" w:cs="Arial"/>
          <w:b/>
          <w:bCs/>
        </w:rPr>
        <w:t xml:space="preserve">l. 4 </w:t>
      </w:r>
      <w:r w:rsidR="001768EE">
        <w:rPr>
          <w:rFonts w:ascii="Arial" w:hAnsi="Arial" w:cs="Arial"/>
          <w:b/>
          <w:bCs/>
        </w:rPr>
        <w:t>této metodiky</w:t>
      </w:r>
      <w:r>
        <w:rPr>
          <w:rFonts w:ascii="Arial" w:hAnsi="Arial" w:cs="Arial"/>
          <w:b/>
          <w:bCs/>
        </w:rPr>
        <w:t>.</w:t>
      </w:r>
    </w:p>
    <w:p w:rsidR="00163CDC" w:rsidRDefault="00163CDC" w:rsidP="007E3D2C">
      <w:pPr>
        <w:spacing w:after="0" w:line="240" w:lineRule="auto"/>
        <w:rPr>
          <w:rFonts w:ascii="Arial" w:hAnsi="Arial" w:cs="Arial"/>
          <w:bCs/>
        </w:rPr>
      </w:pPr>
    </w:p>
    <w:p w:rsidR="00C542D5" w:rsidRDefault="00EF57DD" w:rsidP="007E3D2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C542D5">
        <w:rPr>
          <w:rFonts w:ascii="Arial" w:hAnsi="Arial" w:cs="Arial"/>
          <w:bCs/>
        </w:rPr>
        <w:t>.3</w:t>
      </w:r>
      <w:r w:rsidR="00C542D5">
        <w:rPr>
          <w:rFonts w:ascii="Arial" w:hAnsi="Arial" w:cs="Arial"/>
          <w:bCs/>
        </w:rPr>
        <w:tab/>
        <w:t>Podmínky vyloučení informací z povinnost</w:t>
      </w:r>
      <w:r w:rsidR="00975A2C">
        <w:rPr>
          <w:rFonts w:ascii="Arial" w:hAnsi="Arial" w:cs="Arial"/>
          <w:bCs/>
        </w:rPr>
        <w:t>í</w:t>
      </w:r>
      <w:r w:rsidR="00C542D5">
        <w:rPr>
          <w:rFonts w:ascii="Arial" w:hAnsi="Arial" w:cs="Arial"/>
          <w:bCs/>
        </w:rPr>
        <w:t xml:space="preserve"> uveřejnění</w:t>
      </w:r>
      <w:r w:rsidR="00503D6F">
        <w:rPr>
          <w:rFonts w:ascii="Arial" w:hAnsi="Arial" w:cs="Arial"/>
          <w:bCs/>
        </w:rPr>
        <w:t xml:space="preserve"> a poskyt</w:t>
      </w:r>
      <w:r w:rsidR="00975A2C">
        <w:rPr>
          <w:rFonts w:ascii="Arial" w:hAnsi="Arial" w:cs="Arial"/>
          <w:bCs/>
        </w:rPr>
        <w:t>nutí</w:t>
      </w:r>
    </w:p>
    <w:p w:rsidR="00301249" w:rsidRPr="003615BB" w:rsidRDefault="00301249" w:rsidP="007E3D2C">
      <w:pPr>
        <w:spacing w:after="0" w:line="240" w:lineRule="auto"/>
        <w:rPr>
          <w:rFonts w:ascii="Arial" w:hAnsi="Arial" w:cs="Arial"/>
          <w:bCs/>
        </w:rPr>
      </w:pPr>
    </w:p>
    <w:p w:rsidR="00340E13" w:rsidRPr="003615BB" w:rsidRDefault="00E65519" w:rsidP="007E3D2C">
      <w:pPr>
        <w:spacing w:after="0" w:line="240" w:lineRule="auto"/>
        <w:jc w:val="both"/>
        <w:rPr>
          <w:rFonts w:ascii="Arial" w:hAnsi="Arial" w:cs="Arial"/>
          <w:bCs/>
        </w:rPr>
      </w:pPr>
      <w:r w:rsidRPr="003615BB">
        <w:rPr>
          <w:rFonts w:ascii="Arial" w:hAnsi="Arial" w:cs="Arial"/>
          <w:bCs/>
        </w:rPr>
        <w:t>Přímo řízená organizace neposkytne žadateli</w:t>
      </w:r>
      <w:r w:rsidR="003B3BF5" w:rsidRPr="003615BB">
        <w:rPr>
          <w:rFonts w:ascii="Arial" w:hAnsi="Arial" w:cs="Arial"/>
          <w:bCs/>
        </w:rPr>
        <w:t xml:space="preserve"> dl</w:t>
      </w:r>
      <w:r w:rsidR="00CB09D0">
        <w:rPr>
          <w:rFonts w:ascii="Arial" w:hAnsi="Arial" w:cs="Arial"/>
          <w:bCs/>
        </w:rPr>
        <w:t>e zákona o svobodném přístupu k </w:t>
      </w:r>
      <w:r w:rsidR="003B3BF5" w:rsidRPr="003615BB">
        <w:rPr>
          <w:rFonts w:ascii="Arial" w:hAnsi="Arial" w:cs="Arial"/>
          <w:bCs/>
        </w:rPr>
        <w:t>informacím</w:t>
      </w:r>
      <w:r w:rsidR="00340E13" w:rsidRPr="003615BB">
        <w:rPr>
          <w:rFonts w:ascii="Arial" w:hAnsi="Arial" w:cs="Arial"/>
          <w:bCs/>
        </w:rPr>
        <w:t>:</w:t>
      </w:r>
    </w:p>
    <w:p w:rsidR="002B3A14" w:rsidRPr="003615BB" w:rsidRDefault="002B3A14" w:rsidP="007E3D2C">
      <w:pPr>
        <w:spacing w:after="0" w:line="240" w:lineRule="auto"/>
        <w:jc w:val="both"/>
        <w:rPr>
          <w:rFonts w:ascii="Arial" w:hAnsi="Arial" w:cs="Arial"/>
          <w:bCs/>
        </w:rPr>
      </w:pPr>
    </w:p>
    <w:p w:rsidR="00BE509C" w:rsidRPr="003615BB" w:rsidRDefault="00BE509C" w:rsidP="007E3D2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3615BB">
        <w:rPr>
          <w:rFonts w:ascii="Arial" w:hAnsi="Arial" w:cs="Arial"/>
          <w:bCs/>
        </w:rPr>
        <w:t>informace obsažené v</w:t>
      </w:r>
      <w:r w:rsidR="00883D2E" w:rsidRPr="003615BB">
        <w:rPr>
          <w:rFonts w:ascii="Arial" w:hAnsi="Arial" w:cs="Arial"/>
          <w:bCs/>
        </w:rPr>
        <w:t> </w:t>
      </w:r>
      <w:bookmarkStart w:id="2" w:name="_Hlk531166359"/>
      <w:r w:rsidR="00883D2E" w:rsidRPr="003615BB">
        <w:rPr>
          <w:rFonts w:ascii="Arial" w:hAnsi="Arial" w:cs="Arial"/>
          <w:bCs/>
        </w:rPr>
        <w:t>Databázi reálných jednotkových cen</w:t>
      </w:r>
      <w:r w:rsidR="0011213B" w:rsidRPr="003615BB">
        <w:rPr>
          <w:rFonts w:ascii="Arial" w:hAnsi="Arial" w:cs="Arial"/>
          <w:bCs/>
        </w:rPr>
        <w:t xml:space="preserve"> léčiv dodávaných do</w:t>
      </w:r>
      <w:r w:rsidR="003615BB">
        <w:rPr>
          <w:rFonts w:ascii="Arial" w:hAnsi="Arial" w:cs="Arial"/>
          <w:bCs/>
        </w:rPr>
        <w:t> </w:t>
      </w:r>
      <w:r w:rsidR="0011213B" w:rsidRPr="003615BB">
        <w:rPr>
          <w:rFonts w:ascii="Arial" w:hAnsi="Arial" w:cs="Arial"/>
          <w:bCs/>
        </w:rPr>
        <w:t>nemocnic přímo řízených Ministerstvem</w:t>
      </w:r>
      <w:bookmarkEnd w:id="2"/>
      <w:r w:rsidR="007511AB" w:rsidRPr="003615BB">
        <w:rPr>
          <w:rFonts w:ascii="Arial" w:hAnsi="Arial" w:cs="Arial"/>
          <w:bCs/>
        </w:rPr>
        <w:t xml:space="preserve"> zdravotnictví</w:t>
      </w:r>
      <w:r w:rsidRPr="003615BB">
        <w:rPr>
          <w:rFonts w:ascii="Arial" w:hAnsi="Arial" w:cs="Arial"/>
          <w:bCs/>
        </w:rPr>
        <w:t xml:space="preserve"> dle čl. </w:t>
      </w:r>
      <w:r w:rsidR="0047111E">
        <w:rPr>
          <w:rFonts w:ascii="Arial" w:hAnsi="Arial" w:cs="Arial"/>
          <w:bCs/>
        </w:rPr>
        <w:t>3</w:t>
      </w:r>
      <w:r w:rsidRPr="003615BB">
        <w:rPr>
          <w:rFonts w:ascii="Arial" w:hAnsi="Arial" w:cs="Arial"/>
          <w:bCs/>
        </w:rPr>
        <w:t xml:space="preserve"> </w:t>
      </w:r>
      <w:r w:rsidR="001768EE">
        <w:rPr>
          <w:rFonts w:ascii="Arial" w:hAnsi="Arial" w:cs="Arial"/>
          <w:bCs/>
        </w:rPr>
        <w:t>této metodiky</w:t>
      </w:r>
      <w:r w:rsidRPr="003615BB">
        <w:rPr>
          <w:rFonts w:ascii="Arial" w:hAnsi="Arial" w:cs="Arial"/>
          <w:bCs/>
        </w:rPr>
        <w:t>,</w:t>
      </w:r>
      <w:r w:rsidR="0008514B" w:rsidRPr="003615BB">
        <w:rPr>
          <w:rFonts w:ascii="Arial" w:hAnsi="Arial" w:cs="Arial"/>
          <w:bCs/>
        </w:rPr>
        <w:t xml:space="preserve"> neboť tyto jsou považované za obchodní tajemství</w:t>
      </w:r>
      <w:r w:rsidR="006401F4" w:rsidRPr="003615BB">
        <w:rPr>
          <w:rFonts w:ascii="Arial" w:hAnsi="Arial" w:cs="Arial"/>
          <w:bCs/>
        </w:rPr>
        <w:t xml:space="preserve"> osoby, která informace do</w:t>
      </w:r>
      <w:r w:rsidR="003615BB">
        <w:rPr>
          <w:rFonts w:ascii="Arial" w:hAnsi="Arial" w:cs="Arial"/>
          <w:bCs/>
        </w:rPr>
        <w:t> </w:t>
      </w:r>
      <w:r w:rsidR="00DD2651" w:rsidRPr="003615BB">
        <w:rPr>
          <w:rFonts w:ascii="Arial" w:hAnsi="Arial" w:cs="Arial"/>
          <w:bCs/>
        </w:rPr>
        <w:t>Databáze</w:t>
      </w:r>
      <w:r w:rsidR="006401F4" w:rsidRPr="003615BB">
        <w:rPr>
          <w:rFonts w:ascii="Arial" w:hAnsi="Arial" w:cs="Arial"/>
          <w:bCs/>
        </w:rPr>
        <w:t xml:space="preserve"> vložila;</w:t>
      </w:r>
    </w:p>
    <w:p w:rsidR="008B5E49" w:rsidRPr="003615BB" w:rsidRDefault="00352ACA" w:rsidP="007E3D2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3615BB">
        <w:rPr>
          <w:rFonts w:ascii="Arial" w:hAnsi="Arial" w:cs="Arial"/>
          <w:bCs/>
        </w:rPr>
        <w:t>informace</w:t>
      </w:r>
      <w:r w:rsidR="00691572" w:rsidRPr="003615BB">
        <w:rPr>
          <w:rFonts w:ascii="Arial" w:hAnsi="Arial" w:cs="Arial"/>
          <w:bCs/>
        </w:rPr>
        <w:t xml:space="preserve"> o nákupech léčivých přípravků</w:t>
      </w:r>
      <w:r w:rsidR="00EE7E2A" w:rsidRPr="003615BB">
        <w:rPr>
          <w:rFonts w:ascii="Arial" w:hAnsi="Arial" w:cs="Arial"/>
          <w:bCs/>
        </w:rPr>
        <w:t xml:space="preserve"> (včetně kupních cen, slev</w:t>
      </w:r>
      <w:r w:rsidR="00174FE3" w:rsidRPr="003615BB">
        <w:rPr>
          <w:rFonts w:ascii="Arial" w:hAnsi="Arial" w:cs="Arial"/>
          <w:bCs/>
        </w:rPr>
        <w:t>, bonusů či</w:t>
      </w:r>
      <w:r w:rsidR="003615BB">
        <w:rPr>
          <w:rFonts w:ascii="Arial" w:hAnsi="Arial" w:cs="Arial"/>
          <w:bCs/>
        </w:rPr>
        <w:t> </w:t>
      </w:r>
      <w:r w:rsidR="00174FE3" w:rsidRPr="003615BB">
        <w:rPr>
          <w:rFonts w:ascii="Arial" w:hAnsi="Arial" w:cs="Arial"/>
          <w:bCs/>
        </w:rPr>
        <w:t>speciálních cen)</w:t>
      </w:r>
      <w:r w:rsidRPr="003615BB">
        <w:rPr>
          <w:rFonts w:ascii="Arial" w:hAnsi="Arial" w:cs="Arial"/>
          <w:bCs/>
        </w:rPr>
        <w:t xml:space="preserve"> </w:t>
      </w:r>
      <w:r w:rsidR="00704EBD" w:rsidRPr="003615BB">
        <w:rPr>
          <w:rFonts w:ascii="Arial" w:hAnsi="Arial" w:cs="Arial"/>
          <w:bCs/>
        </w:rPr>
        <w:t xml:space="preserve">tak, aby kombinací </w:t>
      </w:r>
      <w:r w:rsidR="0080030E" w:rsidRPr="003615BB">
        <w:rPr>
          <w:rFonts w:ascii="Arial" w:hAnsi="Arial" w:cs="Arial"/>
          <w:bCs/>
        </w:rPr>
        <w:t xml:space="preserve">údajů bylo možné </w:t>
      </w:r>
      <w:r w:rsidRPr="003615BB">
        <w:rPr>
          <w:rFonts w:ascii="Arial" w:hAnsi="Arial" w:cs="Arial"/>
          <w:bCs/>
        </w:rPr>
        <w:t>určit</w:t>
      </w:r>
      <w:r w:rsidR="0080030E" w:rsidRPr="003615BB">
        <w:rPr>
          <w:rFonts w:ascii="Arial" w:hAnsi="Arial" w:cs="Arial"/>
          <w:bCs/>
        </w:rPr>
        <w:t xml:space="preserve"> způsob výpočtu jednotkové ceny či </w:t>
      </w:r>
      <w:r w:rsidR="00C9260C" w:rsidRPr="003615BB">
        <w:rPr>
          <w:rFonts w:ascii="Arial" w:hAnsi="Arial" w:cs="Arial"/>
          <w:bCs/>
        </w:rPr>
        <w:t xml:space="preserve">vlastní </w:t>
      </w:r>
      <w:r w:rsidR="0080030E" w:rsidRPr="003615BB">
        <w:rPr>
          <w:rFonts w:ascii="Arial" w:hAnsi="Arial" w:cs="Arial"/>
          <w:bCs/>
        </w:rPr>
        <w:t>jednotkovou cenu léčivého přípravku</w:t>
      </w:r>
      <w:r w:rsidR="003B5EDB" w:rsidRPr="003615BB">
        <w:rPr>
          <w:rFonts w:ascii="Arial" w:hAnsi="Arial" w:cs="Arial"/>
          <w:bCs/>
        </w:rPr>
        <w:t>, který je předmětem nákupu přímo řízen</w:t>
      </w:r>
      <w:r w:rsidRPr="003615BB">
        <w:rPr>
          <w:rFonts w:ascii="Arial" w:hAnsi="Arial" w:cs="Arial"/>
          <w:bCs/>
        </w:rPr>
        <w:t>é</w:t>
      </w:r>
      <w:r w:rsidR="003B5EDB" w:rsidRPr="003615BB">
        <w:rPr>
          <w:rFonts w:ascii="Arial" w:hAnsi="Arial" w:cs="Arial"/>
          <w:bCs/>
        </w:rPr>
        <w:t xml:space="preserve"> organizac</w:t>
      </w:r>
      <w:r w:rsidRPr="003615BB">
        <w:rPr>
          <w:rFonts w:ascii="Arial" w:hAnsi="Arial" w:cs="Arial"/>
          <w:bCs/>
        </w:rPr>
        <w:t>e</w:t>
      </w:r>
      <w:r w:rsidR="00A22024" w:rsidRPr="003615BB">
        <w:rPr>
          <w:rFonts w:ascii="Arial" w:hAnsi="Arial" w:cs="Arial"/>
          <w:bCs/>
        </w:rPr>
        <w:t>,</w:t>
      </w:r>
      <w:r w:rsidR="005B040F" w:rsidRPr="003615BB">
        <w:rPr>
          <w:rFonts w:ascii="Arial" w:hAnsi="Arial" w:cs="Arial"/>
          <w:bCs/>
        </w:rPr>
        <w:t xml:space="preserve"> a to za podmínky, že</w:t>
      </w:r>
      <w:r w:rsidR="00A22024" w:rsidRPr="003615BB">
        <w:rPr>
          <w:rFonts w:ascii="Arial" w:hAnsi="Arial" w:cs="Arial"/>
          <w:bCs/>
        </w:rPr>
        <w:t xml:space="preserve"> </w:t>
      </w:r>
      <w:r w:rsidR="005B040F" w:rsidRPr="003615BB">
        <w:rPr>
          <w:rFonts w:ascii="Arial" w:hAnsi="Arial" w:cs="Arial"/>
          <w:bCs/>
        </w:rPr>
        <w:t>takové informace jsou</w:t>
      </w:r>
      <w:r w:rsidR="00A22024" w:rsidRPr="003615BB">
        <w:rPr>
          <w:rFonts w:ascii="Arial" w:hAnsi="Arial" w:cs="Arial"/>
          <w:bCs/>
        </w:rPr>
        <w:t xml:space="preserve"> označen</w:t>
      </w:r>
      <w:r w:rsidR="00091449" w:rsidRPr="003615BB">
        <w:rPr>
          <w:rFonts w:ascii="Arial" w:hAnsi="Arial" w:cs="Arial"/>
          <w:bCs/>
        </w:rPr>
        <w:t>é</w:t>
      </w:r>
      <w:r w:rsidR="00A22024" w:rsidRPr="003615BB">
        <w:rPr>
          <w:rFonts w:ascii="Arial" w:hAnsi="Arial" w:cs="Arial"/>
          <w:bCs/>
        </w:rPr>
        <w:t xml:space="preserve"> jako obchodní tajemství</w:t>
      </w:r>
      <w:r w:rsidR="005B040F" w:rsidRPr="003615BB">
        <w:rPr>
          <w:rFonts w:ascii="Arial" w:hAnsi="Arial" w:cs="Arial"/>
          <w:bCs/>
        </w:rPr>
        <w:t xml:space="preserve"> třetí osoby</w:t>
      </w:r>
      <w:r w:rsidR="00BE509C" w:rsidRPr="003615BB">
        <w:rPr>
          <w:rFonts w:ascii="Arial" w:hAnsi="Arial" w:cs="Arial"/>
          <w:bCs/>
        </w:rPr>
        <w:t>.</w:t>
      </w:r>
    </w:p>
    <w:p w:rsidR="00EF0EAC" w:rsidRPr="00CB09D0" w:rsidRDefault="00EF0EAC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47111E" w:rsidRPr="00CB09D0" w:rsidRDefault="0047111E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553182" w:rsidRDefault="00553182" w:rsidP="007E3D2C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BB0972">
        <w:rPr>
          <w:rFonts w:ascii="Arial" w:hAnsi="Arial" w:cs="Arial"/>
          <w:bCs/>
          <w:color w:val="000000"/>
        </w:rPr>
        <w:t xml:space="preserve">Čl. </w:t>
      </w:r>
      <w:r w:rsidR="001A5575">
        <w:rPr>
          <w:rFonts w:ascii="Arial" w:hAnsi="Arial" w:cs="Arial"/>
          <w:bCs/>
          <w:color w:val="000000"/>
        </w:rPr>
        <w:t>4</w:t>
      </w:r>
    </w:p>
    <w:p w:rsidR="00EF0EAC" w:rsidRPr="0047111E" w:rsidRDefault="00EF0EAC" w:rsidP="0047111E">
      <w:pPr>
        <w:spacing w:after="0" w:line="240" w:lineRule="auto"/>
        <w:rPr>
          <w:rFonts w:ascii="Arial" w:hAnsi="Arial" w:cs="Arial"/>
          <w:bCs/>
        </w:rPr>
      </w:pPr>
    </w:p>
    <w:p w:rsidR="00164423" w:rsidRDefault="003615BB" w:rsidP="007E3D2C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Databáze </w:t>
      </w:r>
      <w:r w:rsidR="00164423" w:rsidRPr="00E56635">
        <w:rPr>
          <w:rFonts w:ascii="Arial" w:hAnsi="Arial" w:cs="Arial"/>
          <w:b/>
          <w:bCs/>
        </w:rPr>
        <w:t>jednotkových cen léčiv dodávaných</w:t>
      </w:r>
      <w:r>
        <w:rPr>
          <w:rFonts w:ascii="Arial" w:hAnsi="Arial" w:cs="Arial"/>
          <w:b/>
          <w:bCs/>
        </w:rPr>
        <w:t xml:space="preserve"> </w:t>
      </w:r>
      <w:r w:rsidR="00164423" w:rsidRPr="00E56635">
        <w:rPr>
          <w:rFonts w:ascii="Arial" w:hAnsi="Arial" w:cs="Arial"/>
          <w:b/>
          <w:bCs/>
        </w:rPr>
        <w:t>do nemocnic přímo řízených Ministerstvem</w:t>
      </w:r>
      <w:r w:rsidR="007511AB">
        <w:rPr>
          <w:rFonts w:ascii="Arial" w:hAnsi="Arial" w:cs="Arial"/>
          <w:b/>
          <w:bCs/>
        </w:rPr>
        <w:t xml:space="preserve"> zdravotnictví</w:t>
      </w:r>
    </w:p>
    <w:p w:rsidR="00164423" w:rsidRPr="00EF0EAC" w:rsidRDefault="00164423" w:rsidP="0047111E">
      <w:pPr>
        <w:spacing w:after="0" w:line="240" w:lineRule="auto"/>
        <w:rPr>
          <w:rFonts w:ascii="Arial" w:hAnsi="Arial" w:cs="Arial"/>
          <w:bCs/>
        </w:rPr>
      </w:pPr>
    </w:p>
    <w:p w:rsidR="0036741E" w:rsidRDefault="00EF57DD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C94B56">
        <w:rPr>
          <w:rFonts w:ascii="Arial" w:hAnsi="Arial" w:cs="Arial"/>
          <w:bCs/>
        </w:rPr>
        <w:t>.1</w:t>
      </w:r>
      <w:r w:rsidR="00C94B56">
        <w:rPr>
          <w:rFonts w:ascii="Arial" w:hAnsi="Arial" w:cs="Arial"/>
          <w:bCs/>
        </w:rPr>
        <w:tab/>
      </w:r>
      <w:r w:rsidR="00C03DDA">
        <w:rPr>
          <w:rFonts w:ascii="Arial" w:hAnsi="Arial" w:cs="Arial"/>
          <w:bCs/>
        </w:rPr>
        <w:t>Za účelem zajištění transparentnosti hospodaření přímo řízených organizací</w:t>
      </w:r>
      <w:r w:rsidR="003615BB">
        <w:rPr>
          <w:rFonts w:ascii="Arial" w:hAnsi="Arial" w:cs="Arial"/>
          <w:bCs/>
        </w:rPr>
        <w:br/>
      </w:r>
      <w:r w:rsidR="000B39F4">
        <w:rPr>
          <w:rFonts w:ascii="Arial" w:hAnsi="Arial" w:cs="Arial"/>
          <w:bCs/>
        </w:rPr>
        <w:t>a možného ověření údajů jinak vyloučených ze zákonných požadavků na uveřejnění, byl</w:t>
      </w:r>
      <w:r w:rsidR="00FE35F8">
        <w:rPr>
          <w:rFonts w:ascii="Arial" w:hAnsi="Arial" w:cs="Arial"/>
          <w:bCs/>
        </w:rPr>
        <w:t>a</w:t>
      </w:r>
      <w:r w:rsidR="0001129A">
        <w:rPr>
          <w:rFonts w:ascii="Arial" w:hAnsi="Arial" w:cs="Arial"/>
          <w:bCs/>
        </w:rPr>
        <w:t xml:space="preserve"> na základě Memoranda o </w:t>
      </w:r>
      <w:r w:rsidR="0001129A" w:rsidRPr="003615BB">
        <w:rPr>
          <w:rFonts w:ascii="Arial" w:hAnsi="Arial" w:cs="Arial"/>
          <w:bCs/>
        </w:rPr>
        <w:t>spolupráci</w:t>
      </w:r>
      <w:r w:rsidR="00FE35F8" w:rsidRPr="003615BB">
        <w:rPr>
          <w:rFonts w:ascii="Arial" w:hAnsi="Arial" w:cs="Arial"/>
          <w:bCs/>
        </w:rPr>
        <w:t>, uzavřeného</w:t>
      </w:r>
      <w:r w:rsidR="009701B4" w:rsidRPr="003615BB">
        <w:rPr>
          <w:rFonts w:ascii="Arial" w:hAnsi="Arial" w:cs="Arial"/>
          <w:bCs/>
        </w:rPr>
        <w:t xml:space="preserve"> dne </w:t>
      </w:r>
      <w:r w:rsidR="007B05CE" w:rsidRPr="003615BB">
        <w:rPr>
          <w:rFonts w:ascii="Arial" w:hAnsi="Arial" w:cs="Arial"/>
          <w:bCs/>
        </w:rPr>
        <w:t>21.</w:t>
      </w:r>
      <w:r w:rsidR="00ED179B">
        <w:rPr>
          <w:rFonts w:ascii="Arial" w:hAnsi="Arial" w:cs="Arial"/>
          <w:bCs/>
        </w:rPr>
        <w:t xml:space="preserve"> </w:t>
      </w:r>
      <w:r w:rsidR="007B05CE" w:rsidRPr="003615BB">
        <w:rPr>
          <w:rFonts w:ascii="Arial" w:hAnsi="Arial" w:cs="Arial"/>
          <w:bCs/>
        </w:rPr>
        <w:t>11.</w:t>
      </w:r>
      <w:r w:rsidR="00ED179B">
        <w:rPr>
          <w:rFonts w:ascii="Arial" w:hAnsi="Arial" w:cs="Arial"/>
          <w:bCs/>
        </w:rPr>
        <w:t xml:space="preserve"> </w:t>
      </w:r>
      <w:r w:rsidR="009701B4" w:rsidRPr="003615BB">
        <w:rPr>
          <w:rFonts w:ascii="Arial" w:hAnsi="Arial" w:cs="Arial"/>
          <w:bCs/>
        </w:rPr>
        <w:t>2018</w:t>
      </w:r>
      <w:r w:rsidR="003615BB" w:rsidRPr="003615BB">
        <w:rPr>
          <w:rFonts w:ascii="Arial" w:hAnsi="Arial" w:cs="Arial"/>
          <w:bCs/>
        </w:rPr>
        <w:t xml:space="preserve"> </w:t>
      </w:r>
      <w:r w:rsidR="00FE35F8" w:rsidRPr="003615BB">
        <w:rPr>
          <w:rFonts w:ascii="Arial" w:hAnsi="Arial" w:cs="Arial"/>
          <w:bCs/>
        </w:rPr>
        <w:t>mezi Ministerstvem zdravotnictví a Asociací inovativního farmaceutického průmyslu (AIFP)</w:t>
      </w:r>
      <w:r w:rsidR="00CB09D0">
        <w:rPr>
          <w:rFonts w:ascii="Arial" w:hAnsi="Arial" w:cs="Arial"/>
          <w:bCs/>
        </w:rPr>
        <w:t xml:space="preserve"> </w:t>
      </w:r>
      <w:r w:rsidR="00FE35F8" w:rsidRPr="003615BB">
        <w:rPr>
          <w:rFonts w:ascii="Arial" w:hAnsi="Arial" w:cs="Arial"/>
          <w:bCs/>
        </w:rPr>
        <w:t>(dále jen „Memorandum“),</w:t>
      </w:r>
      <w:r w:rsidR="00457DF9" w:rsidRPr="003615BB">
        <w:rPr>
          <w:rFonts w:ascii="Arial" w:hAnsi="Arial" w:cs="Arial"/>
          <w:bCs/>
        </w:rPr>
        <w:t xml:space="preserve"> které tvoří přílohu </w:t>
      </w:r>
      <w:r w:rsidR="005726D4" w:rsidRPr="003615BB">
        <w:rPr>
          <w:rFonts w:ascii="Arial" w:hAnsi="Arial" w:cs="Arial"/>
          <w:bCs/>
        </w:rPr>
        <w:t>k</w:t>
      </w:r>
      <w:r w:rsidR="001768EE">
        <w:rPr>
          <w:rFonts w:ascii="Arial" w:hAnsi="Arial" w:cs="Arial"/>
          <w:bCs/>
        </w:rPr>
        <w:t> této metodice</w:t>
      </w:r>
      <w:r w:rsidR="005726D4" w:rsidRPr="003615BB">
        <w:rPr>
          <w:rFonts w:ascii="Arial" w:hAnsi="Arial" w:cs="Arial"/>
          <w:bCs/>
        </w:rPr>
        <w:t>,</w:t>
      </w:r>
      <w:r w:rsidR="000B39F4" w:rsidRPr="003615BB">
        <w:rPr>
          <w:rFonts w:ascii="Arial" w:hAnsi="Arial" w:cs="Arial"/>
          <w:bCs/>
        </w:rPr>
        <w:t xml:space="preserve"> na</w:t>
      </w:r>
      <w:r w:rsidR="00C94B56" w:rsidRPr="003615BB">
        <w:rPr>
          <w:rFonts w:ascii="Arial" w:hAnsi="Arial" w:cs="Arial"/>
          <w:bCs/>
        </w:rPr>
        <w:t xml:space="preserve"> internetové </w:t>
      </w:r>
      <w:r w:rsidR="000A4C71" w:rsidRPr="003615BB">
        <w:rPr>
          <w:rFonts w:ascii="Arial" w:hAnsi="Arial" w:cs="Arial"/>
          <w:bCs/>
        </w:rPr>
        <w:t>adrese:</w:t>
      </w:r>
      <w:r w:rsidR="00C94B56" w:rsidRPr="003615BB">
        <w:rPr>
          <w:rFonts w:ascii="Arial" w:hAnsi="Arial" w:cs="Arial"/>
          <w:bCs/>
        </w:rPr>
        <w:t xml:space="preserve"> </w:t>
      </w:r>
      <w:r w:rsidR="00ED179B" w:rsidRPr="00611818">
        <w:t>www.lrot.cz</w:t>
      </w:r>
      <w:r w:rsidR="0076542D" w:rsidRPr="003615BB">
        <w:rPr>
          <w:rFonts w:ascii="Arial" w:hAnsi="Arial" w:cs="Arial"/>
          <w:bCs/>
        </w:rPr>
        <w:t xml:space="preserve"> </w:t>
      </w:r>
      <w:r w:rsidR="00C94B56" w:rsidRPr="003615BB">
        <w:rPr>
          <w:rFonts w:ascii="Arial" w:hAnsi="Arial" w:cs="Arial"/>
          <w:bCs/>
        </w:rPr>
        <w:t>zřízen</w:t>
      </w:r>
      <w:r w:rsidR="00E56635" w:rsidRPr="003615BB">
        <w:rPr>
          <w:rFonts w:ascii="Arial" w:hAnsi="Arial" w:cs="Arial"/>
          <w:bCs/>
        </w:rPr>
        <w:t>a</w:t>
      </w:r>
      <w:r w:rsidR="0032704A" w:rsidRPr="003615BB">
        <w:rPr>
          <w:rFonts w:ascii="Arial" w:hAnsi="Arial" w:cs="Arial"/>
          <w:bCs/>
        </w:rPr>
        <w:t xml:space="preserve"> n</w:t>
      </w:r>
      <w:r w:rsidR="0032704A">
        <w:rPr>
          <w:rFonts w:ascii="Arial" w:hAnsi="Arial" w:cs="Arial"/>
          <w:bCs/>
        </w:rPr>
        <w:t>eveřejn</w:t>
      </w:r>
      <w:r w:rsidR="00E56635">
        <w:rPr>
          <w:rFonts w:ascii="Arial" w:hAnsi="Arial" w:cs="Arial"/>
          <w:bCs/>
        </w:rPr>
        <w:t>á</w:t>
      </w:r>
      <w:r w:rsidR="00C94B56">
        <w:rPr>
          <w:rFonts w:ascii="Arial" w:hAnsi="Arial" w:cs="Arial"/>
          <w:bCs/>
        </w:rPr>
        <w:t xml:space="preserve"> </w:t>
      </w:r>
      <w:r w:rsidR="00E56635" w:rsidRPr="00E56635">
        <w:rPr>
          <w:rFonts w:ascii="Arial" w:hAnsi="Arial" w:cs="Arial"/>
          <w:bCs/>
        </w:rPr>
        <w:t>Databáz</w:t>
      </w:r>
      <w:r w:rsidR="00E56635">
        <w:rPr>
          <w:rFonts w:ascii="Arial" w:hAnsi="Arial" w:cs="Arial"/>
          <w:bCs/>
        </w:rPr>
        <w:t>e</w:t>
      </w:r>
      <w:r w:rsidR="00E56635" w:rsidRPr="00E56635">
        <w:rPr>
          <w:rFonts w:ascii="Arial" w:hAnsi="Arial" w:cs="Arial"/>
          <w:bCs/>
        </w:rPr>
        <w:t xml:space="preserve"> </w:t>
      </w:r>
      <w:r w:rsidR="003464C2">
        <w:rPr>
          <w:rFonts w:ascii="Arial" w:hAnsi="Arial" w:cs="Arial"/>
          <w:bCs/>
        </w:rPr>
        <w:t xml:space="preserve">reálných </w:t>
      </w:r>
      <w:r w:rsidR="00E56635" w:rsidRPr="00E56635">
        <w:rPr>
          <w:rFonts w:ascii="Arial" w:hAnsi="Arial" w:cs="Arial"/>
          <w:bCs/>
        </w:rPr>
        <w:t>jednotkových cen léčiv dodávaných do nemoc</w:t>
      </w:r>
      <w:r w:rsidR="00E56635" w:rsidRPr="003615BB">
        <w:rPr>
          <w:rFonts w:ascii="Arial" w:hAnsi="Arial" w:cs="Arial"/>
          <w:bCs/>
        </w:rPr>
        <w:t>nic přímo řízených Ministerstvem</w:t>
      </w:r>
      <w:r w:rsidR="000D12DA" w:rsidRPr="003615BB">
        <w:rPr>
          <w:rFonts w:ascii="Arial" w:hAnsi="Arial" w:cs="Arial"/>
          <w:bCs/>
        </w:rPr>
        <w:t xml:space="preserve"> zdravotnictví</w:t>
      </w:r>
      <w:r w:rsidR="005F28CA" w:rsidRPr="003615BB">
        <w:rPr>
          <w:rFonts w:ascii="Arial" w:hAnsi="Arial" w:cs="Arial"/>
          <w:bCs/>
        </w:rPr>
        <w:t xml:space="preserve"> („</w:t>
      </w:r>
      <w:r w:rsidR="00E56635" w:rsidRPr="003615BB">
        <w:rPr>
          <w:rFonts w:ascii="Arial" w:hAnsi="Arial" w:cs="Arial"/>
          <w:bCs/>
        </w:rPr>
        <w:t>Databáze</w:t>
      </w:r>
      <w:r w:rsidR="005F28CA" w:rsidRPr="003615BB">
        <w:rPr>
          <w:rFonts w:ascii="Arial" w:hAnsi="Arial" w:cs="Arial"/>
          <w:bCs/>
        </w:rPr>
        <w:t>“)</w:t>
      </w:r>
      <w:r w:rsidR="00F71BEF" w:rsidRPr="003615BB">
        <w:rPr>
          <w:rFonts w:ascii="Arial" w:hAnsi="Arial" w:cs="Arial"/>
          <w:bCs/>
        </w:rPr>
        <w:t>, kter</w:t>
      </w:r>
      <w:r w:rsidR="00E56635" w:rsidRPr="003615BB">
        <w:rPr>
          <w:rFonts w:ascii="Arial" w:hAnsi="Arial" w:cs="Arial"/>
          <w:bCs/>
        </w:rPr>
        <w:t>á</w:t>
      </w:r>
      <w:r w:rsidR="00F71BEF" w:rsidRPr="003615BB">
        <w:rPr>
          <w:rFonts w:ascii="Arial" w:hAnsi="Arial" w:cs="Arial"/>
          <w:bCs/>
        </w:rPr>
        <w:t xml:space="preserve"> je určen</w:t>
      </w:r>
      <w:r w:rsidR="00E56635" w:rsidRPr="003615BB">
        <w:rPr>
          <w:rFonts w:ascii="Arial" w:hAnsi="Arial" w:cs="Arial"/>
          <w:bCs/>
        </w:rPr>
        <w:t>a</w:t>
      </w:r>
      <w:r w:rsidR="00F71BEF" w:rsidRPr="003615BB">
        <w:rPr>
          <w:rFonts w:ascii="Arial" w:hAnsi="Arial" w:cs="Arial"/>
          <w:bCs/>
        </w:rPr>
        <w:t xml:space="preserve"> </w:t>
      </w:r>
      <w:r w:rsidR="00F71BEF" w:rsidRPr="003615BB">
        <w:rPr>
          <w:rFonts w:ascii="Arial" w:hAnsi="Arial" w:cs="Arial"/>
          <w:bCs/>
        </w:rPr>
        <w:lastRenderedPageBreak/>
        <w:t xml:space="preserve">pro </w:t>
      </w:r>
      <w:r w:rsidR="0019772F" w:rsidRPr="003615BB">
        <w:rPr>
          <w:rFonts w:ascii="Arial" w:hAnsi="Arial" w:cs="Arial"/>
          <w:bCs/>
        </w:rPr>
        <w:t xml:space="preserve">vkládání informací uvedených v čl. 3 </w:t>
      </w:r>
      <w:r w:rsidR="001768EE">
        <w:rPr>
          <w:rFonts w:ascii="Arial" w:hAnsi="Arial" w:cs="Arial"/>
          <w:bCs/>
        </w:rPr>
        <w:t>této metodiky</w:t>
      </w:r>
      <w:r w:rsidR="0019772F" w:rsidRPr="003615BB">
        <w:rPr>
          <w:rFonts w:ascii="Arial" w:hAnsi="Arial" w:cs="Arial"/>
          <w:bCs/>
        </w:rPr>
        <w:t xml:space="preserve"> </w:t>
      </w:r>
      <w:r w:rsidR="00DC2170" w:rsidRPr="003615BB">
        <w:rPr>
          <w:rFonts w:ascii="Arial" w:hAnsi="Arial" w:cs="Arial"/>
          <w:bCs/>
        </w:rPr>
        <w:t xml:space="preserve">držiteli rozhodnutí o registraci a </w:t>
      </w:r>
      <w:r w:rsidR="00F71BEF" w:rsidRPr="003615BB">
        <w:rPr>
          <w:rFonts w:ascii="Arial" w:hAnsi="Arial" w:cs="Arial"/>
          <w:bCs/>
        </w:rPr>
        <w:t>dodavatel</w:t>
      </w:r>
      <w:r w:rsidR="0019772F" w:rsidRPr="003615BB">
        <w:rPr>
          <w:rFonts w:ascii="Arial" w:hAnsi="Arial" w:cs="Arial"/>
          <w:bCs/>
        </w:rPr>
        <w:t>i</w:t>
      </w:r>
      <w:r w:rsidR="00F71BEF" w:rsidRPr="003615BB">
        <w:rPr>
          <w:rFonts w:ascii="Arial" w:hAnsi="Arial" w:cs="Arial"/>
          <w:bCs/>
        </w:rPr>
        <w:t xml:space="preserve"> léčivých přípravků</w:t>
      </w:r>
      <w:r w:rsidR="00FB68C6" w:rsidRPr="003615BB">
        <w:rPr>
          <w:rFonts w:ascii="Arial" w:hAnsi="Arial" w:cs="Arial"/>
          <w:bCs/>
        </w:rPr>
        <w:t xml:space="preserve">, které jsou předmětem nákupů </w:t>
      </w:r>
      <w:r w:rsidR="00F71BEF" w:rsidRPr="003615BB">
        <w:rPr>
          <w:rFonts w:ascii="Arial" w:hAnsi="Arial" w:cs="Arial"/>
          <w:bCs/>
        </w:rPr>
        <w:t>přímo řízený</w:t>
      </w:r>
      <w:r w:rsidR="007051E7" w:rsidRPr="003615BB">
        <w:rPr>
          <w:rFonts w:ascii="Arial" w:hAnsi="Arial" w:cs="Arial"/>
          <w:bCs/>
        </w:rPr>
        <w:t>ch</w:t>
      </w:r>
      <w:r w:rsidR="00F71BEF">
        <w:rPr>
          <w:rFonts w:ascii="Arial" w:hAnsi="Arial" w:cs="Arial"/>
          <w:bCs/>
        </w:rPr>
        <w:t xml:space="preserve"> organizac</w:t>
      </w:r>
      <w:r w:rsidR="007051E7">
        <w:rPr>
          <w:rFonts w:ascii="Arial" w:hAnsi="Arial" w:cs="Arial"/>
          <w:bCs/>
        </w:rPr>
        <w:t>í</w:t>
      </w:r>
      <w:r w:rsidR="00F71BEF">
        <w:rPr>
          <w:rFonts w:ascii="Arial" w:hAnsi="Arial" w:cs="Arial"/>
          <w:bCs/>
        </w:rPr>
        <w:t xml:space="preserve"> Ministerstva zdravotnictví.</w:t>
      </w:r>
    </w:p>
    <w:p w:rsidR="0036741E" w:rsidRDefault="0036741E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</w:p>
    <w:p w:rsidR="00B016DC" w:rsidRDefault="00EF57DD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36741E">
        <w:rPr>
          <w:rFonts w:ascii="Arial" w:hAnsi="Arial" w:cs="Arial"/>
          <w:bCs/>
        </w:rPr>
        <w:t>.2</w:t>
      </w:r>
      <w:r w:rsidR="0036741E">
        <w:rPr>
          <w:rFonts w:ascii="Arial" w:hAnsi="Arial" w:cs="Arial"/>
          <w:bCs/>
        </w:rPr>
        <w:tab/>
      </w:r>
      <w:r w:rsidR="00714124">
        <w:rPr>
          <w:rFonts w:ascii="Arial" w:hAnsi="Arial" w:cs="Arial"/>
          <w:bCs/>
        </w:rPr>
        <w:t>Účel Databáze</w:t>
      </w:r>
      <w:r w:rsidR="000D2BD5">
        <w:rPr>
          <w:rFonts w:ascii="Arial" w:hAnsi="Arial" w:cs="Arial"/>
          <w:bCs/>
        </w:rPr>
        <w:t xml:space="preserve"> a Memoranda</w:t>
      </w:r>
      <w:r w:rsidR="00714124">
        <w:rPr>
          <w:rFonts w:ascii="Arial" w:hAnsi="Arial" w:cs="Arial"/>
          <w:bCs/>
        </w:rPr>
        <w:t xml:space="preserve"> bude naplněn, </w:t>
      </w:r>
      <w:r w:rsidR="00714124" w:rsidRPr="00714124">
        <w:rPr>
          <w:rFonts w:ascii="Arial" w:hAnsi="Arial" w:cs="Arial"/>
          <w:bCs/>
        </w:rPr>
        <w:t>zaváže-li se dodavatel</w:t>
      </w:r>
      <w:r w:rsidR="000D2BD5">
        <w:rPr>
          <w:rFonts w:ascii="Arial" w:hAnsi="Arial" w:cs="Arial"/>
          <w:bCs/>
        </w:rPr>
        <w:t xml:space="preserve"> léčiv</w:t>
      </w:r>
      <w:r w:rsidR="00714124" w:rsidRPr="00714124">
        <w:rPr>
          <w:rFonts w:ascii="Arial" w:hAnsi="Arial" w:cs="Arial"/>
          <w:bCs/>
        </w:rPr>
        <w:t xml:space="preserve">, například přímo ve smlouvě o dodávkách léčivého přípravku do přímo řízené </w:t>
      </w:r>
      <w:r w:rsidR="003615BB">
        <w:rPr>
          <w:rFonts w:ascii="Arial" w:hAnsi="Arial" w:cs="Arial"/>
          <w:bCs/>
        </w:rPr>
        <w:t xml:space="preserve">nemocnice, že bude </w:t>
      </w:r>
      <w:r w:rsidR="00714124" w:rsidRPr="00714124">
        <w:rPr>
          <w:rFonts w:ascii="Arial" w:hAnsi="Arial" w:cs="Arial"/>
          <w:bCs/>
        </w:rPr>
        <w:t>jednotkové ceny dodávaných léčiv vkládat do Databáze, aby byly</w:t>
      </w:r>
      <w:r w:rsidR="003615BB">
        <w:rPr>
          <w:rFonts w:ascii="Arial" w:hAnsi="Arial" w:cs="Arial"/>
          <w:bCs/>
        </w:rPr>
        <w:t xml:space="preserve"> přístupné </w:t>
      </w:r>
      <w:r w:rsidR="00714124" w:rsidRPr="00714124">
        <w:rPr>
          <w:rFonts w:ascii="Arial" w:hAnsi="Arial" w:cs="Arial"/>
          <w:bCs/>
        </w:rPr>
        <w:t>v</w:t>
      </w:r>
      <w:r w:rsidR="003615BB">
        <w:rPr>
          <w:rFonts w:ascii="Arial" w:hAnsi="Arial" w:cs="Arial"/>
          <w:bCs/>
        </w:rPr>
        <w:t> </w:t>
      </w:r>
      <w:r w:rsidR="00714124" w:rsidRPr="00714124">
        <w:rPr>
          <w:rFonts w:ascii="Arial" w:hAnsi="Arial" w:cs="Arial"/>
          <w:bCs/>
        </w:rPr>
        <w:t>souladu s</w:t>
      </w:r>
      <w:r w:rsidR="001768EE">
        <w:rPr>
          <w:rFonts w:ascii="Arial" w:hAnsi="Arial" w:cs="Arial"/>
          <w:bCs/>
        </w:rPr>
        <w:t> touto metodikou</w:t>
      </w:r>
      <w:r w:rsidR="00714124" w:rsidRPr="00714124">
        <w:rPr>
          <w:rFonts w:ascii="Arial" w:hAnsi="Arial" w:cs="Arial"/>
          <w:bCs/>
        </w:rPr>
        <w:t>.</w:t>
      </w:r>
    </w:p>
    <w:p w:rsidR="002F2DA2" w:rsidRDefault="002F2DA2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</w:p>
    <w:p w:rsidR="002F2DA2" w:rsidRDefault="00EF57DD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2F2DA2">
        <w:rPr>
          <w:rFonts w:ascii="Arial" w:hAnsi="Arial" w:cs="Arial"/>
          <w:bCs/>
        </w:rPr>
        <w:t>.3</w:t>
      </w:r>
      <w:r w:rsidR="002F2DA2">
        <w:rPr>
          <w:rFonts w:ascii="Arial" w:hAnsi="Arial" w:cs="Arial"/>
          <w:bCs/>
        </w:rPr>
        <w:tab/>
      </w:r>
      <w:r w:rsidR="00CE2795" w:rsidRPr="00CE2795">
        <w:rPr>
          <w:rFonts w:ascii="Arial" w:hAnsi="Arial" w:cs="Arial"/>
          <w:bCs/>
        </w:rPr>
        <w:t>Databáze bude obsahovat údaje o dodavateli, držiteli rozhodnutí o registraci dodávaného léčivého přípravku, léčivém přípravku, přímo řízené nemocnici, do které je daný léčivý přípravek dodáván. Databáze umo</w:t>
      </w:r>
      <w:r w:rsidR="003615BB">
        <w:rPr>
          <w:rFonts w:ascii="Arial" w:hAnsi="Arial" w:cs="Arial"/>
          <w:bCs/>
        </w:rPr>
        <w:t>žní vložení informace o</w:t>
      </w:r>
      <w:r w:rsidR="00CE2795" w:rsidRPr="00CE2795">
        <w:rPr>
          <w:rFonts w:ascii="Arial" w:hAnsi="Arial" w:cs="Arial"/>
          <w:bCs/>
        </w:rPr>
        <w:t xml:space="preserve"> jednotkové ceně daného léčivého přípravku v závislosti na tom, zda se jedná o dodání léčivého přípravku na základě rámcové smlouvy, ve které je jeho cena uvedena, nebo na</w:t>
      </w:r>
      <w:r w:rsidR="003615BB">
        <w:rPr>
          <w:rFonts w:ascii="Arial" w:hAnsi="Arial" w:cs="Arial"/>
          <w:bCs/>
        </w:rPr>
        <w:t> </w:t>
      </w:r>
      <w:r w:rsidR="00CE2795" w:rsidRPr="00CE2795">
        <w:rPr>
          <w:rFonts w:ascii="Arial" w:hAnsi="Arial" w:cs="Arial"/>
          <w:bCs/>
        </w:rPr>
        <w:t>základě jednotlivé objednávky a v ní uvedené ceně.</w:t>
      </w:r>
      <w:r w:rsidR="00CE2795">
        <w:rPr>
          <w:rFonts w:ascii="Arial" w:hAnsi="Arial" w:cs="Arial"/>
          <w:bCs/>
        </w:rPr>
        <w:t xml:space="preserve"> Další podrobnosti týkající se údajů vkládaných do Databáze jsou popsané v Memorandu.</w:t>
      </w:r>
    </w:p>
    <w:p w:rsidR="00BD1F84" w:rsidRDefault="00BD1F84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</w:p>
    <w:p w:rsidR="00B016DC" w:rsidRDefault="00EF57DD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B016DC">
        <w:rPr>
          <w:rFonts w:ascii="Arial" w:hAnsi="Arial" w:cs="Arial"/>
          <w:bCs/>
        </w:rPr>
        <w:t>.</w:t>
      </w:r>
      <w:r w:rsidR="00CE2795">
        <w:rPr>
          <w:rFonts w:ascii="Arial" w:hAnsi="Arial" w:cs="Arial"/>
          <w:bCs/>
        </w:rPr>
        <w:t>4</w:t>
      </w:r>
      <w:r w:rsidR="00B016DC">
        <w:rPr>
          <w:rFonts w:ascii="Arial" w:hAnsi="Arial" w:cs="Arial"/>
          <w:bCs/>
        </w:rPr>
        <w:tab/>
      </w:r>
      <w:r w:rsidR="00C964ED">
        <w:rPr>
          <w:rFonts w:ascii="Arial" w:hAnsi="Arial" w:cs="Arial"/>
          <w:bCs/>
        </w:rPr>
        <w:t>Přístup k informacím v </w:t>
      </w:r>
      <w:r w:rsidR="00E56635">
        <w:rPr>
          <w:rFonts w:ascii="Arial" w:hAnsi="Arial" w:cs="Arial"/>
          <w:bCs/>
        </w:rPr>
        <w:t>Databázi</w:t>
      </w:r>
      <w:r w:rsidR="00C964ED">
        <w:rPr>
          <w:rFonts w:ascii="Arial" w:hAnsi="Arial" w:cs="Arial"/>
          <w:bCs/>
        </w:rPr>
        <w:t xml:space="preserve"> bude </w:t>
      </w:r>
      <w:r w:rsidR="00BB03B9">
        <w:rPr>
          <w:rFonts w:ascii="Arial" w:hAnsi="Arial" w:cs="Arial"/>
          <w:bCs/>
        </w:rPr>
        <w:t xml:space="preserve">zajištěn </w:t>
      </w:r>
      <w:r w:rsidR="00C03DDA">
        <w:rPr>
          <w:rFonts w:ascii="Arial" w:hAnsi="Arial" w:cs="Arial"/>
          <w:bCs/>
        </w:rPr>
        <w:t>za</w:t>
      </w:r>
      <w:r w:rsidR="00BB03B9">
        <w:rPr>
          <w:rFonts w:ascii="Arial" w:hAnsi="Arial" w:cs="Arial"/>
          <w:bCs/>
        </w:rPr>
        <w:t xml:space="preserve"> následujících podmínek:</w:t>
      </w:r>
    </w:p>
    <w:p w:rsidR="00BD1F84" w:rsidRDefault="00BD1F84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</w:p>
    <w:p w:rsidR="001F0C43" w:rsidRDefault="003464C2" w:rsidP="007E3D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1F0C43">
        <w:rPr>
          <w:rFonts w:ascii="Arial" w:hAnsi="Arial" w:cs="Arial"/>
          <w:bCs/>
        </w:rPr>
        <w:t xml:space="preserve">eškeré informace vložené do </w:t>
      </w:r>
      <w:r w:rsidR="00E56635">
        <w:rPr>
          <w:rFonts w:ascii="Arial" w:hAnsi="Arial" w:cs="Arial"/>
          <w:bCs/>
        </w:rPr>
        <w:t>Databáze</w:t>
      </w:r>
      <w:r w:rsidR="001F0C43">
        <w:rPr>
          <w:rFonts w:ascii="Arial" w:hAnsi="Arial" w:cs="Arial"/>
          <w:bCs/>
        </w:rPr>
        <w:t xml:space="preserve"> </w:t>
      </w:r>
      <w:r w:rsidR="00F55F05">
        <w:rPr>
          <w:rFonts w:ascii="Arial" w:hAnsi="Arial" w:cs="Arial"/>
          <w:bCs/>
        </w:rPr>
        <w:t xml:space="preserve">budou </w:t>
      </w:r>
      <w:r w:rsidR="00893FF9">
        <w:rPr>
          <w:rFonts w:ascii="Arial" w:hAnsi="Arial" w:cs="Arial"/>
          <w:bCs/>
        </w:rPr>
        <w:t>chráněné proti neoprávněnému či nahodilému přístupu</w:t>
      </w:r>
      <w:r w:rsidR="00740893">
        <w:rPr>
          <w:rFonts w:ascii="Arial" w:hAnsi="Arial" w:cs="Arial"/>
          <w:bCs/>
        </w:rPr>
        <w:t xml:space="preserve"> šifrováním/</w:t>
      </w:r>
      <w:r w:rsidR="00893FF9">
        <w:rPr>
          <w:rFonts w:ascii="Arial" w:hAnsi="Arial" w:cs="Arial"/>
          <w:bCs/>
        </w:rPr>
        <w:t>kryptováním; oprávněn</w:t>
      </w:r>
      <w:r w:rsidR="00740893">
        <w:rPr>
          <w:rFonts w:ascii="Arial" w:hAnsi="Arial" w:cs="Arial"/>
          <w:bCs/>
        </w:rPr>
        <w:t>ým</w:t>
      </w:r>
      <w:r w:rsidR="00893FF9">
        <w:rPr>
          <w:rFonts w:ascii="Arial" w:hAnsi="Arial" w:cs="Arial"/>
          <w:bCs/>
        </w:rPr>
        <w:t xml:space="preserve"> osobám bude přidělen osobní přístupový klíč</w:t>
      </w:r>
      <w:r w:rsidR="00132D74">
        <w:rPr>
          <w:rFonts w:ascii="Arial" w:hAnsi="Arial" w:cs="Arial"/>
          <w:bCs/>
        </w:rPr>
        <w:t xml:space="preserve"> pro vstup do </w:t>
      </w:r>
      <w:r w:rsidR="00E56635">
        <w:rPr>
          <w:rFonts w:ascii="Arial" w:hAnsi="Arial" w:cs="Arial"/>
          <w:bCs/>
        </w:rPr>
        <w:t>Databáze</w:t>
      </w:r>
      <w:r w:rsidR="00132D74">
        <w:rPr>
          <w:rFonts w:ascii="Arial" w:hAnsi="Arial" w:cs="Arial"/>
          <w:bCs/>
        </w:rPr>
        <w:t xml:space="preserve"> či je</w:t>
      </w:r>
      <w:r w:rsidR="00E56635">
        <w:rPr>
          <w:rFonts w:ascii="Arial" w:hAnsi="Arial" w:cs="Arial"/>
          <w:bCs/>
        </w:rPr>
        <w:t>jí</w:t>
      </w:r>
      <w:r w:rsidR="00132D74">
        <w:rPr>
          <w:rFonts w:ascii="Arial" w:hAnsi="Arial" w:cs="Arial"/>
          <w:bCs/>
        </w:rPr>
        <w:t xml:space="preserve"> vyhrazené části</w:t>
      </w:r>
      <w:r w:rsidR="00893FF9">
        <w:rPr>
          <w:rFonts w:ascii="Arial" w:hAnsi="Arial" w:cs="Arial"/>
          <w:bCs/>
        </w:rPr>
        <w:t>;</w:t>
      </w:r>
    </w:p>
    <w:p w:rsidR="00BB03B9" w:rsidRDefault="00BB03B9" w:rsidP="007E3D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F36B80">
        <w:rPr>
          <w:rFonts w:ascii="Arial" w:hAnsi="Arial" w:cs="Arial"/>
          <w:bCs/>
        </w:rPr>
        <w:t xml:space="preserve">Ministerstvo zdravotnictví </w:t>
      </w:r>
      <w:r w:rsidR="00F36B80">
        <w:rPr>
          <w:rFonts w:ascii="Arial" w:hAnsi="Arial" w:cs="Arial"/>
          <w:bCs/>
        </w:rPr>
        <w:t>bude mít</w:t>
      </w:r>
      <w:r w:rsidR="00756386">
        <w:rPr>
          <w:rFonts w:ascii="Arial" w:hAnsi="Arial" w:cs="Arial"/>
          <w:bCs/>
        </w:rPr>
        <w:t xml:space="preserve"> </w:t>
      </w:r>
      <w:r w:rsidR="00756386" w:rsidRPr="00756386">
        <w:rPr>
          <w:rFonts w:ascii="Arial" w:hAnsi="Arial" w:cs="Arial"/>
          <w:bCs/>
        </w:rPr>
        <w:t>za účelem kontroly hospodaření přímo řízených nemocnic</w:t>
      </w:r>
      <w:r w:rsidR="00756386">
        <w:rPr>
          <w:rFonts w:ascii="Arial" w:hAnsi="Arial" w:cs="Arial"/>
          <w:bCs/>
        </w:rPr>
        <w:t xml:space="preserve"> plný</w:t>
      </w:r>
      <w:r w:rsidR="00F36B80">
        <w:rPr>
          <w:rFonts w:ascii="Arial" w:hAnsi="Arial" w:cs="Arial"/>
          <w:bCs/>
        </w:rPr>
        <w:t xml:space="preserve"> přístup k celkovému obsahu </w:t>
      </w:r>
      <w:r w:rsidR="00E56635">
        <w:rPr>
          <w:rFonts w:ascii="Arial" w:hAnsi="Arial" w:cs="Arial"/>
          <w:bCs/>
        </w:rPr>
        <w:t>Databáze</w:t>
      </w:r>
      <w:r w:rsidR="00F36B80">
        <w:rPr>
          <w:rFonts w:ascii="Arial" w:hAnsi="Arial" w:cs="Arial"/>
          <w:bCs/>
        </w:rPr>
        <w:t>,</w:t>
      </w:r>
      <w:r w:rsidR="00187437">
        <w:rPr>
          <w:rFonts w:ascii="Arial" w:hAnsi="Arial" w:cs="Arial"/>
          <w:bCs/>
        </w:rPr>
        <w:t xml:space="preserve"> tj. k</w:t>
      </w:r>
      <w:r w:rsidR="006E1B05">
        <w:rPr>
          <w:rFonts w:ascii="Arial" w:hAnsi="Arial" w:cs="Arial"/>
          <w:bCs/>
        </w:rPr>
        <w:t xml:space="preserve"> veškerým </w:t>
      </w:r>
      <w:r w:rsidR="00921F30">
        <w:rPr>
          <w:rFonts w:ascii="Arial" w:hAnsi="Arial" w:cs="Arial"/>
          <w:bCs/>
        </w:rPr>
        <w:t xml:space="preserve">údajům týkajícím se </w:t>
      </w:r>
      <w:r w:rsidR="00120DFB">
        <w:rPr>
          <w:rFonts w:ascii="Arial" w:hAnsi="Arial" w:cs="Arial"/>
          <w:bCs/>
        </w:rPr>
        <w:t xml:space="preserve">nákupů </w:t>
      </w:r>
      <w:r w:rsidR="00921F30">
        <w:rPr>
          <w:rFonts w:ascii="Arial" w:hAnsi="Arial" w:cs="Arial"/>
          <w:bCs/>
        </w:rPr>
        <w:t>všech přímo řízených organizací</w:t>
      </w:r>
      <w:r w:rsidR="00D33549">
        <w:rPr>
          <w:rFonts w:ascii="Arial" w:hAnsi="Arial" w:cs="Arial"/>
          <w:bCs/>
        </w:rPr>
        <w:t>, a to za</w:t>
      </w:r>
      <w:r w:rsidR="003615BB">
        <w:rPr>
          <w:rFonts w:ascii="Arial" w:hAnsi="Arial" w:cs="Arial"/>
          <w:bCs/>
        </w:rPr>
        <w:t> </w:t>
      </w:r>
      <w:r w:rsidR="00D33549">
        <w:rPr>
          <w:rFonts w:ascii="Arial" w:hAnsi="Arial" w:cs="Arial"/>
          <w:bCs/>
        </w:rPr>
        <w:t>podmínek specifikovaných v</w:t>
      </w:r>
      <w:r w:rsidR="00554AE5">
        <w:rPr>
          <w:rFonts w:ascii="Arial" w:hAnsi="Arial" w:cs="Arial"/>
          <w:bCs/>
        </w:rPr>
        <w:t> </w:t>
      </w:r>
      <w:r w:rsidR="00D33549">
        <w:rPr>
          <w:rFonts w:ascii="Arial" w:hAnsi="Arial" w:cs="Arial"/>
          <w:bCs/>
        </w:rPr>
        <w:t>Memorandu</w:t>
      </w:r>
      <w:r w:rsidR="00554AE5">
        <w:rPr>
          <w:rFonts w:ascii="Arial" w:hAnsi="Arial" w:cs="Arial"/>
          <w:bCs/>
        </w:rPr>
        <w:t>;</w:t>
      </w:r>
    </w:p>
    <w:p w:rsidR="003B7D2D" w:rsidRDefault="003B7D2D" w:rsidP="007E3D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Státní</w:t>
      </w:r>
      <w:r w:rsidR="00625BCC">
        <w:rPr>
          <w:rFonts w:ascii="Arial" w:hAnsi="Arial" w:cs="Arial"/>
          <w:bCs/>
        </w:rPr>
        <w:t>mu</w:t>
      </w:r>
      <w:r>
        <w:rPr>
          <w:rFonts w:ascii="Arial" w:hAnsi="Arial" w:cs="Arial"/>
          <w:bCs/>
        </w:rPr>
        <w:t xml:space="preserve"> ústav</w:t>
      </w:r>
      <w:r w:rsidR="00625BCC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pro kontrolu léčiv </w:t>
      </w:r>
      <w:r w:rsidR="00B36726">
        <w:rPr>
          <w:rFonts w:ascii="Arial" w:hAnsi="Arial" w:cs="Arial"/>
          <w:bCs/>
        </w:rPr>
        <w:t xml:space="preserve">(dále jen „Ústav“) </w:t>
      </w:r>
      <w:r>
        <w:rPr>
          <w:rFonts w:ascii="Arial" w:hAnsi="Arial" w:cs="Arial"/>
          <w:bCs/>
        </w:rPr>
        <w:t>bude</w:t>
      </w:r>
      <w:r w:rsidR="00C62D09">
        <w:rPr>
          <w:rFonts w:ascii="Arial" w:hAnsi="Arial" w:cs="Arial"/>
          <w:bCs/>
        </w:rPr>
        <w:t xml:space="preserve"> </w:t>
      </w:r>
      <w:r w:rsidR="00C62D09" w:rsidRPr="00C62D09">
        <w:rPr>
          <w:rFonts w:ascii="Arial" w:hAnsi="Arial" w:cs="Arial"/>
          <w:bCs/>
        </w:rPr>
        <w:t>na měsíční bázi poskytnut v agregované podobě report</w:t>
      </w:r>
      <w:r w:rsidR="00FC7B10">
        <w:rPr>
          <w:rFonts w:ascii="Arial" w:hAnsi="Arial" w:cs="Arial"/>
          <w:bCs/>
        </w:rPr>
        <w:t xml:space="preserve"> </w:t>
      </w:r>
      <w:r w:rsidR="00402AED">
        <w:rPr>
          <w:rFonts w:ascii="Arial" w:hAnsi="Arial" w:cs="Arial"/>
          <w:bCs/>
        </w:rPr>
        <w:t>v rozsahu údajů</w:t>
      </w:r>
      <w:r w:rsidR="00FC7B10">
        <w:rPr>
          <w:rFonts w:ascii="Arial" w:hAnsi="Arial" w:cs="Arial"/>
          <w:bCs/>
        </w:rPr>
        <w:t xml:space="preserve"> specifikovaný</w:t>
      </w:r>
      <w:r w:rsidR="00402AED">
        <w:rPr>
          <w:rFonts w:ascii="Arial" w:hAnsi="Arial" w:cs="Arial"/>
          <w:bCs/>
        </w:rPr>
        <w:t>ch</w:t>
      </w:r>
      <w:r w:rsidR="00FC7B10">
        <w:rPr>
          <w:rFonts w:ascii="Arial" w:hAnsi="Arial" w:cs="Arial"/>
          <w:bCs/>
        </w:rPr>
        <w:t xml:space="preserve"> v Memorandu, </w:t>
      </w:r>
      <w:r w:rsidR="00D13470" w:rsidRPr="00E374AF">
        <w:rPr>
          <w:rFonts w:ascii="Arial" w:hAnsi="Arial" w:cs="Arial"/>
          <w:bCs/>
        </w:rPr>
        <w:t xml:space="preserve">přičemž vložení konkrétních </w:t>
      </w:r>
      <w:r w:rsidR="00BC58C2">
        <w:rPr>
          <w:rFonts w:ascii="Arial" w:hAnsi="Arial" w:cs="Arial"/>
          <w:bCs/>
        </w:rPr>
        <w:t>údajů</w:t>
      </w:r>
      <w:r w:rsidR="00D13470" w:rsidRPr="00E374AF">
        <w:rPr>
          <w:rFonts w:ascii="Arial" w:hAnsi="Arial" w:cs="Arial"/>
          <w:bCs/>
        </w:rPr>
        <w:t xml:space="preserve"> do </w:t>
      </w:r>
      <w:r w:rsidR="00E56635">
        <w:rPr>
          <w:rFonts w:ascii="Arial" w:hAnsi="Arial" w:cs="Arial"/>
          <w:bCs/>
        </w:rPr>
        <w:t>Databáze</w:t>
      </w:r>
      <w:r w:rsidR="00D13470" w:rsidRPr="00E374AF">
        <w:rPr>
          <w:rFonts w:ascii="Arial" w:hAnsi="Arial" w:cs="Arial"/>
          <w:bCs/>
        </w:rPr>
        <w:t xml:space="preserve"> dodavatelem či držitelem rozhodnutí o registraci </w:t>
      </w:r>
      <w:r w:rsidR="00E41876" w:rsidRPr="00E374AF">
        <w:rPr>
          <w:rFonts w:ascii="Arial" w:hAnsi="Arial" w:cs="Arial"/>
          <w:bCs/>
        </w:rPr>
        <w:t>nebude v žádném případě považován</w:t>
      </w:r>
      <w:r w:rsidR="00B34DE1">
        <w:rPr>
          <w:rFonts w:ascii="Arial" w:hAnsi="Arial" w:cs="Arial"/>
          <w:bCs/>
        </w:rPr>
        <w:t>o</w:t>
      </w:r>
      <w:r w:rsidR="00E41876" w:rsidRPr="00E374AF">
        <w:rPr>
          <w:rFonts w:ascii="Arial" w:hAnsi="Arial" w:cs="Arial"/>
          <w:bCs/>
        </w:rPr>
        <w:t xml:space="preserve"> za</w:t>
      </w:r>
      <w:r w:rsidR="0047111E">
        <w:rPr>
          <w:rFonts w:ascii="Arial" w:hAnsi="Arial" w:cs="Arial"/>
          <w:bCs/>
        </w:rPr>
        <w:t> </w:t>
      </w:r>
      <w:r w:rsidR="00221F12" w:rsidRPr="00E374AF">
        <w:rPr>
          <w:rFonts w:ascii="Arial" w:hAnsi="Arial" w:cs="Arial"/>
          <w:bCs/>
        </w:rPr>
        <w:t xml:space="preserve">návrh dohody o </w:t>
      </w:r>
      <w:r w:rsidR="00FE10F7" w:rsidRPr="00E374AF">
        <w:rPr>
          <w:rFonts w:ascii="Arial" w:hAnsi="Arial" w:cs="Arial"/>
          <w:bCs/>
        </w:rPr>
        <w:t xml:space="preserve">nejvyšší </w:t>
      </w:r>
      <w:r w:rsidR="00221F12" w:rsidRPr="00E374AF">
        <w:rPr>
          <w:rFonts w:ascii="Arial" w:hAnsi="Arial" w:cs="Arial"/>
          <w:bCs/>
        </w:rPr>
        <w:t>ceně</w:t>
      </w:r>
      <w:r w:rsidR="00B9558D" w:rsidRPr="00E374AF">
        <w:rPr>
          <w:rFonts w:ascii="Arial" w:hAnsi="Arial" w:cs="Arial"/>
          <w:bCs/>
        </w:rPr>
        <w:t>, prohlášení o ceně či</w:t>
      </w:r>
      <w:r w:rsidR="00221F12" w:rsidRPr="00E374AF">
        <w:rPr>
          <w:rFonts w:ascii="Arial" w:hAnsi="Arial" w:cs="Arial"/>
          <w:bCs/>
        </w:rPr>
        <w:t xml:space="preserve"> jiné podání týkající se ceny </w:t>
      </w:r>
      <w:r w:rsidR="00B9558D" w:rsidRPr="00E374AF">
        <w:rPr>
          <w:rFonts w:ascii="Arial" w:hAnsi="Arial" w:cs="Arial"/>
          <w:bCs/>
        </w:rPr>
        <w:t>anebo</w:t>
      </w:r>
      <w:r w:rsidR="00221F12" w:rsidRPr="00E374AF">
        <w:rPr>
          <w:rFonts w:ascii="Arial" w:hAnsi="Arial" w:cs="Arial"/>
          <w:bCs/>
        </w:rPr>
        <w:t xml:space="preserve"> úhrady příslušného léčivého přípravku</w:t>
      </w:r>
      <w:r w:rsidR="003B347E">
        <w:rPr>
          <w:rFonts w:ascii="Arial" w:hAnsi="Arial" w:cs="Arial"/>
          <w:bCs/>
        </w:rPr>
        <w:t xml:space="preserve"> a údaje </w:t>
      </w:r>
      <w:r w:rsidR="003B347E" w:rsidRPr="003B347E">
        <w:rPr>
          <w:rFonts w:ascii="Arial" w:hAnsi="Arial" w:cs="Arial"/>
          <w:bCs/>
        </w:rPr>
        <w:t>nebudou v souladu s platnými právními předpisy a ustálenou rozhodovací praxí Ústavu zdrojem pro vnitřní cenové reference s dopadem do systému stanovování maximálních cen nebo úhrad léčivých přípravků</w:t>
      </w:r>
      <w:r>
        <w:rPr>
          <w:rFonts w:ascii="Arial" w:hAnsi="Arial" w:cs="Arial"/>
          <w:bCs/>
        </w:rPr>
        <w:t>;</w:t>
      </w:r>
    </w:p>
    <w:p w:rsidR="00F36B80" w:rsidRDefault="003615BB" w:rsidP="007E3D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921F30">
        <w:rPr>
          <w:rFonts w:ascii="Arial" w:hAnsi="Arial" w:cs="Arial"/>
          <w:bCs/>
        </w:rPr>
        <w:t>ednotlivé p</w:t>
      </w:r>
      <w:r w:rsidR="00F36B80">
        <w:rPr>
          <w:rFonts w:ascii="Arial" w:hAnsi="Arial" w:cs="Arial"/>
          <w:bCs/>
        </w:rPr>
        <w:t xml:space="preserve">římo řízené </w:t>
      </w:r>
      <w:r w:rsidR="00E67D6E">
        <w:rPr>
          <w:rFonts w:ascii="Arial" w:hAnsi="Arial" w:cs="Arial"/>
          <w:bCs/>
        </w:rPr>
        <w:t>nemocnice</w:t>
      </w:r>
      <w:r w:rsidR="00F36B80">
        <w:rPr>
          <w:rFonts w:ascii="Arial" w:hAnsi="Arial" w:cs="Arial"/>
          <w:bCs/>
        </w:rPr>
        <w:t xml:space="preserve"> budou mít přístup </w:t>
      </w:r>
      <w:r w:rsidR="00921F30">
        <w:rPr>
          <w:rFonts w:ascii="Arial" w:hAnsi="Arial" w:cs="Arial"/>
          <w:bCs/>
        </w:rPr>
        <w:t xml:space="preserve">výlučně </w:t>
      </w:r>
      <w:r w:rsidR="00F36B80">
        <w:rPr>
          <w:rFonts w:ascii="Arial" w:hAnsi="Arial" w:cs="Arial"/>
          <w:bCs/>
        </w:rPr>
        <w:t>k informacím týkajícím se nákupů</w:t>
      </w:r>
      <w:r w:rsidR="008322FE">
        <w:rPr>
          <w:rFonts w:ascii="Arial" w:hAnsi="Arial" w:cs="Arial"/>
          <w:bCs/>
        </w:rPr>
        <w:t xml:space="preserve"> jejich vlastní organizace</w:t>
      </w:r>
      <w:r w:rsidR="00F36B80">
        <w:rPr>
          <w:rFonts w:ascii="Arial" w:hAnsi="Arial" w:cs="Arial"/>
          <w:bCs/>
        </w:rPr>
        <w:t>,</w:t>
      </w:r>
      <w:r w:rsidR="00F414DB">
        <w:rPr>
          <w:rFonts w:ascii="Arial" w:hAnsi="Arial" w:cs="Arial"/>
          <w:bCs/>
        </w:rPr>
        <w:t xml:space="preserve"> přičemž</w:t>
      </w:r>
      <w:r w:rsidR="00683AF5">
        <w:rPr>
          <w:rFonts w:ascii="Arial" w:hAnsi="Arial" w:cs="Arial"/>
          <w:bCs/>
        </w:rPr>
        <w:t xml:space="preserve"> zároveň bud</w:t>
      </w:r>
      <w:r w:rsidR="003573B5">
        <w:rPr>
          <w:rFonts w:ascii="Arial" w:hAnsi="Arial" w:cs="Arial"/>
          <w:bCs/>
        </w:rPr>
        <w:t>ou</w:t>
      </w:r>
      <w:r w:rsidR="00F414DB">
        <w:rPr>
          <w:rFonts w:ascii="Arial" w:hAnsi="Arial" w:cs="Arial"/>
          <w:bCs/>
        </w:rPr>
        <w:t xml:space="preserve"> </w:t>
      </w:r>
      <w:r w:rsidR="00F414DB" w:rsidRPr="00F414DB">
        <w:rPr>
          <w:rFonts w:ascii="Arial" w:hAnsi="Arial" w:cs="Arial"/>
          <w:bCs/>
        </w:rPr>
        <w:t>přímo řízeným nemocnicím poskytov</w:t>
      </w:r>
      <w:r w:rsidR="003573B5">
        <w:rPr>
          <w:rFonts w:ascii="Arial" w:hAnsi="Arial" w:cs="Arial"/>
          <w:bCs/>
        </w:rPr>
        <w:t>ány</w:t>
      </w:r>
      <w:r w:rsidR="00F414DB" w:rsidRPr="00F414DB">
        <w:rPr>
          <w:rFonts w:ascii="Arial" w:hAnsi="Arial" w:cs="Arial"/>
          <w:bCs/>
        </w:rPr>
        <w:t xml:space="preserve"> reporty o</w:t>
      </w:r>
      <w:r>
        <w:rPr>
          <w:rFonts w:ascii="Arial" w:hAnsi="Arial" w:cs="Arial"/>
          <w:bCs/>
        </w:rPr>
        <w:t> </w:t>
      </w:r>
      <w:r w:rsidR="00F414DB" w:rsidRPr="00F414DB">
        <w:rPr>
          <w:rFonts w:ascii="Arial" w:hAnsi="Arial" w:cs="Arial"/>
          <w:bCs/>
        </w:rPr>
        <w:t>nákupech léčiv napříč všemi přímo řízenými nemocnicemi</w:t>
      </w:r>
      <w:r w:rsidR="00F414DB">
        <w:rPr>
          <w:rFonts w:ascii="Arial" w:hAnsi="Arial" w:cs="Arial"/>
          <w:bCs/>
        </w:rPr>
        <w:t>;</w:t>
      </w:r>
    </w:p>
    <w:p w:rsidR="00D31622" w:rsidRDefault="003615BB" w:rsidP="007E3D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6D03CA">
        <w:rPr>
          <w:rFonts w:ascii="Arial" w:hAnsi="Arial" w:cs="Arial"/>
          <w:bCs/>
        </w:rPr>
        <w:t xml:space="preserve">dravotním pojišťovnám bude </w:t>
      </w:r>
      <w:r w:rsidR="006D03CA" w:rsidRPr="00C62D09">
        <w:rPr>
          <w:rFonts w:ascii="Arial" w:hAnsi="Arial" w:cs="Arial"/>
          <w:bCs/>
        </w:rPr>
        <w:t>na měsíční bázi poskytnut v agregované podobě report</w:t>
      </w:r>
      <w:r w:rsidR="006D03CA">
        <w:rPr>
          <w:rFonts w:ascii="Arial" w:hAnsi="Arial" w:cs="Arial"/>
          <w:bCs/>
        </w:rPr>
        <w:t xml:space="preserve"> v rozsahu údajů specifikovaných v Memorandu;</w:t>
      </w:r>
    </w:p>
    <w:p w:rsidR="00F36B80" w:rsidRPr="00F36B80" w:rsidRDefault="003615BB" w:rsidP="007E3D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8322FE">
        <w:rPr>
          <w:rFonts w:ascii="Arial" w:hAnsi="Arial" w:cs="Arial"/>
          <w:bCs/>
        </w:rPr>
        <w:t>a zákonem stanových podmínek bud</w:t>
      </w:r>
      <w:r w:rsidR="007B376B">
        <w:rPr>
          <w:rFonts w:ascii="Arial" w:hAnsi="Arial" w:cs="Arial"/>
          <w:bCs/>
        </w:rPr>
        <w:t>ou</w:t>
      </w:r>
      <w:r w:rsidR="008322FE">
        <w:rPr>
          <w:rFonts w:ascii="Arial" w:hAnsi="Arial" w:cs="Arial"/>
          <w:bCs/>
        </w:rPr>
        <w:t xml:space="preserve"> mít k údajům v </w:t>
      </w:r>
      <w:r w:rsidR="005706A1">
        <w:rPr>
          <w:rFonts w:ascii="Arial" w:hAnsi="Arial" w:cs="Arial"/>
          <w:bCs/>
        </w:rPr>
        <w:t>Databázi</w:t>
      </w:r>
      <w:r w:rsidR="008322FE">
        <w:rPr>
          <w:rFonts w:ascii="Arial" w:hAnsi="Arial" w:cs="Arial"/>
          <w:bCs/>
        </w:rPr>
        <w:t xml:space="preserve"> přístup kompetentní dozorové a kontrolní orgány, např. Nejvyšší kontrolní úřad</w:t>
      </w:r>
      <w:r w:rsidR="007B376B">
        <w:rPr>
          <w:rFonts w:ascii="Arial" w:hAnsi="Arial" w:cs="Arial"/>
          <w:bCs/>
        </w:rPr>
        <w:t xml:space="preserve"> či</w:t>
      </w:r>
      <w:r w:rsidR="0047111E">
        <w:rPr>
          <w:rFonts w:ascii="Arial" w:hAnsi="Arial" w:cs="Arial"/>
          <w:bCs/>
        </w:rPr>
        <w:t> </w:t>
      </w:r>
      <w:r w:rsidR="007B376B">
        <w:rPr>
          <w:rFonts w:ascii="Arial" w:hAnsi="Arial" w:cs="Arial"/>
          <w:bCs/>
        </w:rPr>
        <w:t>finanční správa</w:t>
      </w:r>
      <w:r w:rsidR="00FE6740">
        <w:rPr>
          <w:rFonts w:ascii="Arial" w:hAnsi="Arial" w:cs="Arial"/>
          <w:bCs/>
        </w:rPr>
        <w:t>, a to v rozsahu stanoveném příslušným právním předpisem upravujícím činnost daného úřadu</w:t>
      </w:r>
      <w:r w:rsidR="007B376B">
        <w:rPr>
          <w:rFonts w:ascii="Arial" w:hAnsi="Arial" w:cs="Arial"/>
          <w:bCs/>
        </w:rPr>
        <w:t>.</w:t>
      </w:r>
    </w:p>
    <w:p w:rsidR="00BD1F84" w:rsidRDefault="00BD1F84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</w:p>
    <w:p w:rsidR="00ED2ED5" w:rsidRDefault="00EF57DD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ED2ED5">
        <w:rPr>
          <w:rFonts w:ascii="Arial" w:hAnsi="Arial" w:cs="Arial"/>
          <w:bCs/>
        </w:rPr>
        <w:t>.</w:t>
      </w:r>
      <w:r w:rsidR="003615BB">
        <w:rPr>
          <w:rFonts w:ascii="Arial" w:hAnsi="Arial" w:cs="Arial"/>
          <w:bCs/>
        </w:rPr>
        <w:t>5</w:t>
      </w:r>
      <w:r w:rsidR="004A5630">
        <w:rPr>
          <w:rFonts w:ascii="Arial" w:hAnsi="Arial" w:cs="Arial"/>
          <w:bCs/>
        </w:rPr>
        <w:tab/>
      </w:r>
      <w:r w:rsidR="004A5630" w:rsidRPr="004A5630">
        <w:rPr>
          <w:rFonts w:ascii="Arial" w:hAnsi="Arial" w:cs="Arial"/>
          <w:bCs/>
        </w:rPr>
        <w:t>Dodavatel</w:t>
      </w:r>
      <w:r w:rsidR="004A5630">
        <w:rPr>
          <w:rFonts w:ascii="Arial" w:hAnsi="Arial" w:cs="Arial"/>
          <w:bCs/>
        </w:rPr>
        <w:t>é léčiv jsou povinni</w:t>
      </w:r>
      <w:r w:rsidR="004A5630" w:rsidRPr="004A5630">
        <w:rPr>
          <w:rFonts w:ascii="Arial" w:hAnsi="Arial" w:cs="Arial"/>
          <w:bCs/>
        </w:rPr>
        <w:t xml:space="preserve"> zajistit vložení výše uvedených informací do Databáze do </w:t>
      </w:r>
      <w:r w:rsidR="004A5630">
        <w:rPr>
          <w:rFonts w:ascii="Arial" w:hAnsi="Arial" w:cs="Arial"/>
          <w:bCs/>
        </w:rPr>
        <w:t>jednoho (</w:t>
      </w:r>
      <w:r w:rsidR="004A5630" w:rsidRPr="004A5630">
        <w:rPr>
          <w:rFonts w:ascii="Arial" w:hAnsi="Arial" w:cs="Arial"/>
          <w:bCs/>
        </w:rPr>
        <w:t>1</w:t>
      </w:r>
      <w:r w:rsidR="004A5630">
        <w:rPr>
          <w:rFonts w:ascii="Arial" w:hAnsi="Arial" w:cs="Arial"/>
          <w:bCs/>
        </w:rPr>
        <w:t>)</w:t>
      </w:r>
      <w:r w:rsidR="004A5630" w:rsidRPr="004A5630">
        <w:rPr>
          <w:rFonts w:ascii="Arial" w:hAnsi="Arial" w:cs="Arial"/>
          <w:bCs/>
        </w:rPr>
        <w:t xml:space="preserve"> měsíce od platnosti jednotkové ceny dle smlouvy nebo dodání zboží dle objednávky. Informace vložené do Databáze budou dostupné </w:t>
      </w:r>
      <w:r w:rsidR="00AC5A04">
        <w:rPr>
          <w:rFonts w:ascii="Arial" w:hAnsi="Arial" w:cs="Arial"/>
          <w:bCs/>
        </w:rPr>
        <w:t>tři (</w:t>
      </w:r>
      <w:r w:rsidR="004A5630" w:rsidRPr="004A5630">
        <w:rPr>
          <w:rFonts w:ascii="Arial" w:hAnsi="Arial" w:cs="Arial"/>
          <w:bCs/>
        </w:rPr>
        <w:t>3</w:t>
      </w:r>
      <w:r w:rsidR="00AC5A04">
        <w:rPr>
          <w:rFonts w:ascii="Arial" w:hAnsi="Arial" w:cs="Arial"/>
          <w:bCs/>
        </w:rPr>
        <w:t>)</w:t>
      </w:r>
      <w:r w:rsidR="004A5630" w:rsidRPr="004A5630">
        <w:rPr>
          <w:rFonts w:ascii="Arial" w:hAnsi="Arial" w:cs="Arial"/>
          <w:bCs/>
        </w:rPr>
        <w:t xml:space="preserve"> roky od</w:t>
      </w:r>
      <w:r w:rsidR="00EB44EF">
        <w:rPr>
          <w:rFonts w:ascii="Arial" w:hAnsi="Arial" w:cs="Arial"/>
          <w:bCs/>
        </w:rPr>
        <w:t>e dne</w:t>
      </w:r>
      <w:r w:rsidR="004A5630" w:rsidRPr="004A5630">
        <w:rPr>
          <w:rFonts w:ascii="Arial" w:hAnsi="Arial" w:cs="Arial"/>
          <w:bCs/>
        </w:rPr>
        <w:t xml:space="preserve"> vložení.</w:t>
      </w:r>
    </w:p>
    <w:p w:rsidR="007233E8" w:rsidRDefault="007233E8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</w:p>
    <w:p w:rsidR="007233E8" w:rsidRDefault="00EF57DD" w:rsidP="007E3D2C">
      <w:pPr>
        <w:spacing w:after="0" w:line="240" w:lineRule="auto"/>
        <w:ind w:left="708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</w:t>
      </w:r>
      <w:r w:rsidR="007233E8">
        <w:rPr>
          <w:rFonts w:ascii="Arial" w:hAnsi="Arial" w:cs="Arial"/>
          <w:bCs/>
        </w:rPr>
        <w:t>.</w:t>
      </w:r>
      <w:r w:rsidR="003615BB">
        <w:rPr>
          <w:rFonts w:ascii="Arial" w:hAnsi="Arial" w:cs="Arial"/>
          <w:bCs/>
        </w:rPr>
        <w:t>6</w:t>
      </w:r>
      <w:r w:rsidR="007233E8">
        <w:rPr>
          <w:rFonts w:ascii="Arial" w:hAnsi="Arial" w:cs="Arial"/>
          <w:bCs/>
        </w:rPr>
        <w:tab/>
      </w:r>
      <w:r w:rsidR="00A84580" w:rsidRPr="00A84580">
        <w:rPr>
          <w:rFonts w:ascii="Arial" w:hAnsi="Arial" w:cs="Arial"/>
          <w:bCs/>
        </w:rPr>
        <w:t>Dodavatelé vkládající jednotkové ceny do Databáze, budou povinni se ještě před vstupem do ní zavázat k dodržování povinností stanovených Memorandem, zejména k uvádění úplných a správných informací o reálných cenách jimi dodávaných léčiv do</w:t>
      </w:r>
      <w:r w:rsidR="0047111E">
        <w:rPr>
          <w:rFonts w:ascii="Arial" w:hAnsi="Arial" w:cs="Arial"/>
          <w:bCs/>
        </w:rPr>
        <w:t> </w:t>
      </w:r>
      <w:r w:rsidR="00A84580" w:rsidRPr="00A84580">
        <w:rPr>
          <w:rFonts w:ascii="Arial" w:hAnsi="Arial" w:cs="Arial"/>
          <w:bCs/>
        </w:rPr>
        <w:t>přímo řízených nemocnic</w:t>
      </w:r>
      <w:r w:rsidR="00A84580">
        <w:rPr>
          <w:rFonts w:ascii="Arial" w:hAnsi="Arial" w:cs="Arial"/>
          <w:bCs/>
        </w:rPr>
        <w:t xml:space="preserve">. </w:t>
      </w:r>
      <w:r w:rsidR="007233E8">
        <w:rPr>
          <w:rFonts w:ascii="Arial" w:hAnsi="Arial" w:cs="Arial"/>
          <w:bCs/>
        </w:rPr>
        <w:t xml:space="preserve">Zřizovatel </w:t>
      </w:r>
      <w:r w:rsidR="00E96BFD">
        <w:rPr>
          <w:rFonts w:ascii="Arial" w:hAnsi="Arial" w:cs="Arial"/>
          <w:bCs/>
        </w:rPr>
        <w:t xml:space="preserve">ani provozovatel </w:t>
      </w:r>
      <w:r w:rsidR="00CC05BA">
        <w:rPr>
          <w:rFonts w:ascii="Arial" w:hAnsi="Arial" w:cs="Arial"/>
          <w:bCs/>
        </w:rPr>
        <w:t>D</w:t>
      </w:r>
      <w:r w:rsidR="00E96BFD">
        <w:rPr>
          <w:rFonts w:ascii="Arial" w:hAnsi="Arial" w:cs="Arial"/>
          <w:bCs/>
        </w:rPr>
        <w:t>atabáze neodpovíd</w:t>
      </w:r>
      <w:r w:rsidR="00BA6D1A">
        <w:rPr>
          <w:rFonts w:ascii="Arial" w:hAnsi="Arial" w:cs="Arial"/>
          <w:bCs/>
        </w:rPr>
        <w:t>ají</w:t>
      </w:r>
      <w:r w:rsidR="00E96BFD">
        <w:rPr>
          <w:rFonts w:ascii="Arial" w:hAnsi="Arial" w:cs="Arial"/>
          <w:bCs/>
        </w:rPr>
        <w:t xml:space="preserve"> za</w:t>
      </w:r>
      <w:r w:rsidR="0047111E">
        <w:rPr>
          <w:rFonts w:ascii="Arial" w:hAnsi="Arial" w:cs="Arial"/>
          <w:bCs/>
        </w:rPr>
        <w:t> </w:t>
      </w:r>
      <w:r w:rsidR="00E96BFD">
        <w:rPr>
          <w:rFonts w:ascii="Arial" w:hAnsi="Arial" w:cs="Arial"/>
          <w:bCs/>
        </w:rPr>
        <w:t xml:space="preserve">správnost či úplnost informací </w:t>
      </w:r>
      <w:r w:rsidR="00F856C6">
        <w:rPr>
          <w:rFonts w:ascii="Arial" w:hAnsi="Arial" w:cs="Arial"/>
          <w:bCs/>
        </w:rPr>
        <w:t xml:space="preserve">vložených do </w:t>
      </w:r>
      <w:r w:rsidR="00CC05BA">
        <w:rPr>
          <w:rFonts w:ascii="Arial" w:hAnsi="Arial" w:cs="Arial"/>
          <w:bCs/>
        </w:rPr>
        <w:t>Databáze</w:t>
      </w:r>
      <w:r w:rsidR="008472AE">
        <w:rPr>
          <w:rFonts w:ascii="Arial" w:hAnsi="Arial" w:cs="Arial"/>
          <w:bCs/>
        </w:rPr>
        <w:t xml:space="preserve">, ani za právní důsledky vložení informací do </w:t>
      </w:r>
      <w:r w:rsidR="00CC05BA">
        <w:rPr>
          <w:rFonts w:ascii="Arial" w:hAnsi="Arial" w:cs="Arial"/>
          <w:bCs/>
        </w:rPr>
        <w:t>Databáze</w:t>
      </w:r>
      <w:r w:rsidR="00E96BFD">
        <w:rPr>
          <w:rFonts w:ascii="Arial" w:hAnsi="Arial" w:cs="Arial"/>
          <w:bCs/>
        </w:rPr>
        <w:t xml:space="preserve">. </w:t>
      </w:r>
    </w:p>
    <w:p w:rsidR="001B106C" w:rsidRPr="00CB09D0" w:rsidRDefault="001B106C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CB09D0" w:rsidRPr="00CB09D0" w:rsidRDefault="00CB09D0" w:rsidP="00CB09D0">
      <w:pPr>
        <w:keepNext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:rsidR="0047111E" w:rsidRPr="00CB09D0" w:rsidRDefault="00611818" w:rsidP="00EF0EAC">
      <w:pPr>
        <w:spacing w:after="120"/>
        <w:rPr>
          <w:rFonts w:ascii="Arial" w:hAnsi="Arial" w:cs="Arial"/>
          <w:b/>
          <w:bCs/>
          <w:u w:val="single"/>
        </w:rPr>
      </w:pPr>
      <w:r w:rsidRPr="00CB09D0">
        <w:rPr>
          <w:rFonts w:ascii="Arial" w:hAnsi="Arial" w:cs="Arial"/>
          <w:b/>
          <w:bCs/>
          <w:u w:val="single"/>
        </w:rPr>
        <w:t>Vybrané přímo řízené organizace, pro které je tato metodika závazná: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CB09D0">
        <w:rPr>
          <w:rFonts w:ascii="Arial" w:hAnsi="Arial" w:cs="Arial"/>
          <w:b/>
          <w:bCs/>
          <w:color w:val="000000"/>
        </w:rPr>
        <w:br/>
      </w:r>
      <w:r w:rsidRPr="00611818">
        <w:rPr>
          <w:rFonts w:ascii="Arial" w:hAnsi="Arial" w:cs="Arial"/>
          <w:bCs/>
        </w:rPr>
        <w:t>Centrum kardiovaskulární a transplantační chirurgie Brno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Brno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Hradec Králové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Královské Vinohrady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Olomouc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Ostrava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Plzeň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u sv. Anny v Brně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Fakultní nemocnice v Motole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Institut klinické a experimentální medicíny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Masarykův onkologický ústav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Nemocnice Na Bulovce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Nemocnice Na Homolce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Revmatologický ústav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Thomayerova nemocnice</w:t>
      </w:r>
    </w:p>
    <w:p w:rsidR="00611818" w:rsidRP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Ústav hematologie a krevní transfuze</w:t>
      </w:r>
    </w:p>
    <w:p w:rsidR="00611818" w:rsidRDefault="00611818" w:rsidP="00611818">
      <w:pPr>
        <w:spacing w:after="120"/>
        <w:rPr>
          <w:rFonts w:ascii="Arial" w:hAnsi="Arial" w:cs="Arial"/>
          <w:bCs/>
        </w:rPr>
      </w:pPr>
      <w:r w:rsidRPr="00611818">
        <w:rPr>
          <w:rFonts w:ascii="Arial" w:hAnsi="Arial" w:cs="Arial"/>
          <w:bCs/>
        </w:rPr>
        <w:t>Všeobecná fakultní nemocnice v Praze</w:t>
      </w:r>
    </w:p>
    <w:p w:rsidR="00611818" w:rsidRDefault="00611818" w:rsidP="009410FD">
      <w:pPr>
        <w:spacing w:after="120"/>
        <w:rPr>
          <w:rFonts w:ascii="Arial" w:hAnsi="Arial" w:cs="Arial"/>
          <w:bCs/>
        </w:rPr>
      </w:pPr>
    </w:p>
    <w:p w:rsidR="00611818" w:rsidRDefault="00611818" w:rsidP="009410FD">
      <w:pPr>
        <w:spacing w:after="120"/>
        <w:rPr>
          <w:rFonts w:ascii="Arial" w:hAnsi="Arial" w:cs="Arial"/>
          <w:bCs/>
        </w:rPr>
      </w:pPr>
    </w:p>
    <w:p w:rsidR="00611818" w:rsidRDefault="00611818" w:rsidP="009410FD">
      <w:pPr>
        <w:spacing w:after="120"/>
        <w:rPr>
          <w:rFonts w:ascii="Arial" w:hAnsi="Arial" w:cs="Arial"/>
          <w:bCs/>
        </w:rPr>
      </w:pPr>
    </w:p>
    <w:p w:rsidR="00611818" w:rsidRDefault="00611818" w:rsidP="009410FD">
      <w:pPr>
        <w:spacing w:after="120"/>
        <w:rPr>
          <w:rFonts w:ascii="Arial" w:hAnsi="Arial" w:cs="Arial"/>
          <w:bCs/>
        </w:rPr>
      </w:pPr>
    </w:p>
    <w:p w:rsidR="00611818" w:rsidRDefault="00611818" w:rsidP="009410FD">
      <w:pPr>
        <w:spacing w:after="120"/>
        <w:rPr>
          <w:rFonts w:ascii="Arial" w:hAnsi="Arial" w:cs="Arial"/>
          <w:bCs/>
        </w:rPr>
      </w:pPr>
    </w:p>
    <w:p w:rsidR="00EF0EAC" w:rsidRPr="00D0021F" w:rsidRDefault="00B05167" w:rsidP="009410F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Přílohy:</w:t>
      </w:r>
      <w:r>
        <w:rPr>
          <w:rFonts w:ascii="Arial" w:hAnsi="Arial" w:cs="Arial"/>
          <w:bCs/>
        </w:rPr>
        <w:tab/>
        <w:t xml:space="preserve">Memorandum o spolupráci ze dne </w:t>
      </w:r>
      <w:r w:rsidR="007B05CE" w:rsidRPr="007B05CE">
        <w:rPr>
          <w:rFonts w:ascii="Arial" w:hAnsi="Arial" w:cs="Arial"/>
          <w:bCs/>
        </w:rPr>
        <w:t>21.</w:t>
      </w:r>
      <w:r w:rsidR="00CB09D0">
        <w:rPr>
          <w:rFonts w:ascii="Arial" w:hAnsi="Arial" w:cs="Arial"/>
          <w:bCs/>
        </w:rPr>
        <w:t xml:space="preserve"> </w:t>
      </w:r>
      <w:r w:rsidR="007B05CE" w:rsidRPr="007B05CE">
        <w:rPr>
          <w:rFonts w:ascii="Arial" w:hAnsi="Arial" w:cs="Arial"/>
          <w:bCs/>
        </w:rPr>
        <w:t>11.</w:t>
      </w:r>
      <w:r w:rsidR="003464C2">
        <w:rPr>
          <w:rFonts w:ascii="Arial" w:hAnsi="Arial" w:cs="Arial"/>
          <w:bCs/>
        </w:rPr>
        <w:t xml:space="preserve"> 2018</w:t>
      </w:r>
    </w:p>
    <w:sectPr w:rsidR="00EF0EAC" w:rsidRPr="00D0021F" w:rsidSect="00D86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1F" w:rsidRDefault="002B231F" w:rsidP="00E009A9">
      <w:pPr>
        <w:spacing w:after="0" w:line="240" w:lineRule="auto"/>
      </w:pPr>
      <w:r>
        <w:separator/>
      </w:r>
    </w:p>
  </w:endnote>
  <w:endnote w:type="continuationSeparator" w:id="0">
    <w:p w:rsidR="002B231F" w:rsidRDefault="002B231F" w:rsidP="00E0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7B" w:rsidRDefault="0070727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2965"/>
      <w:docPartObj>
        <w:docPartGallery w:val="Page Numbers (Bottom of Page)"/>
        <w:docPartUnique/>
      </w:docPartObj>
    </w:sdtPr>
    <w:sdtContent>
      <w:p w:rsidR="00516156" w:rsidRDefault="00673C65">
        <w:pPr>
          <w:pStyle w:val="Zpat"/>
          <w:jc w:val="right"/>
        </w:pPr>
        <w:r>
          <w:fldChar w:fldCharType="begin"/>
        </w:r>
        <w:r w:rsidR="00516156">
          <w:instrText>PAGE   \* MERGEFORMAT</w:instrText>
        </w:r>
        <w:r>
          <w:fldChar w:fldCharType="separate"/>
        </w:r>
        <w:r w:rsidR="00063220">
          <w:rPr>
            <w:noProof/>
          </w:rPr>
          <w:t>8</w:t>
        </w:r>
        <w:r>
          <w:fldChar w:fldCharType="end"/>
        </w:r>
      </w:p>
    </w:sdtContent>
  </w:sdt>
  <w:p w:rsidR="00516156" w:rsidRDefault="0051615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7B" w:rsidRDefault="007072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1F" w:rsidRDefault="002B231F" w:rsidP="00E009A9">
      <w:pPr>
        <w:spacing w:after="0" w:line="240" w:lineRule="auto"/>
      </w:pPr>
      <w:r>
        <w:separator/>
      </w:r>
    </w:p>
  </w:footnote>
  <w:footnote w:type="continuationSeparator" w:id="0">
    <w:p w:rsidR="002B231F" w:rsidRDefault="002B231F" w:rsidP="00E0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7B" w:rsidRDefault="0070727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56" w:rsidRDefault="0051615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09825" cy="219075"/>
          <wp:effectExtent l="0" t="0" r="9525" b="9525"/>
          <wp:wrapNone/>
          <wp:docPr id="1" name="Obrázek 1" descr="logo_mzc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cr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7B" w:rsidRDefault="007072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37D"/>
    <w:multiLevelType w:val="hybridMultilevel"/>
    <w:tmpl w:val="DEF03F66"/>
    <w:lvl w:ilvl="0" w:tplc="775A223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6CB7"/>
    <w:multiLevelType w:val="hybridMultilevel"/>
    <w:tmpl w:val="02E41D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EAF"/>
    <w:multiLevelType w:val="hybridMultilevel"/>
    <w:tmpl w:val="0D5E232A"/>
    <w:lvl w:ilvl="0" w:tplc="04050011">
      <w:start w:val="1"/>
      <w:numFmt w:val="decimal"/>
      <w:lvlText w:val="%1)"/>
      <w:lvlJc w:val="left"/>
      <w:pPr>
        <w:ind w:left="3543" w:hanging="708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14E07C2A"/>
    <w:multiLevelType w:val="hybridMultilevel"/>
    <w:tmpl w:val="38384316"/>
    <w:lvl w:ilvl="0" w:tplc="09204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21D5C"/>
    <w:multiLevelType w:val="hybridMultilevel"/>
    <w:tmpl w:val="37A8A6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E239E"/>
    <w:multiLevelType w:val="hybridMultilevel"/>
    <w:tmpl w:val="D3E24596"/>
    <w:lvl w:ilvl="0" w:tplc="84C26F28">
      <w:numFmt w:val="bullet"/>
      <w:lvlText w:val="•"/>
      <w:lvlJc w:val="left"/>
      <w:pPr>
        <w:ind w:left="708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B116DD"/>
    <w:multiLevelType w:val="hybridMultilevel"/>
    <w:tmpl w:val="85EE98C0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5B64487F"/>
    <w:multiLevelType w:val="hybridMultilevel"/>
    <w:tmpl w:val="56FC8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511E3"/>
    <w:multiLevelType w:val="hybridMultilevel"/>
    <w:tmpl w:val="65D6582E"/>
    <w:lvl w:ilvl="0" w:tplc="5EDC7CD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22754B"/>
    <w:multiLevelType w:val="hybridMultilevel"/>
    <w:tmpl w:val="3FB2F0AA"/>
    <w:lvl w:ilvl="0" w:tplc="04050013">
      <w:start w:val="1"/>
      <w:numFmt w:val="upperRoman"/>
      <w:lvlText w:val="%1."/>
      <w:lvlJc w:val="right"/>
      <w:pPr>
        <w:ind w:left="708" w:hanging="708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2D3F"/>
    <w:rsid w:val="00002328"/>
    <w:rsid w:val="00005540"/>
    <w:rsid w:val="00005D45"/>
    <w:rsid w:val="00010FC2"/>
    <w:rsid w:val="0001129A"/>
    <w:rsid w:val="00011773"/>
    <w:rsid w:val="00013936"/>
    <w:rsid w:val="00016A11"/>
    <w:rsid w:val="00023C33"/>
    <w:rsid w:val="000248FA"/>
    <w:rsid w:val="000250F3"/>
    <w:rsid w:val="00034DE0"/>
    <w:rsid w:val="00040074"/>
    <w:rsid w:val="00040481"/>
    <w:rsid w:val="000423E1"/>
    <w:rsid w:val="00045DD4"/>
    <w:rsid w:val="00052629"/>
    <w:rsid w:val="0005274B"/>
    <w:rsid w:val="000530F2"/>
    <w:rsid w:val="00056229"/>
    <w:rsid w:val="0005789E"/>
    <w:rsid w:val="000600D9"/>
    <w:rsid w:val="0006081A"/>
    <w:rsid w:val="00060B44"/>
    <w:rsid w:val="00063220"/>
    <w:rsid w:val="000744D8"/>
    <w:rsid w:val="0008514B"/>
    <w:rsid w:val="00085EDD"/>
    <w:rsid w:val="00090BE6"/>
    <w:rsid w:val="00091449"/>
    <w:rsid w:val="00092260"/>
    <w:rsid w:val="0009375D"/>
    <w:rsid w:val="00095C9B"/>
    <w:rsid w:val="000A3317"/>
    <w:rsid w:val="000A3CC2"/>
    <w:rsid w:val="000A4C71"/>
    <w:rsid w:val="000B3473"/>
    <w:rsid w:val="000B39F4"/>
    <w:rsid w:val="000B42DA"/>
    <w:rsid w:val="000B7187"/>
    <w:rsid w:val="000C2902"/>
    <w:rsid w:val="000C2D21"/>
    <w:rsid w:val="000D12DA"/>
    <w:rsid w:val="000D2183"/>
    <w:rsid w:val="000D2BD5"/>
    <w:rsid w:val="000D72D1"/>
    <w:rsid w:val="000D7403"/>
    <w:rsid w:val="000E5ED7"/>
    <w:rsid w:val="000F0A23"/>
    <w:rsid w:val="000F1D88"/>
    <w:rsid w:val="000F72A0"/>
    <w:rsid w:val="00103030"/>
    <w:rsid w:val="001075DC"/>
    <w:rsid w:val="0011213B"/>
    <w:rsid w:val="001134E7"/>
    <w:rsid w:val="00116E99"/>
    <w:rsid w:val="00120DFB"/>
    <w:rsid w:val="0012288B"/>
    <w:rsid w:val="001237B4"/>
    <w:rsid w:val="00123AE7"/>
    <w:rsid w:val="0012598F"/>
    <w:rsid w:val="001309AC"/>
    <w:rsid w:val="00132D74"/>
    <w:rsid w:val="00134377"/>
    <w:rsid w:val="00143875"/>
    <w:rsid w:val="001467EE"/>
    <w:rsid w:val="00154A4A"/>
    <w:rsid w:val="00156090"/>
    <w:rsid w:val="0015792F"/>
    <w:rsid w:val="00160175"/>
    <w:rsid w:val="001602ED"/>
    <w:rsid w:val="0016085C"/>
    <w:rsid w:val="0016336E"/>
    <w:rsid w:val="00163434"/>
    <w:rsid w:val="00163CDC"/>
    <w:rsid w:val="00164423"/>
    <w:rsid w:val="00170323"/>
    <w:rsid w:val="00174FE3"/>
    <w:rsid w:val="00175A61"/>
    <w:rsid w:val="001768EE"/>
    <w:rsid w:val="00181F27"/>
    <w:rsid w:val="001851A9"/>
    <w:rsid w:val="0018696B"/>
    <w:rsid w:val="00187437"/>
    <w:rsid w:val="0019772F"/>
    <w:rsid w:val="001A1FDF"/>
    <w:rsid w:val="001A2CBA"/>
    <w:rsid w:val="001A47B3"/>
    <w:rsid w:val="001A536D"/>
    <w:rsid w:val="001A5575"/>
    <w:rsid w:val="001B106C"/>
    <w:rsid w:val="001B6D6E"/>
    <w:rsid w:val="001D0017"/>
    <w:rsid w:val="001D2C75"/>
    <w:rsid w:val="001D69C4"/>
    <w:rsid w:val="001E1970"/>
    <w:rsid w:val="001E2E78"/>
    <w:rsid w:val="001E534F"/>
    <w:rsid w:val="001E5B3C"/>
    <w:rsid w:val="001E5C48"/>
    <w:rsid w:val="001E7B6B"/>
    <w:rsid w:val="001F0C43"/>
    <w:rsid w:val="001F790E"/>
    <w:rsid w:val="00202A32"/>
    <w:rsid w:val="00203B2C"/>
    <w:rsid w:val="002148CA"/>
    <w:rsid w:val="002203A7"/>
    <w:rsid w:val="00221D0C"/>
    <w:rsid w:val="00221F12"/>
    <w:rsid w:val="00224174"/>
    <w:rsid w:val="002246FB"/>
    <w:rsid w:val="00231293"/>
    <w:rsid w:val="002369EF"/>
    <w:rsid w:val="002376F1"/>
    <w:rsid w:val="00241A56"/>
    <w:rsid w:val="002425C8"/>
    <w:rsid w:val="00244703"/>
    <w:rsid w:val="002460E3"/>
    <w:rsid w:val="00247560"/>
    <w:rsid w:val="00250DE6"/>
    <w:rsid w:val="0025302D"/>
    <w:rsid w:val="00255F0F"/>
    <w:rsid w:val="00257F4C"/>
    <w:rsid w:val="0026230A"/>
    <w:rsid w:val="00262B51"/>
    <w:rsid w:val="00265084"/>
    <w:rsid w:val="002727D9"/>
    <w:rsid w:val="002744A4"/>
    <w:rsid w:val="00274676"/>
    <w:rsid w:val="0027479C"/>
    <w:rsid w:val="00276D5D"/>
    <w:rsid w:val="0028716D"/>
    <w:rsid w:val="002911D5"/>
    <w:rsid w:val="002947BA"/>
    <w:rsid w:val="002967E7"/>
    <w:rsid w:val="00297179"/>
    <w:rsid w:val="002A1A72"/>
    <w:rsid w:val="002B0517"/>
    <w:rsid w:val="002B231F"/>
    <w:rsid w:val="002B3A14"/>
    <w:rsid w:val="002B3FB2"/>
    <w:rsid w:val="002C0145"/>
    <w:rsid w:val="002C0B03"/>
    <w:rsid w:val="002C1A74"/>
    <w:rsid w:val="002C661D"/>
    <w:rsid w:val="002E06EE"/>
    <w:rsid w:val="002E2593"/>
    <w:rsid w:val="002E2AE5"/>
    <w:rsid w:val="002E6464"/>
    <w:rsid w:val="002F062B"/>
    <w:rsid w:val="002F15F2"/>
    <w:rsid w:val="002F2DA2"/>
    <w:rsid w:val="002F4084"/>
    <w:rsid w:val="002F408C"/>
    <w:rsid w:val="002F5A07"/>
    <w:rsid w:val="002F765B"/>
    <w:rsid w:val="00301249"/>
    <w:rsid w:val="003119D0"/>
    <w:rsid w:val="00316021"/>
    <w:rsid w:val="00317B68"/>
    <w:rsid w:val="00320AA4"/>
    <w:rsid w:val="00321CAF"/>
    <w:rsid w:val="00325672"/>
    <w:rsid w:val="00326242"/>
    <w:rsid w:val="0032704A"/>
    <w:rsid w:val="003346A0"/>
    <w:rsid w:val="00336C44"/>
    <w:rsid w:val="00340E13"/>
    <w:rsid w:val="003464C2"/>
    <w:rsid w:val="00346F13"/>
    <w:rsid w:val="00347776"/>
    <w:rsid w:val="00351106"/>
    <w:rsid w:val="00352566"/>
    <w:rsid w:val="00352ACA"/>
    <w:rsid w:val="003539B1"/>
    <w:rsid w:val="00354CA5"/>
    <w:rsid w:val="003573B5"/>
    <w:rsid w:val="003615BB"/>
    <w:rsid w:val="003622E3"/>
    <w:rsid w:val="003625D6"/>
    <w:rsid w:val="0036741E"/>
    <w:rsid w:val="0037009D"/>
    <w:rsid w:val="00370CEC"/>
    <w:rsid w:val="00372D45"/>
    <w:rsid w:val="00372F09"/>
    <w:rsid w:val="003839DF"/>
    <w:rsid w:val="00383A49"/>
    <w:rsid w:val="00383B00"/>
    <w:rsid w:val="00387505"/>
    <w:rsid w:val="00390810"/>
    <w:rsid w:val="00390B3A"/>
    <w:rsid w:val="00391C7E"/>
    <w:rsid w:val="003926B8"/>
    <w:rsid w:val="00392B8E"/>
    <w:rsid w:val="0039327F"/>
    <w:rsid w:val="0039599B"/>
    <w:rsid w:val="00395B39"/>
    <w:rsid w:val="00396842"/>
    <w:rsid w:val="003A3118"/>
    <w:rsid w:val="003A37F3"/>
    <w:rsid w:val="003A43AE"/>
    <w:rsid w:val="003A499E"/>
    <w:rsid w:val="003A7268"/>
    <w:rsid w:val="003B22C0"/>
    <w:rsid w:val="003B2D9E"/>
    <w:rsid w:val="003B347E"/>
    <w:rsid w:val="003B3BF5"/>
    <w:rsid w:val="003B4369"/>
    <w:rsid w:val="003B5766"/>
    <w:rsid w:val="003B5B1A"/>
    <w:rsid w:val="003B5EDB"/>
    <w:rsid w:val="003B73C0"/>
    <w:rsid w:val="003B7D2D"/>
    <w:rsid w:val="003C0B88"/>
    <w:rsid w:val="003C2225"/>
    <w:rsid w:val="003C66C5"/>
    <w:rsid w:val="003E1127"/>
    <w:rsid w:val="003E6F40"/>
    <w:rsid w:val="003F223B"/>
    <w:rsid w:val="003F4164"/>
    <w:rsid w:val="003F7AD4"/>
    <w:rsid w:val="00402AED"/>
    <w:rsid w:val="00404216"/>
    <w:rsid w:val="004063C7"/>
    <w:rsid w:val="00411802"/>
    <w:rsid w:val="00413247"/>
    <w:rsid w:val="004141AF"/>
    <w:rsid w:val="004155BE"/>
    <w:rsid w:val="004155D7"/>
    <w:rsid w:val="0041565E"/>
    <w:rsid w:val="0041690A"/>
    <w:rsid w:val="00417596"/>
    <w:rsid w:val="004178D2"/>
    <w:rsid w:val="00422A9E"/>
    <w:rsid w:val="00423DAC"/>
    <w:rsid w:val="00427E2E"/>
    <w:rsid w:val="00435086"/>
    <w:rsid w:val="0044090F"/>
    <w:rsid w:val="00442F81"/>
    <w:rsid w:val="00451CEC"/>
    <w:rsid w:val="004545BF"/>
    <w:rsid w:val="004553FB"/>
    <w:rsid w:val="00456DCC"/>
    <w:rsid w:val="0045790F"/>
    <w:rsid w:val="00457AAF"/>
    <w:rsid w:val="00457DF9"/>
    <w:rsid w:val="004630F4"/>
    <w:rsid w:val="00463E0A"/>
    <w:rsid w:val="0047111E"/>
    <w:rsid w:val="004711CF"/>
    <w:rsid w:val="00476E61"/>
    <w:rsid w:val="00477578"/>
    <w:rsid w:val="004823C6"/>
    <w:rsid w:val="004840D4"/>
    <w:rsid w:val="004849DB"/>
    <w:rsid w:val="00484A7A"/>
    <w:rsid w:val="00492D4D"/>
    <w:rsid w:val="00494C89"/>
    <w:rsid w:val="0049619D"/>
    <w:rsid w:val="004977B5"/>
    <w:rsid w:val="004A02D3"/>
    <w:rsid w:val="004A4FB7"/>
    <w:rsid w:val="004A5630"/>
    <w:rsid w:val="004A581C"/>
    <w:rsid w:val="004A5ED2"/>
    <w:rsid w:val="004B0DFD"/>
    <w:rsid w:val="004C2F00"/>
    <w:rsid w:val="004C37CA"/>
    <w:rsid w:val="004C3B53"/>
    <w:rsid w:val="004C5971"/>
    <w:rsid w:val="004C5F89"/>
    <w:rsid w:val="004C611C"/>
    <w:rsid w:val="004C61F8"/>
    <w:rsid w:val="004D3580"/>
    <w:rsid w:val="004E1E31"/>
    <w:rsid w:val="004E4C0B"/>
    <w:rsid w:val="004F2265"/>
    <w:rsid w:val="004F4555"/>
    <w:rsid w:val="004F732D"/>
    <w:rsid w:val="00500487"/>
    <w:rsid w:val="005038D9"/>
    <w:rsid w:val="00503D6F"/>
    <w:rsid w:val="00510293"/>
    <w:rsid w:val="00513DF9"/>
    <w:rsid w:val="00516156"/>
    <w:rsid w:val="00516CAB"/>
    <w:rsid w:val="00517A61"/>
    <w:rsid w:val="00520644"/>
    <w:rsid w:val="00520996"/>
    <w:rsid w:val="00525D3E"/>
    <w:rsid w:val="0052704A"/>
    <w:rsid w:val="0053012D"/>
    <w:rsid w:val="005318C4"/>
    <w:rsid w:val="00533D1F"/>
    <w:rsid w:val="0054608B"/>
    <w:rsid w:val="005465D2"/>
    <w:rsid w:val="00550799"/>
    <w:rsid w:val="00551A6E"/>
    <w:rsid w:val="00553182"/>
    <w:rsid w:val="00554AE5"/>
    <w:rsid w:val="005606A7"/>
    <w:rsid w:val="00564E64"/>
    <w:rsid w:val="00565D52"/>
    <w:rsid w:val="005706A1"/>
    <w:rsid w:val="005726D4"/>
    <w:rsid w:val="00576999"/>
    <w:rsid w:val="00580A28"/>
    <w:rsid w:val="005810B2"/>
    <w:rsid w:val="005844A8"/>
    <w:rsid w:val="005845A3"/>
    <w:rsid w:val="00584C11"/>
    <w:rsid w:val="0058530B"/>
    <w:rsid w:val="005904ED"/>
    <w:rsid w:val="00592D3F"/>
    <w:rsid w:val="005A3D6F"/>
    <w:rsid w:val="005A5DE6"/>
    <w:rsid w:val="005B040F"/>
    <w:rsid w:val="005C287C"/>
    <w:rsid w:val="005C595E"/>
    <w:rsid w:val="005D1295"/>
    <w:rsid w:val="005F23C3"/>
    <w:rsid w:val="005F28CA"/>
    <w:rsid w:val="005F5E53"/>
    <w:rsid w:val="00601049"/>
    <w:rsid w:val="006055E7"/>
    <w:rsid w:val="006076CF"/>
    <w:rsid w:val="00610739"/>
    <w:rsid w:val="0061138B"/>
    <w:rsid w:val="00611818"/>
    <w:rsid w:val="00613621"/>
    <w:rsid w:val="00613644"/>
    <w:rsid w:val="00615CCB"/>
    <w:rsid w:val="00623027"/>
    <w:rsid w:val="00625902"/>
    <w:rsid w:val="00625BCC"/>
    <w:rsid w:val="00631323"/>
    <w:rsid w:val="00633CB4"/>
    <w:rsid w:val="006356C1"/>
    <w:rsid w:val="006366EF"/>
    <w:rsid w:val="006401F4"/>
    <w:rsid w:val="006419DE"/>
    <w:rsid w:val="00644CA8"/>
    <w:rsid w:val="00647960"/>
    <w:rsid w:val="00651EF6"/>
    <w:rsid w:val="00654336"/>
    <w:rsid w:val="006552F4"/>
    <w:rsid w:val="006610E8"/>
    <w:rsid w:val="00661F0E"/>
    <w:rsid w:val="00662E4E"/>
    <w:rsid w:val="0066356E"/>
    <w:rsid w:val="00663DDF"/>
    <w:rsid w:val="006656F4"/>
    <w:rsid w:val="00667EFC"/>
    <w:rsid w:val="00670B35"/>
    <w:rsid w:val="00673C65"/>
    <w:rsid w:val="0067490D"/>
    <w:rsid w:val="00674941"/>
    <w:rsid w:val="00676877"/>
    <w:rsid w:val="006820CD"/>
    <w:rsid w:val="00682AC4"/>
    <w:rsid w:val="00683AF5"/>
    <w:rsid w:val="00684C31"/>
    <w:rsid w:val="006870C0"/>
    <w:rsid w:val="00691572"/>
    <w:rsid w:val="00692338"/>
    <w:rsid w:val="006942EF"/>
    <w:rsid w:val="006A2E9C"/>
    <w:rsid w:val="006A38F3"/>
    <w:rsid w:val="006A76C2"/>
    <w:rsid w:val="006B0500"/>
    <w:rsid w:val="006B3F3B"/>
    <w:rsid w:val="006C04CD"/>
    <w:rsid w:val="006C5502"/>
    <w:rsid w:val="006C5BAF"/>
    <w:rsid w:val="006C757C"/>
    <w:rsid w:val="006C7C4E"/>
    <w:rsid w:val="006C7C7C"/>
    <w:rsid w:val="006D03CA"/>
    <w:rsid w:val="006D2A98"/>
    <w:rsid w:val="006D61FD"/>
    <w:rsid w:val="006E0028"/>
    <w:rsid w:val="006E1B05"/>
    <w:rsid w:val="006E58E2"/>
    <w:rsid w:val="006F252D"/>
    <w:rsid w:val="006F7B99"/>
    <w:rsid w:val="00700652"/>
    <w:rsid w:val="00704030"/>
    <w:rsid w:val="00704EBD"/>
    <w:rsid w:val="007051E7"/>
    <w:rsid w:val="00705D9C"/>
    <w:rsid w:val="00706D21"/>
    <w:rsid w:val="0070727B"/>
    <w:rsid w:val="00707687"/>
    <w:rsid w:val="007106C3"/>
    <w:rsid w:val="00714124"/>
    <w:rsid w:val="007170F9"/>
    <w:rsid w:val="00717F2D"/>
    <w:rsid w:val="0072133A"/>
    <w:rsid w:val="007226C1"/>
    <w:rsid w:val="007233E8"/>
    <w:rsid w:val="00725D33"/>
    <w:rsid w:val="00727631"/>
    <w:rsid w:val="00731914"/>
    <w:rsid w:val="00733921"/>
    <w:rsid w:val="00740893"/>
    <w:rsid w:val="00742105"/>
    <w:rsid w:val="0074258C"/>
    <w:rsid w:val="00744FFB"/>
    <w:rsid w:val="0075040D"/>
    <w:rsid w:val="007511AB"/>
    <w:rsid w:val="00756109"/>
    <w:rsid w:val="00756386"/>
    <w:rsid w:val="00756892"/>
    <w:rsid w:val="0076542D"/>
    <w:rsid w:val="0076749F"/>
    <w:rsid w:val="00771246"/>
    <w:rsid w:val="00771C38"/>
    <w:rsid w:val="007720BC"/>
    <w:rsid w:val="0077327B"/>
    <w:rsid w:val="00773A3C"/>
    <w:rsid w:val="00774442"/>
    <w:rsid w:val="00776BC1"/>
    <w:rsid w:val="00780776"/>
    <w:rsid w:val="00781979"/>
    <w:rsid w:val="00781C3C"/>
    <w:rsid w:val="0078362E"/>
    <w:rsid w:val="00786F92"/>
    <w:rsid w:val="0078715A"/>
    <w:rsid w:val="00790CEA"/>
    <w:rsid w:val="00792CEA"/>
    <w:rsid w:val="007A1C7F"/>
    <w:rsid w:val="007A3E30"/>
    <w:rsid w:val="007B05CE"/>
    <w:rsid w:val="007B1955"/>
    <w:rsid w:val="007B376B"/>
    <w:rsid w:val="007B7234"/>
    <w:rsid w:val="007C0218"/>
    <w:rsid w:val="007C07BF"/>
    <w:rsid w:val="007C71DC"/>
    <w:rsid w:val="007C7E18"/>
    <w:rsid w:val="007D085C"/>
    <w:rsid w:val="007D0A86"/>
    <w:rsid w:val="007D2003"/>
    <w:rsid w:val="007D256B"/>
    <w:rsid w:val="007D4BD5"/>
    <w:rsid w:val="007D5D01"/>
    <w:rsid w:val="007D71F3"/>
    <w:rsid w:val="007E33FE"/>
    <w:rsid w:val="007E3D2C"/>
    <w:rsid w:val="007E48B2"/>
    <w:rsid w:val="007F0203"/>
    <w:rsid w:val="007F0634"/>
    <w:rsid w:val="007F12C8"/>
    <w:rsid w:val="007F3191"/>
    <w:rsid w:val="0080030E"/>
    <w:rsid w:val="00803EB3"/>
    <w:rsid w:val="008072B8"/>
    <w:rsid w:val="00812959"/>
    <w:rsid w:val="008222A0"/>
    <w:rsid w:val="008250B1"/>
    <w:rsid w:val="008311DC"/>
    <w:rsid w:val="008322FE"/>
    <w:rsid w:val="0083655B"/>
    <w:rsid w:val="008472AE"/>
    <w:rsid w:val="00851020"/>
    <w:rsid w:val="008539EA"/>
    <w:rsid w:val="00853AA9"/>
    <w:rsid w:val="008553F2"/>
    <w:rsid w:val="00855F63"/>
    <w:rsid w:val="008642B2"/>
    <w:rsid w:val="0086546F"/>
    <w:rsid w:val="00865E0F"/>
    <w:rsid w:val="00867678"/>
    <w:rsid w:val="00867916"/>
    <w:rsid w:val="00870E55"/>
    <w:rsid w:val="008723D0"/>
    <w:rsid w:val="00874D67"/>
    <w:rsid w:val="00875EEF"/>
    <w:rsid w:val="00876569"/>
    <w:rsid w:val="00877608"/>
    <w:rsid w:val="00883D2E"/>
    <w:rsid w:val="00884FD1"/>
    <w:rsid w:val="00885F68"/>
    <w:rsid w:val="00887070"/>
    <w:rsid w:val="00893FF9"/>
    <w:rsid w:val="00894E35"/>
    <w:rsid w:val="00897688"/>
    <w:rsid w:val="008A02B9"/>
    <w:rsid w:val="008A1DD8"/>
    <w:rsid w:val="008A2FA2"/>
    <w:rsid w:val="008A42CE"/>
    <w:rsid w:val="008A745A"/>
    <w:rsid w:val="008B04FD"/>
    <w:rsid w:val="008B283E"/>
    <w:rsid w:val="008B5E49"/>
    <w:rsid w:val="008B7EE7"/>
    <w:rsid w:val="008C30A6"/>
    <w:rsid w:val="008C37D1"/>
    <w:rsid w:val="008C531D"/>
    <w:rsid w:val="008D0954"/>
    <w:rsid w:val="008D2212"/>
    <w:rsid w:val="008D7D75"/>
    <w:rsid w:val="008E477D"/>
    <w:rsid w:val="008E56C2"/>
    <w:rsid w:val="008E690F"/>
    <w:rsid w:val="008E6A9F"/>
    <w:rsid w:val="008F0175"/>
    <w:rsid w:val="008F1C68"/>
    <w:rsid w:val="008F2880"/>
    <w:rsid w:val="008F33DF"/>
    <w:rsid w:val="00900481"/>
    <w:rsid w:val="00900A87"/>
    <w:rsid w:val="00904AC0"/>
    <w:rsid w:val="00906A58"/>
    <w:rsid w:val="00911761"/>
    <w:rsid w:val="00915A97"/>
    <w:rsid w:val="00921F30"/>
    <w:rsid w:val="00925720"/>
    <w:rsid w:val="009273F2"/>
    <w:rsid w:val="00930E14"/>
    <w:rsid w:val="00932828"/>
    <w:rsid w:val="00932C2A"/>
    <w:rsid w:val="00933F48"/>
    <w:rsid w:val="009410FD"/>
    <w:rsid w:val="00947C1D"/>
    <w:rsid w:val="00961D15"/>
    <w:rsid w:val="009621B1"/>
    <w:rsid w:val="009701B4"/>
    <w:rsid w:val="009703A5"/>
    <w:rsid w:val="00974239"/>
    <w:rsid w:val="009748AB"/>
    <w:rsid w:val="00975A2C"/>
    <w:rsid w:val="00975D9F"/>
    <w:rsid w:val="00976105"/>
    <w:rsid w:val="009761FC"/>
    <w:rsid w:val="00985106"/>
    <w:rsid w:val="0098619C"/>
    <w:rsid w:val="0099174E"/>
    <w:rsid w:val="00991903"/>
    <w:rsid w:val="0099299C"/>
    <w:rsid w:val="00996EDD"/>
    <w:rsid w:val="00996F30"/>
    <w:rsid w:val="00997F9A"/>
    <w:rsid w:val="009A2A4F"/>
    <w:rsid w:val="009A6350"/>
    <w:rsid w:val="009A7264"/>
    <w:rsid w:val="009B02BE"/>
    <w:rsid w:val="009B246B"/>
    <w:rsid w:val="009B6203"/>
    <w:rsid w:val="009B6D49"/>
    <w:rsid w:val="009C7526"/>
    <w:rsid w:val="009D3842"/>
    <w:rsid w:val="009D444B"/>
    <w:rsid w:val="009D5294"/>
    <w:rsid w:val="009D5C41"/>
    <w:rsid w:val="009D5E59"/>
    <w:rsid w:val="009D6817"/>
    <w:rsid w:val="009E2EF0"/>
    <w:rsid w:val="009E424E"/>
    <w:rsid w:val="009E7F13"/>
    <w:rsid w:val="009F0A9D"/>
    <w:rsid w:val="009F0CBC"/>
    <w:rsid w:val="009F24D3"/>
    <w:rsid w:val="009F3D28"/>
    <w:rsid w:val="00A07B1F"/>
    <w:rsid w:val="00A15602"/>
    <w:rsid w:val="00A165E3"/>
    <w:rsid w:val="00A22024"/>
    <w:rsid w:val="00A23B46"/>
    <w:rsid w:val="00A252F4"/>
    <w:rsid w:val="00A30D60"/>
    <w:rsid w:val="00A31499"/>
    <w:rsid w:val="00A34CF7"/>
    <w:rsid w:val="00A35C16"/>
    <w:rsid w:val="00A35C68"/>
    <w:rsid w:val="00A42499"/>
    <w:rsid w:val="00A42BEF"/>
    <w:rsid w:val="00A43740"/>
    <w:rsid w:val="00A4513E"/>
    <w:rsid w:val="00A45897"/>
    <w:rsid w:val="00A45C37"/>
    <w:rsid w:val="00A50C0D"/>
    <w:rsid w:val="00A54A56"/>
    <w:rsid w:val="00A54FDA"/>
    <w:rsid w:val="00A56CE7"/>
    <w:rsid w:val="00A60333"/>
    <w:rsid w:val="00A653FB"/>
    <w:rsid w:val="00A735F0"/>
    <w:rsid w:val="00A73BA8"/>
    <w:rsid w:val="00A774C5"/>
    <w:rsid w:val="00A81D5F"/>
    <w:rsid w:val="00A83E4A"/>
    <w:rsid w:val="00A83EB7"/>
    <w:rsid w:val="00A84580"/>
    <w:rsid w:val="00A874AD"/>
    <w:rsid w:val="00A93380"/>
    <w:rsid w:val="00A95283"/>
    <w:rsid w:val="00A95EC8"/>
    <w:rsid w:val="00AA2135"/>
    <w:rsid w:val="00AA5586"/>
    <w:rsid w:val="00AB2569"/>
    <w:rsid w:val="00AB3432"/>
    <w:rsid w:val="00AB3B36"/>
    <w:rsid w:val="00AB7B24"/>
    <w:rsid w:val="00AC3ED9"/>
    <w:rsid w:val="00AC5908"/>
    <w:rsid w:val="00AC5A04"/>
    <w:rsid w:val="00AC5EB7"/>
    <w:rsid w:val="00AD1D05"/>
    <w:rsid w:val="00AD2FE5"/>
    <w:rsid w:val="00AD3A1F"/>
    <w:rsid w:val="00AD3BD1"/>
    <w:rsid w:val="00AE3171"/>
    <w:rsid w:val="00B00CA3"/>
    <w:rsid w:val="00B016DC"/>
    <w:rsid w:val="00B05167"/>
    <w:rsid w:val="00B05F29"/>
    <w:rsid w:val="00B20F8C"/>
    <w:rsid w:val="00B26631"/>
    <w:rsid w:val="00B3095B"/>
    <w:rsid w:val="00B34DE1"/>
    <w:rsid w:val="00B36726"/>
    <w:rsid w:val="00B406C5"/>
    <w:rsid w:val="00B41B86"/>
    <w:rsid w:val="00B42275"/>
    <w:rsid w:val="00B43647"/>
    <w:rsid w:val="00B43649"/>
    <w:rsid w:val="00B507A8"/>
    <w:rsid w:val="00B50A17"/>
    <w:rsid w:val="00B50B12"/>
    <w:rsid w:val="00B50ECA"/>
    <w:rsid w:val="00B55593"/>
    <w:rsid w:val="00B56508"/>
    <w:rsid w:val="00B57965"/>
    <w:rsid w:val="00B6533E"/>
    <w:rsid w:val="00B6631C"/>
    <w:rsid w:val="00B73225"/>
    <w:rsid w:val="00B75F54"/>
    <w:rsid w:val="00B75F98"/>
    <w:rsid w:val="00B76471"/>
    <w:rsid w:val="00B81F18"/>
    <w:rsid w:val="00B873BB"/>
    <w:rsid w:val="00B87C3D"/>
    <w:rsid w:val="00B929CF"/>
    <w:rsid w:val="00B9558D"/>
    <w:rsid w:val="00B95EC8"/>
    <w:rsid w:val="00B9638E"/>
    <w:rsid w:val="00BA0318"/>
    <w:rsid w:val="00BA0B3B"/>
    <w:rsid w:val="00BA1E55"/>
    <w:rsid w:val="00BA62AF"/>
    <w:rsid w:val="00BA66FD"/>
    <w:rsid w:val="00BA6D1A"/>
    <w:rsid w:val="00BB03B9"/>
    <w:rsid w:val="00BB048D"/>
    <w:rsid w:val="00BB0972"/>
    <w:rsid w:val="00BB1A58"/>
    <w:rsid w:val="00BB1C89"/>
    <w:rsid w:val="00BB6BA2"/>
    <w:rsid w:val="00BC1481"/>
    <w:rsid w:val="00BC1685"/>
    <w:rsid w:val="00BC2545"/>
    <w:rsid w:val="00BC58C2"/>
    <w:rsid w:val="00BC7CB4"/>
    <w:rsid w:val="00BD1F84"/>
    <w:rsid w:val="00BD37F9"/>
    <w:rsid w:val="00BD4B88"/>
    <w:rsid w:val="00BD71D1"/>
    <w:rsid w:val="00BE0BAD"/>
    <w:rsid w:val="00BE235A"/>
    <w:rsid w:val="00BE509C"/>
    <w:rsid w:val="00BF049A"/>
    <w:rsid w:val="00C00B9A"/>
    <w:rsid w:val="00C01EBF"/>
    <w:rsid w:val="00C03DDA"/>
    <w:rsid w:val="00C05578"/>
    <w:rsid w:val="00C10E52"/>
    <w:rsid w:val="00C11CDB"/>
    <w:rsid w:val="00C11FB8"/>
    <w:rsid w:val="00C12CD8"/>
    <w:rsid w:val="00C13857"/>
    <w:rsid w:val="00C14214"/>
    <w:rsid w:val="00C17988"/>
    <w:rsid w:val="00C20133"/>
    <w:rsid w:val="00C20281"/>
    <w:rsid w:val="00C2459B"/>
    <w:rsid w:val="00C25166"/>
    <w:rsid w:val="00C308BD"/>
    <w:rsid w:val="00C4131D"/>
    <w:rsid w:val="00C5113C"/>
    <w:rsid w:val="00C5282B"/>
    <w:rsid w:val="00C54298"/>
    <w:rsid w:val="00C542D5"/>
    <w:rsid w:val="00C54FE7"/>
    <w:rsid w:val="00C62D09"/>
    <w:rsid w:val="00C63A8A"/>
    <w:rsid w:val="00C65B3A"/>
    <w:rsid w:val="00C65BDB"/>
    <w:rsid w:val="00C7184D"/>
    <w:rsid w:val="00C76AF0"/>
    <w:rsid w:val="00C76E3E"/>
    <w:rsid w:val="00C77F2B"/>
    <w:rsid w:val="00C81810"/>
    <w:rsid w:val="00C8280F"/>
    <w:rsid w:val="00C8737A"/>
    <w:rsid w:val="00C875C1"/>
    <w:rsid w:val="00C9260C"/>
    <w:rsid w:val="00C94B56"/>
    <w:rsid w:val="00C964ED"/>
    <w:rsid w:val="00C96C27"/>
    <w:rsid w:val="00CA7F88"/>
    <w:rsid w:val="00CB09CA"/>
    <w:rsid w:val="00CB09D0"/>
    <w:rsid w:val="00CB1D97"/>
    <w:rsid w:val="00CB4B1D"/>
    <w:rsid w:val="00CB51C0"/>
    <w:rsid w:val="00CB7871"/>
    <w:rsid w:val="00CC05BA"/>
    <w:rsid w:val="00CC0D84"/>
    <w:rsid w:val="00CC3D3D"/>
    <w:rsid w:val="00CD6C23"/>
    <w:rsid w:val="00CE074C"/>
    <w:rsid w:val="00CE15F2"/>
    <w:rsid w:val="00CE2795"/>
    <w:rsid w:val="00CE7819"/>
    <w:rsid w:val="00CF56F2"/>
    <w:rsid w:val="00D0021F"/>
    <w:rsid w:val="00D00BF8"/>
    <w:rsid w:val="00D0677E"/>
    <w:rsid w:val="00D11D29"/>
    <w:rsid w:val="00D11F4D"/>
    <w:rsid w:val="00D13470"/>
    <w:rsid w:val="00D15E66"/>
    <w:rsid w:val="00D1613F"/>
    <w:rsid w:val="00D1706A"/>
    <w:rsid w:val="00D17E45"/>
    <w:rsid w:val="00D2024C"/>
    <w:rsid w:val="00D207D3"/>
    <w:rsid w:val="00D24FDA"/>
    <w:rsid w:val="00D253ED"/>
    <w:rsid w:val="00D258F5"/>
    <w:rsid w:val="00D31622"/>
    <w:rsid w:val="00D317FD"/>
    <w:rsid w:val="00D318AC"/>
    <w:rsid w:val="00D33549"/>
    <w:rsid w:val="00D335B9"/>
    <w:rsid w:val="00D339C0"/>
    <w:rsid w:val="00D4167B"/>
    <w:rsid w:val="00D43730"/>
    <w:rsid w:val="00D4378E"/>
    <w:rsid w:val="00D47764"/>
    <w:rsid w:val="00D47EC3"/>
    <w:rsid w:val="00D5382F"/>
    <w:rsid w:val="00D60F5B"/>
    <w:rsid w:val="00D63321"/>
    <w:rsid w:val="00D746C9"/>
    <w:rsid w:val="00D761DD"/>
    <w:rsid w:val="00D76C73"/>
    <w:rsid w:val="00D84900"/>
    <w:rsid w:val="00D86649"/>
    <w:rsid w:val="00D90281"/>
    <w:rsid w:val="00D947C6"/>
    <w:rsid w:val="00DA6F24"/>
    <w:rsid w:val="00DA77FA"/>
    <w:rsid w:val="00DB128A"/>
    <w:rsid w:val="00DB39D5"/>
    <w:rsid w:val="00DC2170"/>
    <w:rsid w:val="00DC5B80"/>
    <w:rsid w:val="00DC6E15"/>
    <w:rsid w:val="00DC7412"/>
    <w:rsid w:val="00DC7E72"/>
    <w:rsid w:val="00DD2651"/>
    <w:rsid w:val="00DD2D69"/>
    <w:rsid w:val="00DE0E75"/>
    <w:rsid w:val="00DE3917"/>
    <w:rsid w:val="00DE59AA"/>
    <w:rsid w:val="00DE76D5"/>
    <w:rsid w:val="00DF2041"/>
    <w:rsid w:val="00DF229E"/>
    <w:rsid w:val="00DF4B92"/>
    <w:rsid w:val="00DF7DA9"/>
    <w:rsid w:val="00E009A9"/>
    <w:rsid w:val="00E0564F"/>
    <w:rsid w:val="00E12B85"/>
    <w:rsid w:val="00E13A20"/>
    <w:rsid w:val="00E151DD"/>
    <w:rsid w:val="00E17474"/>
    <w:rsid w:val="00E2087C"/>
    <w:rsid w:val="00E227A7"/>
    <w:rsid w:val="00E245E5"/>
    <w:rsid w:val="00E31FD7"/>
    <w:rsid w:val="00E340BF"/>
    <w:rsid w:val="00E346DD"/>
    <w:rsid w:val="00E36ED9"/>
    <w:rsid w:val="00E374AF"/>
    <w:rsid w:val="00E41876"/>
    <w:rsid w:val="00E4643C"/>
    <w:rsid w:val="00E47177"/>
    <w:rsid w:val="00E5053D"/>
    <w:rsid w:val="00E51C17"/>
    <w:rsid w:val="00E56635"/>
    <w:rsid w:val="00E56E1C"/>
    <w:rsid w:val="00E64CE0"/>
    <w:rsid w:val="00E65519"/>
    <w:rsid w:val="00E66002"/>
    <w:rsid w:val="00E67D6E"/>
    <w:rsid w:val="00E702D4"/>
    <w:rsid w:val="00E73158"/>
    <w:rsid w:val="00E80213"/>
    <w:rsid w:val="00E8332D"/>
    <w:rsid w:val="00E86B2A"/>
    <w:rsid w:val="00E877D8"/>
    <w:rsid w:val="00E908F3"/>
    <w:rsid w:val="00E90E54"/>
    <w:rsid w:val="00E924E0"/>
    <w:rsid w:val="00E94259"/>
    <w:rsid w:val="00E95F7C"/>
    <w:rsid w:val="00E9677B"/>
    <w:rsid w:val="00E96BFD"/>
    <w:rsid w:val="00E9726A"/>
    <w:rsid w:val="00EA2708"/>
    <w:rsid w:val="00EA28BA"/>
    <w:rsid w:val="00EA29D1"/>
    <w:rsid w:val="00EA5962"/>
    <w:rsid w:val="00EA5A35"/>
    <w:rsid w:val="00EA7A2D"/>
    <w:rsid w:val="00EB04CF"/>
    <w:rsid w:val="00EB44EF"/>
    <w:rsid w:val="00EC1B61"/>
    <w:rsid w:val="00EC2166"/>
    <w:rsid w:val="00ED179B"/>
    <w:rsid w:val="00ED237C"/>
    <w:rsid w:val="00ED261D"/>
    <w:rsid w:val="00ED2ED5"/>
    <w:rsid w:val="00EE7E2A"/>
    <w:rsid w:val="00EF05E3"/>
    <w:rsid w:val="00EF0EAC"/>
    <w:rsid w:val="00EF17DB"/>
    <w:rsid w:val="00EF57DD"/>
    <w:rsid w:val="00F04B79"/>
    <w:rsid w:val="00F05025"/>
    <w:rsid w:val="00F07D11"/>
    <w:rsid w:val="00F106AB"/>
    <w:rsid w:val="00F11EA3"/>
    <w:rsid w:val="00F1243F"/>
    <w:rsid w:val="00F17239"/>
    <w:rsid w:val="00F21013"/>
    <w:rsid w:val="00F3018A"/>
    <w:rsid w:val="00F3262F"/>
    <w:rsid w:val="00F3346B"/>
    <w:rsid w:val="00F36B80"/>
    <w:rsid w:val="00F370A6"/>
    <w:rsid w:val="00F414DB"/>
    <w:rsid w:val="00F4213F"/>
    <w:rsid w:val="00F43A26"/>
    <w:rsid w:val="00F55F05"/>
    <w:rsid w:val="00F626DB"/>
    <w:rsid w:val="00F71250"/>
    <w:rsid w:val="00F71BEF"/>
    <w:rsid w:val="00F72307"/>
    <w:rsid w:val="00F72665"/>
    <w:rsid w:val="00F74610"/>
    <w:rsid w:val="00F7493A"/>
    <w:rsid w:val="00F82C95"/>
    <w:rsid w:val="00F83AEF"/>
    <w:rsid w:val="00F845F9"/>
    <w:rsid w:val="00F856C6"/>
    <w:rsid w:val="00F86CF0"/>
    <w:rsid w:val="00F9138F"/>
    <w:rsid w:val="00F945AC"/>
    <w:rsid w:val="00FA344A"/>
    <w:rsid w:val="00FB0EAD"/>
    <w:rsid w:val="00FB5421"/>
    <w:rsid w:val="00FB68C6"/>
    <w:rsid w:val="00FC0925"/>
    <w:rsid w:val="00FC76BF"/>
    <w:rsid w:val="00FC7B10"/>
    <w:rsid w:val="00FD1765"/>
    <w:rsid w:val="00FE04A8"/>
    <w:rsid w:val="00FE10F7"/>
    <w:rsid w:val="00FE35F8"/>
    <w:rsid w:val="00FE6740"/>
    <w:rsid w:val="00FE6A4B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9A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2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tlumenmibarvami1">
    <w:name w:val="Table Subtle 1"/>
    <w:basedOn w:val="Normlntabulka"/>
    <w:rsid w:val="00E009A9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poznpodarou">
    <w:name w:val="footnote text"/>
    <w:basedOn w:val="Normln"/>
    <w:link w:val="TextpoznpodarouChar"/>
    <w:rsid w:val="00E009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009A9"/>
  </w:style>
  <w:style w:type="character" w:styleId="Znakapoznpodarou">
    <w:name w:val="footnote reference"/>
    <w:rsid w:val="00E009A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009A9"/>
    <w:pPr>
      <w:ind w:left="720"/>
      <w:contextualSpacing/>
    </w:pPr>
  </w:style>
  <w:style w:type="paragraph" w:styleId="Zhlav">
    <w:name w:val="header"/>
    <w:basedOn w:val="Normln"/>
    <w:link w:val="ZhlavChar"/>
    <w:rsid w:val="0052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25D3E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52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D3E"/>
    <w:rPr>
      <w:rFonts w:ascii="Calibri" w:hAnsi="Calibri"/>
      <w:sz w:val="22"/>
      <w:szCs w:val="22"/>
    </w:rPr>
  </w:style>
  <w:style w:type="character" w:styleId="slostrnky">
    <w:name w:val="page number"/>
    <w:basedOn w:val="Standardnpsmoodstavce"/>
    <w:rsid w:val="00D47764"/>
  </w:style>
  <w:style w:type="paragraph" w:styleId="Textbubliny">
    <w:name w:val="Balloon Text"/>
    <w:basedOn w:val="Normln"/>
    <w:link w:val="TextbublinyChar"/>
    <w:rsid w:val="00A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52F4"/>
    <w:rPr>
      <w:rFonts w:ascii="Tahoma" w:hAnsi="Tahoma" w:cs="Tahoma"/>
      <w:sz w:val="16"/>
      <w:szCs w:val="16"/>
    </w:rPr>
  </w:style>
  <w:style w:type="table" w:styleId="Jednoduchtabulka2">
    <w:name w:val="Table Simple 2"/>
    <w:basedOn w:val="Normlntabulka"/>
    <w:rsid w:val="001D0017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1D001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84F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7D71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71F3"/>
    <w:pPr>
      <w:spacing w:after="0" w:line="300" w:lineRule="exact"/>
      <w:jc w:val="both"/>
    </w:pPr>
    <w:rPr>
      <w:rFonts w:ascii="Arial" w:hAnsi="Arial"/>
      <w:noProof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71F3"/>
    <w:rPr>
      <w:rFonts w:ascii="Arial" w:hAnsi="Arial"/>
      <w:noProof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3F223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2F408C"/>
    <w:pPr>
      <w:spacing w:after="200" w:line="240" w:lineRule="auto"/>
      <w:jc w:val="left"/>
    </w:pPr>
    <w:rPr>
      <w:rFonts w:ascii="Calibri" w:hAnsi="Calibri"/>
      <w:b/>
      <w:bCs/>
      <w:noProof w:val="0"/>
      <w:color w:val="auto"/>
    </w:rPr>
  </w:style>
  <w:style w:type="character" w:customStyle="1" w:styleId="PedmtkomenteChar">
    <w:name w:val="Předmět komentáře Char"/>
    <w:basedOn w:val="TextkomenteChar"/>
    <w:link w:val="Pedmtkomente"/>
    <w:rsid w:val="002F408C"/>
    <w:rPr>
      <w:rFonts w:ascii="Calibri" w:hAnsi="Calibri"/>
      <w:b/>
      <w:bCs/>
      <w:noProof/>
      <w:color w:val="000000"/>
    </w:rPr>
  </w:style>
  <w:style w:type="paragraph" w:customStyle="1" w:styleId="l15">
    <w:name w:val="l15"/>
    <w:basedOn w:val="Normln"/>
    <w:rsid w:val="00023C33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21">
    <w:name w:val="l21"/>
    <w:basedOn w:val="Normln"/>
    <w:rsid w:val="00023C33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31">
    <w:name w:val="l31"/>
    <w:basedOn w:val="Normln"/>
    <w:rsid w:val="00E0564F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54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9A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2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tlumenmibarvami1">
    <w:name w:val="Table Subtle 1"/>
    <w:basedOn w:val="Normlntabulka"/>
    <w:rsid w:val="00E009A9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poznpodarou">
    <w:name w:val="footnote text"/>
    <w:basedOn w:val="Normln"/>
    <w:link w:val="TextpoznpodarouChar"/>
    <w:rsid w:val="00E009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009A9"/>
  </w:style>
  <w:style w:type="character" w:styleId="Znakapoznpodarou">
    <w:name w:val="footnote reference"/>
    <w:rsid w:val="00E009A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009A9"/>
    <w:pPr>
      <w:ind w:left="720"/>
      <w:contextualSpacing/>
    </w:pPr>
  </w:style>
  <w:style w:type="paragraph" w:styleId="Zhlav">
    <w:name w:val="header"/>
    <w:basedOn w:val="Normln"/>
    <w:link w:val="ZhlavChar"/>
    <w:rsid w:val="0052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25D3E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52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D3E"/>
    <w:rPr>
      <w:rFonts w:ascii="Calibri" w:hAnsi="Calibri"/>
      <w:sz w:val="22"/>
      <w:szCs w:val="22"/>
    </w:rPr>
  </w:style>
  <w:style w:type="character" w:styleId="slostrnky">
    <w:name w:val="page number"/>
    <w:basedOn w:val="Standardnpsmoodstavce"/>
    <w:rsid w:val="00D47764"/>
  </w:style>
  <w:style w:type="paragraph" w:styleId="Textbubliny">
    <w:name w:val="Balloon Text"/>
    <w:basedOn w:val="Normln"/>
    <w:link w:val="TextbublinyChar"/>
    <w:rsid w:val="00A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52F4"/>
    <w:rPr>
      <w:rFonts w:ascii="Tahoma" w:hAnsi="Tahoma" w:cs="Tahoma"/>
      <w:sz w:val="16"/>
      <w:szCs w:val="16"/>
    </w:rPr>
  </w:style>
  <w:style w:type="table" w:styleId="Jednoduchtabulka2">
    <w:name w:val="Table Simple 2"/>
    <w:basedOn w:val="Normlntabulka"/>
    <w:rsid w:val="001D0017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1D00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84F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7D71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71F3"/>
    <w:pPr>
      <w:spacing w:after="0" w:line="300" w:lineRule="exact"/>
      <w:jc w:val="both"/>
    </w:pPr>
    <w:rPr>
      <w:rFonts w:ascii="Arial" w:hAnsi="Arial"/>
      <w:noProof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71F3"/>
    <w:rPr>
      <w:rFonts w:ascii="Arial" w:hAnsi="Arial"/>
      <w:noProof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3F223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2F408C"/>
    <w:pPr>
      <w:spacing w:after="200" w:line="240" w:lineRule="auto"/>
      <w:jc w:val="left"/>
    </w:pPr>
    <w:rPr>
      <w:rFonts w:ascii="Calibri" w:hAnsi="Calibri"/>
      <w:b/>
      <w:bCs/>
      <w:noProof w:val="0"/>
      <w:color w:val="auto"/>
    </w:rPr>
  </w:style>
  <w:style w:type="character" w:customStyle="1" w:styleId="PedmtkomenteChar">
    <w:name w:val="Předmět komentáře Char"/>
    <w:basedOn w:val="TextkomenteChar"/>
    <w:link w:val="Pedmtkomente"/>
    <w:rsid w:val="002F408C"/>
    <w:rPr>
      <w:rFonts w:ascii="Calibri" w:hAnsi="Calibri"/>
      <w:b/>
      <w:bCs/>
      <w:noProof/>
      <w:color w:val="000000"/>
    </w:rPr>
  </w:style>
  <w:style w:type="paragraph" w:customStyle="1" w:styleId="l15">
    <w:name w:val="l15"/>
    <w:basedOn w:val="Normln"/>
    <w:rsid w:val="00023C33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21">
    <w:name w:val="l21"/>
    <w:basedOn w:val="Normln"/>
    <w:rsid w:val="00023C33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31">
    <w:name w:val="l31"/>
    <w:basedOn w:val="Normln"/>
    <w:rsid w:val="00E0564F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54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9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3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7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1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D9AF-5D47-4ED1-8A34-BB24AFFA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15349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2019-03-07T11:50:00Z</dcterms:created>
  <dcterms:modified xsi:type="dcterms:W3CDTF">2019-03-07T11:50:00Z</dcterms:modified>
</cp:coreProperties>
</file>