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Default="005668ED" w:rsidP="00364B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C234F3" w:rsidRPr="00C234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234F3" w:rsidRPr="00C234F3">
        <w:rPr>
          <w:rFonts w:ascii="Arial" w:hAnsi="Arial" w:cs="Arial"/>
          <w:b/>
        </w:rPr>
        <w:t>Inlyta</w:t>
      </w:r>
      <w:proofErr w:type="spellEnd"/>
      <w:r w:rsidR="00C234F3" w:rsidRPr="00C234F3">
        <w:rPr>
          <w:rFonts w:ascii="Arial" w:hAnsi="Arial" w:cs="Arial"/>
        </w:rPr>
        <w:t xml:space="preserve"> (</w:t>
      </w:r>
      <w:proofErr w:type="spellStart"/>
      <w:r w:rsidR="00C234F3" w:rsidRPr="00C234F3">
        <w:rPr>
          <w:rFonts w:ascii="Arial" w:hAnsi="Arial" w:cs="Arial"/>
        </w:rPr>
        <w:t>axitinib</w:t>
      </w:r>
      <w:proofErr w:type="spellEnd"/>
      <w:r w:rsidR="00C234F3" w:rsidRPr="00C234F3">
        <w:rPr>
          <w:rFonts w:ascii="Arial" w:hAnsi="Arial" w:cs="Arial"/>
        </w:rPr>
        <w:t>)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111344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p w:rsidR="005668ED" w:rsidRDefault="005668ED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0D4570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Inlyta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0D4570">
              <w:rPr>
                <w:rFonts w:ascii="Arial" w:hAnsi="Arial" w:cs="Arial"/>
              </w:rPr>
              <w:t>xitinib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0C169E">
        <w:trPr>
          <w:trHeight w:val="835"/>
        </w:trPr>
        <w:tc>
          <w:tcPr>
            <w:tcW w:w="10061" w:type="dxa"/>
            <w:vAlign w:val="center"/>
          </w:tcPr>
          <w:p w:rsidR="00405901" w:rsidRDefault="005668ED" w:rsidP="000C1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0C169E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0C169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C169E">
        <w:trPr>
          <w:trHeight w:val="1241"/>
        </w:trPr>
        <w:tc>
          <w:tcPr>
            <w:tcW w:w="10061" w:type="dxa"/>
            <w:vAlign w:val="center"/>
          </w:tcPr>
          <w:p w:rsidR="00364B80" w:rsidRDefault="005668ED" w:rsidP="000C169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0C169E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0C169E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C169E">
        <w:trPr>
          <w:trHeight w:val="794"/>
        </w:trPr>
        <w:tc>
          <w:tcPr>
            <w:tcW w:w="10061" w:type="dxa"/>
            <w:vAlign w:val="center"/>
          </w:tcPr>
          <w:p w:rsidR="00364B80" w:rsidRPr="007A03C3" w:rsidRDefault="005668ED" w:rsidP="000C169E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0C169E">
            <w:pPr>
              <w:rPr>
                <w:sz w:val="10"/>
                <w:szCs w:val="10"/>
              </w:rPr>
            </w:pPr>
          </w:p>
          <w:p w:rsidR="00A43021" w:rsidRPr="007A03C3" w:rsidRDefault="00A43021" w:rsidP="000C16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E72986" w:rsidRP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98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D4570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CB2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4570">
              <w:rPr>
                <w:rFonts w:ascii="Arial" w:hAnsi="Arial" w:cs="Arial"/>
                <w:sz w:val="22"/>
                <w:szCs w:val="22"/>
              </w:rPr>
              <w:t>56</w:t>
            </w:r>
            <w:r w:rsidR="00CB289B">
              <w:rPr>
                <w:rFonts w:ascii="Arial" w:hAnsi="Arial" w:cs="Arial"/>
                <w:sz w:val="22"/>
                <w:szCs w:val="22"/>
              </w:rPr>
              <w:t>x</w:t>
            </w:r>
            <w:r w:rsidR="000D4570">
              <w:rPr>
                <w:rFonts w:ascii="Arial" w:hAnsi="Arial" w:cs="Arial"/>
                <w:sz w:val="22"/>
                <w:szCs w:val="22"/>
              </w:rPr>
              <w:t>5</w:t>
            </w:r>
            <w:r w:rsidR="00CB289B">
              <w:rPr>
                <w:rFonts w:ascii="Arial" w:hAnsi="Arial" w:cs="Arial"/>
                <w:sz w:val="22"/>
                <w:szCs w:val="22"/>
              </w:rPr>
              <w:t xml:space="preserve"> mg</w:t>
            </w:r>
            <w:r>
              <w:rPr>
                <w:rFonts w:ascii="Arial" w:hAnsi="Arial" w:cs="Arial"/>
                <w:sz w:val="22"/>
                <w:szCs w:val="22"/>
              </w:rPr>
              <w:t>) 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570">
              <w:rPr>
                <w:rFonts w:ascii="Arial" w:hAnsi="Arial" w:cs="Arial"/>
                <w:sz w:val="22"/>
                <w:szCs w:val="22"/>
              </w:rPr>
              <w:t>80 102,03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C169E">
        <w:trPr>
          <w:trHeight w:val="794"/>
        </w:trPr>
        <w:tc>
          <w:tcPr>
            <w:tcW w:w="10061" w:type="dxa"/>
            <w:vAlign w:val="center"/>
          </w:tcPr>
          <w:p w:rsidR="00364B80" w:rsidRDefault="005668ED" w:rsidP="000C1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0C169E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EF76A5" w:rsidRDefault="00C842FF" w:rsidP="000C1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dočasné úhrady léčiva je stanovena na </w:t>
            </w:r>
            <w:r w:rsidR="000D4570">
              <w:rPr>
                <w:rFonts w:ascii="Arial" w:hAnsi="Arial" w:cs="Arial"/>
                <w:sz w:val="22"/>
                <w:szCs w:val="22"/>
              </w:rPr>
              <w:t>83 895,53</w:t>
            </w:r>
            <w:r w:rsidR="00217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6A5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za balení.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B67FD7" w:rsidP="004C5156">
            <w:pPr>
              <w:jc w:val="center"/>
              <w:rPr>
                <w:rFonts w:ascii="Arial" w:hAnsi="Arial" w:cs="Arial"/>
              </w:rPr>
            </w:pPr>
            <w:r w:rsidRPr="00B67FD7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15660" w:rsidRDefault="00F15660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06F7D">
        <w:trPr>
          <w:trHeight w:val="61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C234F3">
        <w:trPr>
          <w:trHeight w:val="578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C234F3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lastRenderedPageBreak/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8F4523" w:rsidRDefault="008F4523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E2" w:rsidRDefault="000C31E2">
      <w:r>
        <w:separator/>
      </w:r>
    </w:p>
  </w:endnote>
  <w:endnote w:type="continuationSeparator" w:id="0">
    <w:p w:rsidR="000C31E2" w:rsidRDefault="000C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884332" w:rsidRDefault="00884332" w:rsidP="00884332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884332">
      <w:rPr>
        <w:rFonts w:ascii="Arial" w:hAnsi="Arial" w:cs="Arial"/>
        <w:sz w:val="14"/>
        <w:szCs w:val="14"/>
      </w:rPr>
      <w:t>Inlyta</w:t>
    </w:r>
    <w:proofErr w:type="spellEnd"/>
    <w:r w:rsidRPr="00884332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884332">
      <w:rPr>
        <w:rFonts w:ascii="Arial" w:hAnsi="Arial" w:cs="Arial"/>
        <w:sz w:val="14"/>
        <w:szCs w:val="14"/>
      </w:rPr>
      <w:t>axitinib</w:t>
    </w:r>
    <w:proofErr w:type="spellEnd"/>
    <w:r w:rsidRPr="00884332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4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0C169E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884332" w:rsidRDefault="00884332" w:rsidP="00884332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884332">
      <w:rPr>
        <w:rFonts w:ascii="Arial" w:hAnsi="Arial" w:cs="Arial"/>
        <w:sz w:val="14"/>
        <w:szCs w:val="14"/>
      </w:rPr>
      <w:t>Inlyta</w:t>
    </w:r>
    <w:proofErr w:type="spellEnd"/>
    <w:r w:rsidRPr="00884332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884332">
      <w:rPr>
        <w:rFonts w:ascii="Arial" w:hAnsi="Arial" w:cs="Arial"/>
        <w:sz w:val="14"/>
        <w:szCs w:val="14"/>
      </w:rPr>
      <w:t>axitinib</w:t>
    </w:r>
    <w:proofErr w:type="spellEnd"/>
    <w:r w:rsidRPr="00884332">
      <w:rPr>
        <w:rFonts w:ascii="Arial" w:hAnsi="Arial" w:cs="Arial"/>
        <w:sz w:val="14"/>
        <w:szCs w:val="14"/>
      </w:rPr>
      <w:t>)</w:t>
    </w:r>
    <w:r>
      <w:rPr>
        <w:rFonts w:ascii="Arial" w:hAnsi="Arial" w:cs="Arial"/>
      </w:rPr>
      <w:t xml:space="preserve"> </w:t>
    </w:r>
    <w:r>
      <w:rPr>
        <w:rFonts w:ascii="Arial" w:hAnsi="Arial" w:cs="Arial"/>
        <w:sz w:val="14"/>
        <w:szCs w:val="14"/>
      </w:rPr>
      <w:t>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4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590137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E2" w:rsidRDefault="000C31E2">
      <w:r>
        <w:separator/>
      </w:r>
    </w:p>
  </w:footnote>
  <w:footnote w:type="continuationSeparator" w:id="0">
    <w:p w:rsidR="000C31E2" w:rsidRDefault="000C3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E9542D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84332" w:rsidRPr="007A03C3" w:rsidRDefault="00884332" w:rsidP="00884332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B0EBE" w:rsidRPr="00CD2D94" w:rsidRDefault="00884332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4</w:t>
          </w:r>
        </w:p>
      </w:tc>
    </w:tr>
    <w:tr w:rsidR="003B0EBE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B0EBE" w:rsidRPr="007A03C3" w:rsidRDefault="003B0EBE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B0EBE" w:rsidRDefault="003B0EBE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3B0EBE" w:rsidRPr="007A03C3" w:rsidRDefault="003B0EBE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3B0EBE" w:rsidRPr="007A03C3" w:rsidRDefault="00884332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2741A"/>
    <w:rsid w:val="00064673"/>
    <w:rsid w:val="000C169E"/>
    <w:rsid w:val="000C31E2"/>
    <w:rsid w:val="000D4570"/>
    <w:rsid w:val="00160F56"/>
    <w:rsid w:val="00164EAC"/>
    <w:rsid w:val="00197263"/>
    <w:rsid w:val="001A0CF2"/>
    <w:rsid w:val="001A0F07"/>
    <w:rsid w:val="001A794F"/>
    <w:rsid w:val="001B0AA3"/>
    <w:rsid w:val="00216FCF"/>
    <w:rsid w:val="002177CB"/>
    <w:rsid w:val="00273F6F"/>
    <w:rsid w:val="00276343"/>
    <w:rsid w:val="002A7BC6"/>
    <w:rsid w:val="002B3CCD"/>
    <w:rsid w:val="002F20A2"/>
    <w:rsid w:val="0031520C"/>
    <w:rsid w:val="003239C5"/>
    <w:rsid w:val="00333E4F"/>
    <w:rsid w:val="00340FF8"/>
    <w:rsid w:val="00364B80"/>
    <w:rsid w:val="00372650"/>
    <w:rsid w:val="003962D8"/>
    <w:rsid w:val="003B0EBE"/>
    <w:rsid w:val="003B6E75"/>
    <w:rsid w:val="003C1F51"/>
    <w:rsid w:val="00405901"/>
    <w:rsid w:val="004233F6"/>
    <w:rsid w:val="004624ED"/>
    <w:rsid w:val="00490457"/>
    <w:rsid w:val="004A6B3F"/>
    <w:rsid w:val="004C5156"/>
    <w:rsid w:val="004D2FFE"/>
    <w:rsid w:val="0055527D"/>
    <w:rsid w:val="005668ED"/>
    <w:rsid w:val="0057275B"/>
    <w:rsid w:val="0057318C"/>
    <w:rsid w:val="00590137"/>
    <w:rsid w:val="005936AB"/>
    <w:rsid w:val="005B5C40"/>
    <w:rsid w:val="006A7949"/>
    <w:rsid w:val="006F4761"/>
    <w:rsid w:val="006F5FEA"/>
    <w:rsid w:val="0071560A"/>
    <w:rsid w:val="007451F1"/>
    <w:rsid w:val="00781C50"/>
    <w:rsid w:val="007A03C3"/>
    <w:rsid w:val="007C2B05"/>
    <w:rsid w:val="007F0123"/>
    <w:rsid w:val="00811FF3"/>
    <w:rsid w:val="00884332"/>
    <w:rsid w:val="008939FF"/>
    <w:rsid w:val="008978B6"/>
    <w:rsid w:val="008F4523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67FD7"/>
    <w:rsid w:val="00BF5DF7"/>
    <w:rsid w:val="00C145A0"/>
    <w:rsid w:val="00C234F3"/>
    <w:rsid w:val="00C80963"/>
    <w:rsid w:val="00C842FF"/>
    <w:rsid w:val="00C84FC9"/>
    <w:rsid w:val="00CB289B"/>
    <w:rsid w:val="00CC1AB9"/>
    <w:rsid w:val="00CC70D6"/>
    <w:rsid w:val="00CD2D94"/>
    <w:rsid w:val="00CD4766"/>
    <w:rsid w:val="00CF168A"/>
    <w:rsid w:val="00D631E2"/>
    <w:rsid w:val="00D94F93"/>
    <w:rsid w:val="00DE2E32"/>
    <w:rsid w:val="00E43259"/>
    <w:rsid w:val="00E72986"/>
    <w:rsid w:val="00E93C4C"/>
    <w:rsid w:val="00E9542D"/>
    <w:rsid w:val="00EE18C8"/>
    <w:rsid w:val="00EF76A5"/>
    <w:rsid w:val="00F15660"/>
    <w:rsid w:val="00F56218"/>
    <w:rsid w:val="00F82A98"/>
    <w:rsid w:val="00F91631"/>
    <w:rsid w:val="00F9325F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3167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9</cp:revision>
  <cp:lastPrinted>2014-07-01T05:57:00Z</cp:lastPrinted>
  <dcterms:created xsi:type="dcterms:W3CDTF">2014-07-15T10:40:00Z</dcterms:created>
  <dcterms:modified xsi:type="dcterms:W3CDTF">2014-07-29T10:52:00Z</dcterms:modified>
</cp:coreProperties>
</file>