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484D8E" w:rsidRDefault="005668ED" w:rsidP="00484D8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484D8E" w:rsidRPr="00484D8E">
        <w:rPr>
          <w:rFonts w:ascii="Arial" w:hAnsi="Arial" w:cs="Arial"/>
          <w:b/>
        </w:rPr>
        <w:t xml:space="preserve"> </w:t>
      </w:r>
      <w:proofErr w:type="spellStart"/>
      <w:r w:rsidR="00484D8E" w:rsidRPr="00484D8E">
        <w:rPr>
          <w:rFonts w:ascii="Arial" w:hAnsi="Arial" w:cs="Arial"/>
          <w:b/>
        </w:rPr>
        <w:t>Yervoy</w:t>
      </w:r>
      <w:proofErr w:type="spellEnd"/>
      <w:r w:rsidR="00484D8E" w:rsidRPr="00484D8E">
        <w:rPr>
          <w:rFonts w:ascii="Arial" w:hAnsi="Arial" w:cs="Arial"/>
          <w:b/>
        </w:rPr>
        <w:t xml:space="preserve"> </w:t>
      </w:r>
      <w:r w:rsidR="00484D8E" w:rsidRPr="00484D8E">
        <w:rPr>
          <w:rFonts w:ascii="Arial" w:hAnsi="Arial" w:cs="Arial"/>
        </w:rPr>
        <w:t>(</w:t>
      </w:r>
      <w:proofErr w:type="spellStart"/>
      <w:r w:rsidR="00484D8E" w:rsidRPr="00484D8E">
        <w:rPr>
          <w:rFonts w:ascii="Arial" w:hAnsi="Arial" w:cs="Arial"/>
        </w:rPr>
        <w:t>Ipilimumab</w:t>
      </w:r>
      <w:proofErr w:type="spellEnd"/>
      <w:r w:rsidR="00484D8E" w:rsidRPr="00484D8E">
        <w:rPr>
          <w:rFonts w:ascii="Arial" w:hAnsi="Arial" w:cs="Arial"/>
        </w:rPr>
        <w:t xml:space="preserve">) 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68ED" w:rsidRPr="00006F7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697425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Yervoy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 w:rsidRPr="00697425">
              <w:rPr>
                <w:rFonts w:ascii="Arial" w:hAnsi="Arial" w:cs="Arial"/>
              </w:rPr>
              <w:t>Ipilimumab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484D8E">
        <w:trPr>
          <w:trHeight w:val="752"/>
        </w:trPr>
        <w:tc>
          <w:tcPr>
            <w:tcW w:w="10061" w:type="dxa"/>
            <w:vAlign w:val="center"/>
          </w:tcPr>
          <w:p w:rsidR="00405901" w:rsidRDefault="005668ED" w:rsidP="00484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484D8E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484D8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484D8E">
        <w:trPr>
          <w:trHeight w:val="1235"/>
        </w:trPr>
        <w:tc>
          <w:tcPr>
            <w:tcW w:w="10061" w:type="dxa"/>
            <w:vAlign w:val="center"/>
          </w:tcPr>
          <w:p w:rsidR="00364B80" w:rsidRDefault="005668ED" w:rsidP="00484D8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484D8E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484D8E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484D8E">
        <w:trPr>
          <w:trHeight w:val="1199"/>
        </w:trPr>
        <w:tc>
          <w:tcPr>
            <w:tcW w:w="10061" w:type="dxa"/>
            <w:vAlign w:val="center"/>
          </w:tcPr>
          <w:p w:rsidR="00364B80" w:rsidRPr="007A03C3" w:rsidRDefault="005668ED" w:rsidP="00484D8E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484D8E" w:rsidRDefault="00364B80" w:rsidP="00484D8E">
            <w:pPr>
              <w:rPr>
                <w:sz w:val="4"/>
                <w:szCs w:val="4"/>
              </w:rPr>
            </w:pPr>
          </w:p>
          <w:p w:rsidR="00D23062" w:rsidRDefault="00A43021" w:rsidP="00484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D2306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43021" w:rsidRDefault="007739A5" w:rsidP="00484D8E">
            <w:pPr>
              <w:rPr>
                <w:rFonts w:ascii="Arial" w:hAnsi="Arial" w:cs="Arial"/>
                <w:sz w:val="22"/>
                <w:szCs w:val="22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06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97425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D2306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97425">
              <w:rPr>
                <w:rFonts w:ascii="Arial" w:hAnsi="Arial" w:cs="Arial"/>
                <w:sz w:val="22"/>
                <w:szCs w:val="22"/>
              </w:rPr>
              <w:t xml:space="preserve">5 mg/ml/10 ml </w:t>
            </w:r>
            <w:proofErr w:type="gramStart"/>
            <w:r w:rsidR="00697425">
              <w:rPr>
                <w:rFonts w:ascii="Arial" w:hAnsi="Arial" w:cs="Arial"/>
                <w:sz w:val="22"/>
                <w:szCs w:val="22"/>
              </w:rPr>
              <w:t>je   97 825,06</w:t>
            </w:r>
            <w:proofErr w:type="gramEnd"/>
            <w:r w:rsidR="006974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3021">
              <w:rPr>
                <w:rFonts w:ascii="Arial" w:hAnsi="Arial" w:cs="Arial"/>
                <w:sz w:val="22"/>
                <w:szCs w:val="22"/>
              </w:rPr>
              <w:t>Kč</w:t>
            </w:r>
            <w:r w:rsidR="009114C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23062" w:rsidRPr="007A03C3" w:rsidRDefault="007739A5" w:rsidP="00484D8E">
            <w:pPr>
              <w:rPr>
                <w:sz w:val="20"/>
                <w:szCs w:val="20"/>
              </w:rPr>
            </w:pPr>
            <w:r w:rsidRPr="00697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4"/>
            <w:r w:rsidR="00D23062" w:rsidRPr="00697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42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D23062" w:rsidRPr="0069742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97425" w:rsidRPr="00697425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D23062" w:rsidRPr="00697425">
              <w:rPr>
                <w:rFonts w:ascii="Arial" w:hAnsi="Arial" w:cs="Arial"/>
                <w:sz w:val="22"/>
                <w:szCs w:val="22"/>
              </w:rPr>
              <w:t>.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425">
              <w:rPr>
                <w:rFonts w:ascii="Arial" w:hAnsi="Arial" w:cs="Arial"/>
                <w:sz w:val="22"/>
                <w:szCs w:val="22"/>
              </w:rPr>
              <w:t>5 mg/ml/40 ml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425">
              <w:rPr>
                <w:rFonts w:ascii="Arial" w:hAnsi="Arial" w:cs="Arial"/>
                <w:sz w:val="22"/>
                <w:szCs w:val="22"/>
              </w:rPr>
              <w:t>je 391 298,38</w:t>
            </w:r>
            <w:r w:rsidR="00D23062" w:rsidRPr="00D23062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9114C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484D8E">
        <w:trPr>
          <w:trHeight w:val="1199"/>
        </w:trPr>
        <w:tc>
          <w:tcPr>
            <w:tcW w:w="10061" w:type="dxa"/>
            <w:vAlign w:val="center"/>
          </w:tcPr>
          <w:p w:rsidR="00364B80" w:rsidRDefault="005668ED" w:rsidP="00484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484D8E" w:rsidRDefault="00EF76A5" w:rsidP="00484D8E">
            <w:pPr>
              <w:rPr>
                <w:rFonts w:ascii="Arial" w:hAnsi="Arial" w:cs="Arial"/>
                <w:sz w:val="4"/>
                <w:szCs w:val="4"/>
              </w:rPr>
            </w:pPr>
          </w:p>
          <w:p w:rsidR="00EF76A5" w:rsidRDefault="00C842FF" w:rsidP="00484D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dočasné úhrady léčiva je stanovena</w:t>
            </w:r>
            <w:r w:rsidR="008E1CF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E1CF2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9114CE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97425" w:rsidRDefault="007739A5" w:rsidP="00484D8E">
            <w:pPr>
              <w:rPr>
                <w:rFonts w:ascii="Arial" w:hAnsi="Arial" w:cs="Arial"/>
                <w:sz w:val="22"/>
                <w:szCs w:val="22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425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697425">
              <w:rPr>
                <w:rFonts w:ascii="Arial" w:hAnsi="Arial" w:cs="Arial"/>
                <w:sz w:val="22"/>
                <w:szCs w:val="22"/>
              </w:rPr>
              <w:t xml:space="preserve"> 114 354,33 Kč</w:t>
            </w:r>
            <w:r w:rsidR="008E1CF2">
              <w:rPr>
                <w:rFonts w:ascii="Arial" w:hAnsi="Arial" w:cs="Arial"/>
                <w:sz w:val="22"/>
                <w:szCs w:val="22"/>
              </w:rPr>
              <w:t xml:space="preserve"> za jedno balení (</w:t>
            </w:r>
            <w:proofErr w:type="spellStart"/>
            <w:r w:rsidR="008E1CF2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8E1CF2">
              <w:rPr>
                <w:rFonts w:ascii="Arial" w:hAnsi="Arial" w:cs="Arial"/>
                <w:sz w:val="22"/>
                <w:szCs w:val="22"/>
              </w:rPr>
              <w:t>. 5 mg/ml/10 ml).</w:t>
            </w:r>
          </w:p>
          <w:p w:rsidR="00D23062" w:rsidRPr="00EF76A5" w:rsidRDefault="007739A5" w:rsidP="00484D8E">
            <w:pPr>
              <w:rPr>
                <w:rFonts w:ascii="Arial" w:hAnsi="Arial" w:cs="Arial"/>
                <w:sz w:val="22"/>
                <w:szCs w:val="22"/>
              </w:rPr>
            </w:pPr>
            <w:r w:rsidRPr="0069742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425" w:rsidRPr="0069742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9742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97425" w:rsidRPr="006974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7425">
              <w:rPr>
                <w:rFonts w:ascii="Arial" w:hAnsi="Arial" w:cs="Arial"/>
                <w:sz w:val="22"/>
                <w:szCs w:val="22"/>
              </w:rPr>
              <w:t>453 588,84</w:t>
            </w:r>
            <w:r w:rsidR="00697425" w:rsidRPr="00D23062">
              <w:rPr>
                <w:rFonts w:ascii="Arial" w:hAnsi="Arial" w:cs="Arial"/>
                <w:sz w:val="22"/>
                <w:szCs w:val="22"/>
              </w:rPr>
              <w:t xml:space="preserve"> Kč</w:t>
            </w:r>
            <w:r w:rsidR="008E1CF2">
              <w:rPr>
                <w:rFonts w:ascii="Arial" w:hAnsi="Arial" w:cs="Arial"/>
                <w:sz w:val="22"/>
                <w:szCs w:val="22"/>
              </w:rPr>
              <w:t xml:space="preserve"> za jedno balení (</w:t>
            </w:r>
            <w:proofErr w:type="spellStart"/>
            <w:r w:rsidR="008E1CF2">
              <w:rPr>
                <w:rFonts w:ascii="Arial" w:hAnsi="Arial" w:cs="Arial"/>
                <w:sz w:val="22"/>
                <w:szCs w:val="22"/>
              </w:rPr>
              <w:t>i</w:t>
            </w:r>
            <w:r w:rsidR="008E1CF2" w:rsidRPr="00697425">
              <w:rPr>
                <w:rFonts w:ascii="Arial" w:hAnsi="Arial" w:cs="Arial"/>
                <w:sz w:val="22"/>
                <w:szCs w:val="22"/>
              </w:rPr>
              <w:t>nj</w:t>
            </w:r>
            <w:proofErr w:type="spellEnd"/>
            <w:r w:rsidR="008E1CF2" w:rsidRPr="00697425">
              <w:rPr>
                <w:rFonts w:ascii="Arial" w:hAnsi="Arial" w:cs="Arial"/>
                <w:sz w:val="22"/>
                <w:szCs w:val="22"/>
              </w:rPr>
              <w:t>.</w:t>
            </w:r>
            <w:r w:rsidR="008E1CF2" w:rsidRPr="00D230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1CF2">
              <w:rPr>
                <w:rFonts w:ascii="Arial" w:hAnsi="Arial" w:cs="Arial"/>
                <w:sz w:val="22"/>
                <w:szCs w:val="22"/>
              </w:rPr>
              <w:t>5 mg/ml/40 ml).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7739A5" w:rsidP="004C5156">
            <w:pPr>
              <w:jc w:val="center"/>
              <w:rPr>
                <w:rFonts w:ascii="Arial" w:hAnsi="Arial" w:cs="Arial"/>
              </w:rPr>
            </w:pPr>
            <w:r w:rsidRPr="007739A5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484D8E">
        <w:trPr>
          <w:trHeight w:val="54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484D8E">
        <w:trPr>
          <w:trHeight w:val="556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484D8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E1" w:rsidRDefault="00BD53E1">
      <w:r>
        <w:separator/>
      </w:r>
    </w:p>
  </w:endnote>
  <w:endnote w:type="continuationSeparator" w:id="0">
    <w:p w:rsidR="00BD53E1" w:rsidRDefault="00BD5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BE417A" w:rsidRDefault="00BE417A" w:rsidP="00BE417A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BE417A">
      <w:rPr>
        <w:rFonts w:ascii="Arial" w:hAnsi="Arial" w:cs="Arial"/>
        <w:sz w:val="14"/>
        <w:szCs w:val="14"/>
      </w:rPr>
      <w:t>Yervoy</w:t>
    </w:r>
    <w:proofErr w:type="spellEnd"/>
    <w:r w:rsidRPr="00BE417A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BE417A">
      <w:rPr>
        <w:rFonts w:ascii="Arial" w:hAnsi="Arial" w:cs="Arial"/>
        <w:sz w:val="14"/>
        <w:szCs w:val="14"/>
      </w:rPr>
      <w:t>Ipilimumab</w:t>
    </w:r>
    <w:proofErr w:type="spellEnd"/>
    <w:r w:rsidRPr="00BE417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</w:t>
    </w:r>
    <w:r>
      <w:rPr>
        <w:rFonts w:ascii="Arial" w:hAnsi="Arial" w:cs="Arial"/>
        <w:sz w:val="14"/>
        <w:szCs w:val="14"/>
      </w:rPr>
      <w:t>18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484D8E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BE417A" w:rsidRDefault="00BE417A" w:rsidP="00BE417A">
    <w:pPr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BE417A">
      <w:rPr>
        <w:rFonts w:ascii="Arial" w:hAnsi="Arial" w:cs="Arial"/>
        <w:sz w:val="14"/>
        <w:szCs w:val="14"/>
      </w:rPr>
      <w:t>Yervoy</w:t>
    </w:r>
    <w:proofErr w:type="spellEnd"/>
    <w:r w:rsidRPr="00BE417A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BE417A">
      <w:rPr>
        <w:rFonts w:ascii="Arial" w:hAnsi="Arial" w:cs="Arial"/>
        <w:sz w:val="14"/>
        <w:szCs w:val="14"/>
      </w:rPr>
      <w:t>Ipilimumab</w:t>
    </w:r>
    <w:proofErr w:type="spellEnd"/>
    <w:r w:rsidRPr="00BE417A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8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484D8E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E1" w:rsidRDefault="00BD53E1">
      <w:r>
        <w:separator/>
      </w:r>
    </w:p>
  </w:footnote>
  <w:footnote w:type="continuationSeparator" w:id="0">
    <w:p w:rsidR="00BD53E1" w:rsidRDefault="00BD5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417A" w:rsidRPr="007A03C3" w:rsidRDefault="00BE417A" w:rsidP="00BE417A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BE417A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8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BE417A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64673"/>
    <w:rsid w:val="00164EAC"/>
    <w:rsid w:val="001A0CF2"/>
    <w:rsid w:val="001A0F07"/>
    <w:rsid w:val="001A794F"/>
    <w:rsid w:val="001B0AA3"/>
    <w:rsid w:val="00200498"/>
    <w:rsid w:val="00216FCF"/>
    <w:rsid w:val="002177CB"/>
    <w:rsid w:val="00276343"/>
    <w:rsid w:val="002B3CCD"/>
    <w:rsid w:val="002F20A2"/>
    <w:rsid w:val="0031520C"/>
    <w:rsid w:val="003239C5"/>
    <w:rsid w:val="00333E4F"/>
    <w:rsid w:val="00340FF8"/>
    <w:rsid w:val="00364B80"/>
    <w:rsid w:val="00372650"/>
    <w:rsid w:val="003B0EBE"/>
    <w:rsid w:val="003B6E75"/>
    <w:rsid w:val="00405901"/>
    <w:rsid w:val="004233F6"/>
    <w:rsid w:val="00434639"/>
    <w:rsid w:val="004624ED"/>
    <w:rsid w:val="00484D8E"/>
    <w:rsid w:val="00490457"/>
    <w:rsid w:val="004A6B3F"/>
    <w:rsid w:val="004C5156"/>
    <w:rsid w:val="004D2FFE"/>
    <w:rsid w:val="0055527D"/>
    <w:rsid w:val="005668ED"/>
    <w:rsid w:val="0057275B"/>
    <w:rsid w:val="0057318C"/>
    <w:rsid w:val="005936AB"/>
    <w:rsid w:val="005B5C40"/>
    <w:rsid w:val="005C299A"/>
    <w:rsid w:val="00697425"/>
    <w:rsid w:val="006E5CDB"/>
    <w:rsid w:val="006F4761"/>
    <w:rsid w:val="0071560A"/>
    <w:rsid w:val="007451F1"/>
    <w:rsid w:val="007739A5"/>
    <w:rsid w:val="00781C50"/>
    <w:rsid w:val="007A03C3"/>
    <w:rsid w:val="007C2B05"/>
    <w:rsid w:val="007F0123"/>
    <w:rsid w:val="00811FF3"/>
    <w:rsid w:val="008939FF"/>
    <w:rsid w:val="008978B6"/>
    <w:rsid w:val="008E1CF2"/>
    <w:rsid w:val="008F4523"/>
    <w:rsid w:val="009021E3"/>
    <w:rsid w:val="009045AD"/>
    <w:rsid w:val="009114CE"/>
    <w:rsid w:val="00A1005E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90EC6"/>
    <w:rsid w:val="00BD53E1"/>
    <w:rsid w:val="00BE417A"/>
    <w:rsid w:val="00BF5DF7"/>
    <w:rsid w:val="00C145A0"/>
    <w:rsid w:val="00C14DA9"/>
    <w:rsid w:val="00C80963"/>
    <w:rsid w:val="00C842FF"/>
    <w:rsid w:val="00C84FC9"/>
    <w:rsid w:val="00CC1AB9"/>
    <w:rsid w:val="00CC32C2"/>
    <w:rsid w:val="00CC70D6"/>
    <w:rsid w:val="00CD2D94"/>
    <w:rsid w:val="00CD4766"/>
    <w:rsid w:val="00CF168A"/>
    <w:rsid w:val="00D23062"/>
    <w:rsid w:val="00D631E2"/>
    <w:rsid w:val="00DE2E32"/>
    <w:rsid w:val="00E43259"/>
    <w:rsid w:val="00E72986"/>
    <w:rsid w:val="00E85690"/>
    <w:rsid w:val="00E93C4C"/>
    <w:rsid w:val="00E9542D"/>
    <w:rsid w:val="00EE18C8"/>
    <w:rsid w:val="00EF76A5"/>
    <w:rsid w:val="00F15660"/>
    <w:rsid w:val="00F44E3D"/>
    <w:rsid w:val="00F82A98"/>
    <w:rsid w:val="00F91631"/>
    <w:rsid w:val="00F9325F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3360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10</cp:revision>
  <cp:lastPrinted>2014-07-01T05:57:00Z</cp:lastPrinted>
  <dcterms:created xsi:type="dcterms:W3CDTF">2014-07-15T10:23:00Z</dcterms:created>
  <dcterms:modified xsi:type="dcterms:W3CDTF">2014-07-29T10:48:00Z</dcterms:modified>
</cp:coreProperties>
</file>