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B62022" w:rsidRDefault="005668ED" w:rsidP="00B6202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B62022" w:rsidRPr="00B6202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62022" w:rsidRPr="00B62022">
        <w:rPr>
          <w:rFonts w:ascii="Arial" w:hAnsi="Arial" w:cs="Arial"/>
          <w:b/>
        </w:rPr>
        <w:t>Zelboraf</w:t>
      </w:r>
      <w:proofErr w:type="spellEnd"/>
      <w:r w:rsidR="00B62022" w:rsidRPr="00B62022">
        <w:rPr>
          <w:rFonts w:ascii="Arial" w:hAnsi="Arial" w:cs="Arial"/>
          <w:b/>
        </w:rPr>
        <w:t xml:space="preserve"> </w:t>
      </w:r>
      <w:r w:rsidR="00B62022" w:rsidRPr="00B62022">
        <w:rPr>
          <w:rFonts w:ascii="Arial" w:hAnsi="Arial" w:cs="Arial"/>
        </w:rPr>
        <w:t>(</w:t>
      </w:r>
      <w:proofErr w:type="spellStart"/>
      <w:r w:rsidR="00B62022" w:rsidRPr="00B62022">
        <w:rPr>
          <w:rFonts w:ascii="Arial" w:hAnsi="Arial" w:cs="Arial"/>
        </w:rPr>
        <w:t>vemurafenib</w:t>
      </w:r>
      <w:proofErr w:type="spellEnd"/>
      <w:r w:rsidR="00B62022" w:rsidRPr="00B62022">
        <w:rPr>
          <w:rFonts w:ascii="Arial" w:hAnsi="Arial" w:cs="Arial"/>
        </w:rPr>
        <w:t xml:space="preserve">) 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p w:rsidR="005668ED" w:rsidRDefault="005668ED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01213B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Zelboraf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 w:rsidR="003D5E06">
              <w:rPr>
                <w:rFonts w:ascii="Arial" w:hAnsi="Arial" w:cs="Arial"/>
              </w:rPr>
              <w:t>v</w:t>
            </w:r>
            <w:r w:rsidR="003D5E06" w:rsidRPr="003D5E06">
              <w:rPr>
                <w:rFonts w:ascii="Arial" w:hAnsi="Arial" w:cs="Arial"/>
              </w:rPr>
              <w:t>emurafenib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9817C7">
        <w:trPr>
          <w:trHeight w:val="835"/>
        </w:trPr>
        <w:tc>
          <w:tcPr>
            <w:tcW w:w="10061" w:type="dxa"/>
            <w:vAlign w:val="center"/>
          </w:tcPr>
          <w:p w:rsidR="00405901" w:rsidRDefault="005668ED" w:rsidP="00981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9817C7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9817C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9817C7">
        <w:trPr>
          <w:trHeight w:val="1235"/>
        </w:trPr>
        <w:tc>
          <w:tcPr>
            <w:tcW w:w="10061" w:type="dxa"/>
            <w:vAlign w:val="center"/>
          </w:tcPr>
          <w:p w:rsidR="00364B80" w:rsidRDefault="005668ED" w:rsidP="009817C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9817C7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9817C7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9817C7">
        <w:trPr>
          <w:trHeight w:val="794"/>
        </w:trPr>
        <w:tc>
          <w:tcPr>
            <w:tcW w:w="10061" w:type="dxa"/>
            <w:vAlign w:val="center"/>
          </w:tcPr>
          <w:p w:rsidR="00364B80" w:rsidRPr="007A03C3" w:rsidRDefault="005668ED" w:rsidP="009817C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9817C7">
            <w:pPr>
              <w:rPr>
                <w:sz w:val="10"/>
                <w:szCs w:val="10"/>
              </w:rPr>
            </w:pPr>
          </w:p>
          <w:p w:rsidR="00A43021" w:rsidRPr="007A03C3" w:rsidRDefault="00A43021" w:rsidP="009817C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3D5E06">
              <w:rPr>
                <w:rFonts w:ascii="Arial" w:hAnsi="Arial" w:cs="Arial"/>
                <w:sz w:val="22"/>
                <w:szCs w:val="22"/>
              </w:rPr>
              <w:t>tbl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D5E06">
              <w:rPr>
                <w:rFonts w:ascii="Arial" w:hAnsi="Arial" w:cs="Arial"/>
                <w:sz w:val="22"/>
                <w:szCs w:val="22"/>
              </w:rPr>
              <w:t>56</w:t>
            </w:r>
            <w:r w:rsidR="00CB289B">
              <w:rPr>
                <w:rFonts w:ascii="Arial" w:hAnsi="Arial" w:cs="Arial"/>
                <w:sz w:val="22"/>
                <w:szCs w:val="22"/>
              </w:rPr>
              <w:t>x</w:t>
            </w:r>
            <w:r w:rsidR="003D5E06">
              <w:rPr>
                <w:rFonts w:ascii="Arial" w:hAnsi="Arial" w:cs="Arial"/>
                <w:sz w:val="22"/>
                <w:szCs w:val="22"/>
              </w:rPr>
              <w:t>240</w:t>
            </w:r>
            <w:r w:rsidR="00CB289B">
              <w:rPr>
                <w:rFonts w:ascii="Arial" w:hAnsi="Arial" w:cs="Arial"/>
                <w:sz w:val="22"/>
                <w:szCs w:val="22"/>
              </w:rPr>
              <w:t xml:space="preserve"> mg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E06">
              <w:rPr>
                <w:rFonts w:ascii="Arial" w:hAnsi="Arial" w:cs="Arial"/>
                <w:sz w:val="22"/>
                <w:szCs w:val="22"/>
              </w:rPr>
              <w:t>62 717,55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9817C7">
        <w:trPr>
          <w:trHeight w:val="794"/>
        </w:trPr>
        <w:tc>
          <w:tcPr>
            <w:tcW w:w="10061" w:type="dxa"/>
            <w:vAlign w:val="center"/>
          </w:tcPr>
          <w:p w:rsidR="00364B80" w:rsidRDefault="005668ED" w:rsidP="00981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9817C7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9817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dočasné úhrady léčiva je stanovena na </w:t>
            </w:r>
            <w:r w:rsidR="00C715FB">
              <w:rPr>
                <w:rFonts w:ascii="Arial" w:hAnsi="Arial" w:cs="Arial"/>
                <w:sz w:val="22"/>
                <w:szCs w:val="22"/>
              </w:rPr>
              <w:t>64 961,45</w:t>
            </w:r>
            <w:r w:rsidR="00217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AD25AF" w:rsidP="004C5156">
            <w:pPr>
              <w:jc w:val="center"/>
              <w:rPr>
                <w:rFonts w:ascii="Arial" w:hAnsi="Arial" w:cs="Arial"/>
              </w:rPr>
            </w:pPr>
            <w:r w:rsidRPr="00AD25AF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341C95">
        <w:trPr>
          <w:trHeight w:val="578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41C95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89" w:rsidRDefault="00962989">
      <w:r>
        <w:separator/>
      </w:r>
    </w:p>
  </w:endnote>
  <w:endnote w:type="continuationSeparator" w:id="0">
    <w:p w:rsidR="00962989" w:rsidRDefault="00962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1E1B21" w:rsidRDefault="001E1B21" w:rsidP="001E1B21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1E1B21">
      <w:rPr>
        <w:rFonts w:ascii="Arial" w:hAnsi="Arial" w:cs="Arial"/>
        <w:sz w:val="14"/>
        <w:szCs w:val="14"/>
      </w:rPr>
      <w:t>Zelboraf</w:t>
    </w:r>
    <w:proofErr w:type="spellEnd"/>
    <w:r w:rsidRPr="001E1B21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1E1B21">
      <w:rPr>
        <w:rFonts w:ascii="Arial" w:hAnsi="Arial" w:cs="Arial"/>
        <w:sz w:val="14"/>
        <w:szCs w:val="14"/>
      </w:rPr>
      <w:t>vemurafenib</w:t>
    </w:r>
    <w:proofErr w:type="spellEnd"/>
    <w:r w:rsidRPr="001E1B21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9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9817C7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1E1B21" w:rsidRDefault="001E1B21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 w:rsidR="002B3CCD">
      <w:rPr>
        <w:rFonts w:ascii="Arial" w:hAnsi="Arial" w:cs="Arial"/>
        <w:sz w:val="14"/>
        <w:szCs w:val="14"/>
      </w:rPr>
      <w:t>)</w:t>
    </w:r>
    <w:r w:rsidRPr="001E1B21">
      <w:rPr>
        <w:rFonts w:ascii="Arial" w:hAnsi="Arial" w:cs="Arial"/>
        <w:sz w:val="14"/>
        <w:szCs w:val="14"/>
      </w:rPr>
      <w:t xml:space="preserve"> </w:t>
    </w:r>
    <w:proofErr w:type="spellStart"/>
    <w:r w:rsidRPr="001E1B21">
      <w:rPr>
        <w:rFonts w:ascii="Arial" w:hAnsi="Arial" w:cs="Arial"/>
        <w:sz w:val="14"/>
        <w:szCs w:val="14"/>
      </w:rPr>
      <w:t>Zelboraf</w:t>
    </w:r>
    <w:proofErr w:type="spellEnd"/>
    <w:r w:rsidRPr="001E1B21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1E1B21">
      <w:rPr>
        <w:rFonts w:ascii="Arial" w:hAnsi="Arial" w:cs="Arial"/>
        <w:sz w:val="14"/>
        <w:szCs w:val="14"/>
      </w:rPr>
      <w:t>vemurafenib</w:t>
    </w:r>
    <w:proofErr w:type="spellEnd"/>
    <w:r w:rsidRPr="001E1B21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9</w:t>
    </w:r>
    <w:proofErr w:type="gramEnd"/>
    <w:r>
      <w:rPr>
        <w:rFonts w:ascii="Arial" w:hAnsi="Arial" w:cs="Arial"/>
        <w:sz w:val="14"/>
        <w:szCs w:val="14"/>
      </w:rPr>
      <w:t>)</w:t>
    </w:r>
    <w:r w:rsidR="002B3CCD">
      <w:rPr>
        <w:rFonts w:ascii="Arial" w:hAnsi="Arial" w:cs="Arial"/>
        <w:sz w:val="14"/>
        <w:szCs w:val="14"/>
      </w:rPr>
      <w:tab/>
    </w:r>
    <w:r w:rsidR="002B3CCD" w:rsidRPr="001E1B21">
      <w:rPr>
        <w:rFonts w:ascii="Arial" w:hAnsi="Arial" w:cs="Arial"/>
        <w:sz w:val="14"/>
        <w:szCs w:val="14"/>
      </w:rPr>
      <w:tab/>
      <w:t xml:space="preserve">Strana: </w:t>
    </w:r>
    <w:r w:rsidR="00AD25AF" w:rsidRPr="001E1B21">
      <w:rPr>
        <w:rFonts w:ascii="Arial" w:hAnsi="Arial" w:cs="Arial"/>
        <w:sz w:val="14"/>
        <w:szCs w:val="14"/>
      </w:rPr>
      <w:fldChar w:fldCharType="begin"/>
    </w:r>
    <w:r w:rsidR="002B3CCD" w:rsidRPr="001E1B21">
      <w:rPr>
        <w:rFonts w:ascii="Arial" w:hAnsi="Arial" w:cs="Arial"/>
        <w:sz w:val="14"/>
        <w:szCs w:val="14"/>
      </w:rPr>
      <w:instrText xml:space="preserve"> PAGE </w:instrText>
    </w:r>
    <w:r w:rsidR="00AD25AF" w:rsidRPr="001E1B21">
      <w:rPr>
        <w:rFonts w:ascii="Arial" w:hAnsi="Arial" w:cs="Arial"/>
        <w:sz w:val="14"/>
        <w:szCs w:val="14"/>
      </w:rPr>
      <w:fldChar w:fldCharType="separate"/>
    </w:r>
    <w:r w:rsidR="009817C7">
      <w:rPr>
        <w:rFonts w:ascii="Arial" w:hAnsi="Arial" w:cs="Arial"/>
        <w:noProof/>
        <w:sz w:val="14"/>
        <w:szCs w:val="14"/>
      </w:rPr>
      <w:t>1</w:t>
    </w:r>
    <w:r w:rsidR="00AD25AF" w:rsidRPr="001E1B21">
      <w:rPr>
        <w:rFonts w:ascii="Arial" w:hAnsi="Arial" w:cs="Arial"/>
        <w:sz w:val="14"/>
        <w:szCs w:val="14"/>
      </w:rPr>
      <w:fldChar w:fldCharType="end"/>
    </w:r>
    <w:r w:rsidR="002B3CCD"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89" w:rsidRDefault="00962989">
      <w:r>
        <w:separator/>
      </w:r>
    </w:p>
  </w:footnote>
  <w:footnote w:type="continuationSeparator" w:id="0">
    <w:p w:rsidR="00962989" w:rsidRDefault="00962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E1B21" w:rsidRPr="007A03C3" w:rsidRDefault="001E1B21" w:rsidP="001E1B21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1E1B21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9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1E1B21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1213B"/>
    <w:rsid w:val="00064673"/>
    <w:rsid w:val="00164EAC"/>
    <w:rsid w:val="00197263"/>
    <w:rsid w:val="001A0CF2"/>
    <w:rsid w:val="001A0F07"/>
    <w:rsid w:val="001A794F"/>
    <w:rsid w:val="001B0AA3"/>
    <w:rsid w:val="001E1B21"/>
    <w:rsid w:val="00216FCF"/>
    <w:rsid w:val="002177CB"/>
    <w:rsid w:val="00273F6F"/>
    <w:rsid w:val="00276343"/>
    <w:rsid w:val="002A7BC6"/>
    <w:rsid w:val="002B3CCD"/>
    <w:rsid w:val="002D7DFD"/>
    <w:rsid w:val="002F20A2"/>
    <w:rsid w:val="0031520C"/>
    <w:rsid w:val="003239C5"/>
    <w:rsid w:val="00333E4F"/>
    <w:rsid w:val="00340FF8"/>
    <w:rsid w:val="00341C95"/>
    <w:rsid w:val="00364B80"/>
    <w:rsid w:val="00372650"/>
    <w:rsid w:val="003A7D56"/>
    <w:rsid w:val="003B0EBE"/>
    <w:rsid w:val="003B6E75"/>
    <w:rsid w:val="003C1F51"/>
    <w:rsid w:val="003D5E06"/>
    <w:rsid w:val="00405901"/>
    <w:rsid w:val="004233F6"/>
    <w:rsid w:val="004624ED"/>
    <w:rsid w:val="00490457"/>
    <w:rsid w:val="004A6B3F"/>
    <w:rsid w:val="004C5156"/>
    <w:rsid w:val="004D2FFE"/>
    <w:rsid w:val="0055527D"/>
    <w:rsid w:val="005668ED"/>
    <w:rsid w:val="0057275B"/>
    <w:rsid w:val="0057318C"/>
    <w:rsid w:val="005936AB"/>
    <w:rsid w:val="005B5C40"/>
    <w:rsid w:val="006F4761"/>
    <w:rsid w:val="0071560A"/>
    <w:rsid w:val="007451F1"/>
    <w:rsid w:val="00781C50"/>
    <w:rsid w:val="007A03C3"/>
    <w:rsid w:val="007C2B05"/>
    <w:rsid w:val="007F0123"/>
    <w:rsid w:val="00811FF3"/>
    <w:rsid w:val="008939FF"/>
    <w:rsid w:val="008978B6"/>
    <w:rsid w:val="008F4523"/>
    <w:rsid w:val="00962989"/>
    <w:rsid w:val="009817C7"/>
    <w:rsid w:val="009E50F3"/>
    <w:rsid w:val="00A05094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D25AF"/>
    <w:rsid w:val="00AF4F7B"/>
    <w:rsid w:val="00B62022"/>
    <w:rsid w:val="00BF5DF7"/>
    <w:rsid w:val="00C145A0"/>
    <w:rsid w:val="00C715FB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631E2"/>
    <w:rsid w:val="00D94F93"/>
    <w:rsid w:val="00DE2E32"/>
    <w:rsid w:val="00E43259"/>
    <w:rsid w:val="00E72986"/>
    <w:rsid w:val="00E93C4C"/>
    <w:rsid w:val="00E9542D"/>
    <w:rsid w:val="00EE18C8"/>
    <w:rsid w:val="00EF76A5"/>
    <w:rsid w:val="00F15660"/>
    <w:rsid w:val="00F82A98"/>
    <w:rsid w:val="00F91631"/>
    <w:rsid w:val="00F9325F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3181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9</cp:revision>
  <cp:lastPrinted>2014-07-01T05:57:00Z</cp:lastPrinted>
  <dcterms:created xsi:type="dcterms:W3CDTF">2014-07-15T09:02:00Z</dcterms:created>
  <dcterms:modified xsi:type="dcterms:W3CDTF">2014-07-29T10:46:00Z</dcterms:modified>
</cp:coreProperties>
</file>