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4E4754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13447B">
      <w:pPr>
        <w:jc w:val="center"/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9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2"/>
        <w:gridCol w:w="960"/>
        <w:gridCol w:w="960"/>
        <w:gridCol w:w="960"/>
        <w:gridCol w:w="961"/>
        <w:gridCol w:w="960"/>
        <w:gridCol w:w="960"/>
        <w:gridCol w:w="960"/>
        <w:gridCol w:w="961"/>
        <w:gridCol w:w="961"/>
      </w:tblGrid>
      <w:tr w:rsidR="001B1936" w:rsidRPr="00276E35" w:rsidTr="001B1936">
        <w:trPr>
          <w:trHeight w:val="300"/>
        </w:trPr>
        <w:tc>
          <w:tcPr>
            <w:tcW w:w="1242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960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960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961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2013</w:t>
            </w:r>
          </w:p>
        </w:tc>
        <w:tc>
          <w:tcPr>
            <w:tcW w:w="960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961" w:type="dxa"/>
            <w:shd w:val="clear" w:color="auto" w:fill="auto"/>
            <w:hideMark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961" w:type="dxa"/>
          </w:tcPr>
          <w:p w:rsidR="001B1936" w:rsidRPr="00276E35" w:rsidRDefault="001B1936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</w:tr>
      <w:tr w:rsidR="00C304F0" w:rsidRPr="00276E35" w:rsidTr="00C304F0">
        <w:trPr>
          <w:trHeight w:val="454"/>
        </w:trPr>
        <w:tc>
          <w:tcPr>
            <w:tcW w:w="1242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961" w:type="dxa"/>
            <w:vAlign w:val="center"/>
          </w:tcPr>
          <w:p w:rsidR="00C304F0" w:rsidRDefault="00C304F0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</w:tr>
      <w:tr w:rsidR="00C304F0" w:rsidRPr="00276E35" w:rsidTr="00C304F0">
        <w:trPr>
          <w:trHeight w:val="454"/>
        </w:trPr>
        <w:tc>
          <w:tcPr>
            <w:tcW w:w="1242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1" w:type="dxa"/>
            <w:vAlign w:val="center"/>
          </w:tcPr>
          <w:p w:rsidR="00C304F0" w:rsidRDefault="00C304F0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</w:tr>
      <w:tr w:rsidR="00C304F0" w:rsidRPr="00276E35" w:rsidTr="00C304F0">
        <w:trPr>
          <w:trHeight w:val="454"/>
        </w:trPr>
        <w:tc>
          <w:tcPr>
            <w:tcW w:w="1242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961" w:type="dxa"/>
            <w:vAlign w:val="center"/>
          </w:tcPr>
          <w:p w:rsidR="00C304F0" w:rsidRDefault="00C304F0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</w:tr>
      <w:tr w:rsidR="00C304F0" w:rsidRPr="00276E35" w:rsidTr="00C304F0">
        <w:trPr>
          <w:trHeight w:val="454"/>
        </w:trPr>
        <w:tc>
          <w:tcPr>
            <w:tcW w:w="1242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C304F0" w:rsidRPr="00276E35" w:rsidRDefault="00C304F0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961" w:type="dxa"/>
            <w:vAlign w:val="center"/>
          </w:tcPr>
          <w:p w:rsidR="00C304F0" w:rsidRDefault="00C304F0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</w:tr>
    </w:tbl>
    <w:p w:rsidR="004B28BB" w:rsidRPr="00276E35" w:rsidRDefault="004B28BB" w:rsidP="004B28BB">
      <w:pPr>
        <w:rPr>
          <w:rFonts w:ascii="Arial" w:hAnsi="Arial" w:cs="Arial"/>
          <w:sz w:val="16"/>
          <w:szCs w:val="16"/>
        </w:rPr>
      </w:pPr>
    </w:p>
    <w:p w:rsidR="00276E35" w:rsidRDefault="00C304F0" w:rsidP="004B28BB">
      <w:pPr>
        <w:rPr>
          <w:rFonts w:ascii="Arial" w:hAnsi="Arial" w:cs="Arial"/>
        </w:rPr>
      </w:pPr>
      <w:r w:rsidRPr="00C304F0">
        <w:rPr>
          <w:rFonts w:ascii="Arial" w:hAnsi="Arial" w:cs="Arial"/>
          <w:noProof/>
          <w:lang w:eastAsia="cs-CZ"/>
        </w:rPr>
        <w:drawing>
          <wp:inline distT="0" distB="0" distL="0" distR="0">
            <wp:extent cx="5142565" cy="3425058"/>
            <wp:effectExtent l="19050" t="0" r="19985" b="3942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04F0" w:rsidRDefault="00C304F0" w:rsidP="004B28BB">
      <w:pPr>
        <w:rPr>
          <w:rFonts w:ascii="Arial" w:hAnsi="Arial" w:cs="Arial"/>
        </w:rPr>
      </w:pPr>
      <w:r w:rsidRPr="00C304F0">
        <w:rPr>
          <w:rFonts w:ascii="Arial" w:hAnsi="Arial" w:cs="Arial"/>
          <w:noProof/>
          <w:lang w:eastAsia="cs-CZ"/>
        </w:rPr>
        <w:drawing>
          <wp:inline distT="0" distB="0" distL="0" distR="0">
            <wp:extent cx="5139546" cy="3270418"/>
            <wp:effectExtent l="19050" t="0" r="23004" b="6182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6E35" w:rsidRDefault="00276E35" w:rsidP="00276E35">
      <w:pPr>
        <w:jc w:val="both"/>
        <w:rPr>
          <w:rFonts w:ascii="Arial" w:hAnsi="Arial" w:cs="Arial"/>
        </w:rPr>
      </w:pPr>
    </w:p>
    <w:p w:rsidR="00276E35" w:rsidRDefault="00276E35" w:rsidP="00276E35">
      <w:pPr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 xml:space="preserve">/V-parametr charakterizující účinnost </w:t>
      </w:r>
      <w:proofErr w:type="spellStart"/>
      <w:r w:rsidRPr="00276E35">
        <w:rPr>
          <w:rFonts w:ascii="Arial" w:hAnsi="Arial" w:cs="Arial"/>
        </w:rPr>
        <w:t>proběhlé</w:t>
      </w:r>
      <w:proofErr w:type="spellEnd"/>
      <w:r w:rsidRPr="00276E35">
        <w:rPr>
          <w:rFonts w:ascii="Arial" w:hAnsi="Arial" w:cs="Arial"/>
        </w:rPr>
        <w:t xml:space="preserve">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 xml:space="preserve">ukazatelem pro dlouhodobé přežívání pacientů v </w:t>
      </w:r>
      <w:proofErr w:type="spellStart"/>
      <w:r w:rsidRPr="00276E35">
        <w:rPr>
          <w:rFonts w:ascii="Arial" w:hAnsi="Arial" w:cs="Arial"/>
        </w:rPr>
        <w:t>hemodialyzačním</w:t>
      </w:r>
      <w:proofErr w:type="spellEnd"/>
      <w:r w:rsidRPr="00276E35">
        <w:rPr>
          <w:rFonts w:ascii="Arial" w:hAnsi="Arial" w:cs="Arial"/>
        </w:rPr>
        <w:t xml:space="preserve"> léčení.</w:t>
      </w:r>
    </w:p>
    <w:p w:rsidR="00246538" w:rsidRDefault="00246538" w:rsidP="00276E35">
      <w:pPr>
        <w:jc w:val="both"/>
        <w:rPr>
          <w:rFonts w:ascii="Arial" w:hAnsi="Arial" w:cs="Arial"/>
        </w:rPr>
      </w:pPr>
    </w:p>
    <w:p w:rsidR="00246538" w:rsidRDefault="00246538" w:rsidP="00246538">
      <w:pPr>
        <w:rPr>
          <w:rFonts w:cs="Calibri"/>
        </w:rPr>
      </w:pPr>
      <w:r w:rsidRPr="008B74AF">
        <w:rPr>
          <w:rFonts w:cs="Calibri"/>
          <w:caps/>
        </w:rPr>
        <w:t xml:space="preserve">DLPS  </w:t>
      </w:r>
      <w:r w:rsidRPr="008B74AF">
        <w:rPr>
          <w:rFonts w:cs="Calibri"/>
        </w:rPr>
        <w:t xml:space="preserve">č. LP-L023-3IK-004 </w:t>
      </w:r>
    </w:p>
    <w:p w:rsidR="00246538" w:rsidRPr="00246538" w:rsidRDefault="00246538" w:rsidP="00246538">
      <w:pPr>
        <w:rPr>
          <w:rFonts w:cs="Calibri"/>
          <w:b/>
        </w:rPr>
      </w:pPr>
      <w:r w:rsidRPr="00246538">
        <w:rPr>
          <w:rFonts w:cs="Calibri"/>
          <w:b/>
          <w:bCs/>
        </w:rPr>
        <w:t>Doporučení pro diagnostiku a léčbu glomerulonefritid – rozvoj hematomu po bioptickém vyšetření autologní ledviny</w:t>
      </w:r>
    </w:p>
    <w:tbl>
      <w:tblPr>
        <w:tblStyle w:val="Mkatabulky"/>
        <w:tblW w:w="5007" w:type="pct"/>
        <w:tblLook w:val="04A0"/>
      </w:tblPr>
      <w:tblGrid>
        <w:gridCol w:w="3152"/>
        <w:gridCol w:w="1114"/>
        <w:gridCol w:w="1061"/>
        <w:gridCol w:w="1177"/>
        <w:gridCol w:w="1122"/>
        <w:gridCol w:w="1003"/>
      </w:tblGrid>
      <w:tr w:rsidR="00246538" w:rsidRPr="005D0939" w:rsidTr="00246538">
        <w:trPr>
          <w:trHeight w:val="422"/>
        </w:trPr>
        <w:tc>
          <w:tcPr>
            <w:tcW w:w="1826" w:type="pct"/>
            <w:noWrap/>
          </w:tcPr>
          <w:p w:rsidR="00246538" w:rsidRPr="00EA3EF5" w:rsidRDefault="00246538" w:rsidP="001B1936"/>
        </w:tc>
        <w:tc>
          <w:tcPr>
            <w:tcW w:w="646" w:type="pct"/>
          </w:tcPr>
          <w:p w:rsidR="00246538" w:rsidRPr="00EA3EF5" w:rsidRDefault="00246538" w:rsidP="001B1936">
            <w:pPr>
              <w:jc w:val="center"/>
            </w:pPr>
            <w:r w:rsidRPr="00EA3EF5">
              <w:t>2014</w:t>
            </w:r>
          </w:p>
        </w:tc>
        <w:tc>
          <w:tcPr>
            <w:tcW w:w="615" w:type="pct"/>
          </w:tcPr>
          <w:p w:rsidR="00246538" w:rsidRPr="00EA3EF5" w:rsidRDefault="00246538" w:rsidP="001B1936">
            <w:pPr>
              <w:jc w:val="center"/>
            </w:pPr>
            <w:r w:rsidRPr="00EA3EF5">
              <w:t>2015</w:t>
            </w:r>
          </w:p>
        </w:tc>
        <w:tc>
          <w:tcPr>
            <w:tcW w:w="682" w:type="pct"/>
          </w:tcPr>
          <w:p w:rsidR="00246538" w:rsidRPr="00EA3EF5" w:rsidRDefault="00246538" w:rsidP="001B1936">
            <w:pPr>
              <w:jc w:val="center"/>
            </w:pPr>
            <w:r w:rsidRPr="00EA3EF5">
              <w:t>2016</w:t>
            </w:r>
          </w:p>
        </w:tc>
        <w:tc>
          <w:tcPr>
            <w:tcW w:w="650" w:type="pct"/>
          </w:tcPr>
          <w:p w:rsidR="00246538" w:rsidRPr="00EA3EF5" w:rsidRDefault="00246538" w:rsidP="001B1936">
            <w:pPr>
              <w:jc w:val="center"/>
            </w:pPr>
            <w:r w:rsidRPr="00EA3EF5">
              <w:t>2017</w:t>
            </w:r>
          </w:p>
        </w:tc>
        <w:tc>
          <w:tcPr>
            <w:tcW w:w="581" w:type="pct"/>
          </w:tcPr>
          <w:p w:rsidR="00246538" w:rsidRPr="00EA3EF5" w:rsidRDefault="00246538" w:rsidP="001B1936">
            <w:pPr>
              <w:jc w:val="center"/>
            </w:pPr>
            <w:r w:rsidRPr="00EA3EF5">
              <w:t>2018</w:t>
            </w:r>
          </w:p>
        </w:tc>
      </w:tr>
      <w:tr w:rsidR="00246538" w:rsidRPr="005D0939" w:rsidTr="00246538">
        <w:trPr>
          <w:trHeight w:val="567"/>
        </w:trPr>
        <w:tc>
          <w:tcPr>
            <w:tcW w:w="1826" w:type="pct"/>
            <w:noWrap/>
          </w:tcPr>
          <w:p w:rsidR="00246538" w:rsidRPr="00EA3EF5" w:rsidRDefault="00246538" w:rsidP="001B1936">
            <w:pPr>
              <w:spacing w:before="120"/>
            </w:pPr>
            <w:r w:rsidRPr="00EA3EF5">
              <w:t xml:space="preserve">Hematom po </w:t>
            </w:r>
            <w:proofErr w:type="gramStart"/>
            <w:r w:rsidRPr="00EA3EF5">
              <w:t>biopsii – 1.čtvrtletí</w:t>
            </w:r>
            <w:proofErr w:type="gramEnd"/>
          </w:p>
        </w:tc>
        <w:tc>
          <w:tcPr>
            <w:tcW w:w="646" w:type="pct"/>
          </w:tcPr>
          <w:p w:rsidR="00246538" w:rsidRPr="00EA3EF5" w:rsidRDefault="00246538" w:rsidP="001B1936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615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682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650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81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2</w:t>
            </w:r>
          </w:p>
        </w:tc>
      </w:tr>
      <w:tr w:rsidR="00246538" w:rsidRPr="005D0939" w:rsidTr="00246538">
        <w:trPr>
          <w:trHeight w:val="565"/>
        </w:trPr>
        <w:tc>
          <w:tcPr>
            <w:tcW w:w="1826" w:type="pct"/>
            <w:noWrap/>
          </w:tcPr>
          <w:p w:rsidR="00246538" w:rsidRPr="00EA3EF5" w:rsidRDefault="00246538" w:rsidP="001B1936">
            <w:pPr>
              <w:spacing w:before="120"/>
            </w:pPr>
            <w:r w:rsidRPr="00EA3EF5">
              <w:t xml:space="preserve">Hematom po </w:t>
            </w:r>
            <w:proofErr w:type="gramStart"/>
            <w:r w:rsidRPr="00EA3EF5">
              <w:t>biopsii – 2.čtvrtletí</w:t>
            </w:r>
            <w:proofErr w:type="gramEnd"/>
          </w:p>
        </w:tc>
        <w:tc>
          <w:tcPr>
            <w:tcW w:w="646" w:type="pct"/>
          </w:tcPr>
          <w:p w:rsidR="00246538" w:rsidRPr="00EA3EF5" w:rsidRDefault="00246538" w:rsidP="001B1936">
            <w:pPr>
              <w:spacing w:before="120"/>
              <w:jc w:val="center"/>
            </w:pPr>
            <w:r w:rsidRPr="00EA3EF5">
              <w:t>0</w:t>
            </w:r>
          </w:p>
        </w:tc>
        <w:tc>
          <w:tcPr>
            <w:tcW w:w="615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682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3</w:t>
            </w:r>
          </w:p>
        </w:tc>
        <w:tc>
          <w:tcPr>
            <w:tcW w:w="650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81" w:type="pct"/>
          </w:tcPr>
          <w:p w:rsidR="00246538" w:rsidRPr="00EA3EF5" w:rsidRDefault="005619D7" w:rsidP="001B1936">
            <w:pPr>
              <w:spacing w:before="120"/>
              <w:jc w:val="center"/>
            </w:pPr>
            <w:r>
              <w:t>2</w:t>
            </w:r>
          </w:p>
        </w:tc>
      </w:tr>
      <w:tr w:rsidR="00246538" w:rsidRPr="005D0939" w:rsidTr="00246538">
        <w:trPr>
          <w:trHeight w:val="559"/>
        </w:trPr>
        <w:tc>
          <w:tcPr>
            <w:tcW w:w="1826" w:type="pct"/>
            <w:noWrap/>
          </w:tcPr>
          <w:p w:rsidR="00246538" w:rsidRPr="00EA3EF5" w:rsidRDefault="00246538" w:rsidP="001B1936">
            <w:pPr>
              <w:spacing w:before="120"/>
            </w:pPr>
            <w:r w:rsidRPr="00EA3EF5">
              <w:t>Hematom po biopsii – 3. čtvrtletí</w:t>
            </w:r>
          </w:p>
        </w:tc>
        <w:tc>
          <w:tcPr>
            <w:tcW w:w="646" w:type="pct"/>
          </w:tcPr>
          <w:p w:rsidR="00246538" w:rsidRPr="00EA3EF5" w:rsidRDefault="00246538" w:rsidP="001B1936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615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682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4</w:t>
            </w:r>
          </w:p>
        </w:tc>
        <w:tc>
          <w:tcPr>
            <w:tcW w:w="650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81" w:type="pct"/>
          </w:tcPr>
          <w:p w:rsidR="00246538" w:rsidRPr="00EA3EF5" w:rsidRDefault="005619D7" w:rsidP="001B1936">
            <w:pPr>
              <w:spacing w:before="120"/>
              <w:jc w:val="center"/>
            </w:pPr>
            <w:r>
              <w:t>0</w:t>
            </w:r>
          </w:p>
        </w:tc>
      </w:tr>
      <w:tr w:rsidR="00246538" w:rsidRPr="005D0939" w:rsidTr="00246538">
        <w:trPr>
          <w:trHeight w:val="422"/>
        </w:trPr>
        <w:tc>
          <w:tcPr>
            <w:tcW w:w="1826" w:type="pct"/>
            <w:noWrap/>
          </w:tcPr>
          <w:p w:rsidR="00246538" w:rsidRPr="00EA3EF5" w:rsidRDefault="00246538" w:rsidP="001B1936">
            <w:pPr>
              <w:spacing w:before="120"/>
            </w:pPr>
            <w:r w:rsidRPr="00EA3EF5">
              <w:t>Hematom po biopsii – 4. čtvrtletí</w:t>
            </w:r>
          </w:p>
        </w:tc>
        <w:tc>
          <w:tcPr>
            <w:tcW w:w="646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615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682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650" w:type="pct"/>
          </w:tcPr>
          <w:p w:rsidR="00246538" w:rsidRPr="00EA3EF5" w:rsidRDefault="00246538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81" w:type="pct"/>
          </w:tcPr>
          <w:p w:rsidR="00246538" w:rsidRPr="00EA3EF5" w:rsidRDefault="005619D7" w:rsidP="001B1936">
            <w:pPr>
              <w:spacing w:before="120"/>
              <w:jc w:val="center"/>
            </w:pPr>
            <w:r>
              <w:t>1</w:t>
            </w:r>
          </w:p>
        </w:tc>
      </w:tr>
    </w:tbl>
    <w:p w:rsidR="00246538" w:rsidRDefault="00246538" w:rsidP="00246538"/>
    <w:p w:rsidR="00246538" w:rsidRPr="00821D07" w:rsidRDefault="00246538" w:rsidP="00276E35">
      <w:pPr>
        <w:jc w:val="both"/>
        <w:rPr>
          <w:rFonts w:ascii="Arial" w:hAnsi="Arial" w:cs="Arial"/>
        </w:rPr>
      </w:pPr>
    </w:p>
    <w:sectPr w:rsidR="00246538" w:rsidRPr="00821D07" w:rsidSect="00C304F0">
      <w:headerReference w:type="default" r:id="rId8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36" w:rsidRDefault="001B1936" w:rsidP="00FD042F">
      <w:pPr>
        <w:spacing w:after="0" w:line="240" w:lineRule="auto"/>
      </w:pPr>
      <w:r>
        <w:separator/>
      </w:r>
    </w:p>
  </w:endnote>
  <w:endnote w:type="continuationSeparator" w:id="0">
    <w:p w:rsidR="001B1936" w:rsidRDefault="001B1936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36" w:rsidRDefault="001B1936" w:rsidP="00FD042F">
      <w:pPr>
        <w:spacing w:after="0" w:line="240" w:lineRule="auto"/>
      </w:pPr>
      <w:r>
        <w:separator/>
      </w:r>
    </w:p>
  </w:footnote>
  <w:footnote w:type="continuationSeparator" w:id="0">
    <w:p w:rsidR="001B1936" w:rsidRDefault="001B1936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36" w:rsidRDefault="001B19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1936" w:rsidRDefault="001B193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47B"/>
    <w:rsid w:val="0013471D"/>
    <w:rsid w:val="001B1936"/>
    <w:rsid w:val="001B5834"/>
    <w:rsid w:val="00223B6C"/>
    <w:rsid w:val="00245BEA"/>
    <w:rsid w:val="00246538"/>
    <w:rsid w:val="00276E35"/>
    <w:rsid w:val="00304CDE"/>
    <w:rsid w:val="003D12AC"/>
    <w:rsid w:val="004B28BB"/>
    <w:rsid w:val="004B68DC"/>
    <w:rsid w:val="004E4754"/>
    <w:rsid w:val="00501F08"/>
    <w:rsid w:val="005619D7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20BAB"/>
    <w:rsid w:val="00AC7273"/>
    <w:rsid w:val="00AE6808"/>
    <w:rsid w:val="00BA3C92"/>
    <w:rsid w:val="00C15461"/>
    <w:rsid w:val="00C304F0"/>
    <w:rsid w:val="00C75EC9"/>
    <w:rsid w:val="00CB5559"/>
    <w:rsid w:val="00CE2690"/>
    <w:rsid w:val="00DC72A5"/>
    <w:rsid w:val="00E95758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307\AppData\Local\Microsoft\Windows\Temporary%20Internet%20Files\Content.Outlook\5Q16KYVA\Kopie%20-%20KtV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64307\AppData\Local\Microsoft\Windows\Temporary%20Internet%20Files\Content.Outlook\5Q16KYVA\Kopie%20-%20KtV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7"/>
  <c:chart>
    <c:title>
      <c:tx>
        <c:rich>
          <a:bodyPr/>
          <a:lstStyle/>
          <a:p>
            <a:pPr>
              <a:defRPr/>
            </a:pPr>
            <a:r>
              <a:rPr lang="cs-CZ"/>
              <a:t>Kt/V</a:t>
            </a:r>
          </a:p>
        </c:rich>
      </c:tx>
      <c:layout>
        <c:manualLayout>
          <c:xMode val="edge"/>
          <c:yMode val="edge"/>
          <c:x val="0.42054209407398957"/>
          <c:y val="1.8912529550827461E-2"/>
        </c:manualLayout>
      </c:layout>
    </c:title>
    <c:plotArea>
      <c:layout>
        <c:manualLayout>
          <c:layoutTarget val="inner"/>
          <c:xMode val="edge"/>
          <c:yMode val="edge"/>
          <c:x val="8.3667947303688803E-2"/>
          <c:y val="0.10518468879333349"/>
          <c:w val="0.77187687287881523"/>
          <c:h val="0.81429906368087202"/>
        </c:manualLayout>
      </c:layout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1.3</c:v>
                </c:pt>
                <c:pt idx="1">
                  <c:v>1.34</c:v>
                </c:pt>
                <c:pt idx="2">
                  <c:v>1.36</c:v>
                </c:pt>
                <c:pt idx="3">
                  <c:v>1.32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1.29</c:v>
                </c:pt>
                <c:pt idx="1">
                  <c:v>1.32</c:v>
                </c:pt>
                <c:pt idx="2">
                  <c:v>1.34</c:v>
                </c:pt>
                <c:pt idx="3">
                  <c:v>1.34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1.36</c:v>
                </c:pt>
                <c:pt idx="1">
                  <c:v>1.32</c:v>
                </c:pt>
                <c:pt idx="2">
                  <c:v>1.34</c:v>
                </c:pt>
                <c:pt idx="3">
                  <c:v>1.36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1.34</c:v>
                </c:pt>
                <c:pt idx="1">
                  <c:v>1.34</c:v>
                </c:pt>
                <c:pt idx="2">
                  <c:v>1.33</c:v>
                </c:pt>
                <c:pt idx="3">
                  <c:v>1.36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1.35</c:v>
                </c:pt>
                <c:pt idx="1">
                  <c:v>1.37</c:v>
                </c:pt>
                <c:pt idx="2">
                  <c:v>1.36</c:v>
                </c:pt>
                <c:pt idx="3">
                  <c:v>1.34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1.33</c:v>
                </c:pt>
                <c:pt idx="3">
                  <c:v>1.29</c:v>
                </c:pt>
              </c:numCache>
            </c:numRef>
          </c:val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1.3800000000000001</c:v>
                </c:pt>
                <c:pt idx="1">
                  <c:v>1.36</c:v>
                </c:pt>
                <c:pt idx="2">
                  <c:v>1.3800000000000001</c:v>
                </c:pt>
                <c:pt idx="3">
                  <c:v>1.35</c:v>
                </c:pt>
              </c:numCache>
            </c:numRef>
          </c:val>
        </c:ser>
        <c:ser>
          <c:idx val="8"/>
          <c:order val="8"/>
          <c:tx>
            <c:strRef>
              <c:f>List1!$J$1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List1!$J$2:$J$5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</c:ser>
        <c:axId val="107541248"/>
        <c:axId val="107542784"/>
      </c:barChart>
      <c:catAx>
        <c:axId val="107541248"/>
        <c:scaling>
          <c:orientation val="minMax"/>
        </c:scaling>
        <c:axPos val="b"/>
        <c:numFmt formatCode="General" sourceLinked="1"/>
        <c:tickLblPos val="nextTo"/>
        <c:crossAx val="107542784"/>
        <c:crosses val="autoZero"/>
        <c:auto val="1"/>
        <c:lblAlgn val="ctr"/>
        <c:lblOffset val="100"/>
      </c:catAx>
      <c:valAx>
        <c:axId val="107542784"/>
        <c:scaling>
          <c:orientation val="minMax"/>
          <c:min val="1.26"/>
        </c:scaling>
        <c:axPos val="l"/>
        <c:majorGridlines/>
        <c:numFmt formatCode="General" sourceLinked="1"/>
        <c:tickLblPos val="nextTo"/>
        <c:crossAx val="1075412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7.9373798082003122E-2"/>
          <c:y val="0.12230626474720981"/>
          <c:w val="0.7718768728788159"/>
          <c:h val="0.79717754977597377"/>
        </c:manualLayout>
      </c:layout>
      <c:barChart>
        <c:barDir val="col"/>
        <c:grouping val="clustered"/>
        <c:ser>
          <c:idx val="5"/>
          <c:order val="0"/>
          <c:tx>
            <c:strRef>
              <c:f>List1!$G$1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1.33</c:v>
                </c:pt>
                <c:pt idx="3">
                  <c:v>1.29</c:v>
                </c:pt>
              </c:numCache>
            </c:numRef>
          </c:val>
        </c:ser>
        <c:ser>
          <c:idx val="6"/>
          <c:order val="1"/>
          <c:tx>
            <c:strRef>
              <c:f>List1!$H$1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</c:ser>
        <c:ser>
          <c:idx val="0"/>
          <c:order val="2"/>
          <c:tx>
            <c:strRef>
              <c:f>List1!$I$1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1.3800000000000001</c:v>
                </c:pt>
                <c:pt idx="1">
                  <c:v>1.36</c:v>
                </c:pt>
                <c:pt idx="2">
                  <c:v>1.3800000000000001</c:v>
                </c:pt>
                <c:pt idx="3">
                  <c:v>1.35</c:v>
                </c:pt>
              </c:numCache>
            </c:numRef>
          </c:val>
        </c:ser>
        <c:ser>
          <c:idx val="1"/>
          <c:order val="3"/>
          <c:tx>
            <c:strRef>
              <c:f>List1!$J$1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6.4412238325281951E-3"/>
                  <c:y val="1.683501683501683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1.683501683501683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346801346801346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6835016835016803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List1!$J$2:$J$5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</c:ser>
        <c:dLbls>
          <c:showVal val="1"/>
        </c:dLbls>
        <c:axId val="10184960"/>
        <c:axId val="10203136"/>
      </c:barChart>
      <c:catAx>
        <c:axId val="10184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cs-CZ"/>
          </a:p>
        </c:txPr>
        <c:crossAx val="10203136"/>
        <c:crosses val="autoZero"/>
        <c:auto val="1"/>
        <c:lblAlgn val="ctr"/>
        <c:lblOffset val="100"/>
      </c:catAx>
      <c:valAx>
        <c:axId val="10203136"/>
        <c:scaling>
          <c:orientation val="minMax"/>
          <c:min val="1.26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cs-CZ"/>
          </a:p>
        </c:txPr>
        <c:crossAx val="10184960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layout/>
      <c:txPr>
        <a:bodyPr/>
        <a:lstStyle/>
        <a:p>
          <a:pPr>
            <a:defRPr b="1"/>
          </a:pPr>
          <a:endParaRPr lang="cs-CZ"/>
        </a:p>
      </c:txPr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0.44122</cdr:x>
      <cdr:y>0</cdr:y>
    </cdr:from>
    <cdr:to>
      <cdr:x>0.568</cdr:x>
      <cdr:y>0.09213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09850" y="0"/>
          <a:ext cx="749873" cy="34750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5</cp:revision>
  <cp:lastPrinted>2017-06-15T07:20:00Z</cp:lastPrinted>
  <dcterms:created xsi:type="dcterms:W3CDTF">2018-03-05T08:41:00Z</dcterms:created>
  <dcterms:modified xsi:type="dcterms:W3CDTF">2019-05-21T06:33:00Z</dcterms:modified>
</cp:coreProperties>
</file>