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07" w:rsidRDefault="004E4754" w:rsidP="00821D07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 xml:space="preserve">III. interní klinika – </w:t>
      </w:r>
      <w:proofErr w:type="spellStart"/>
      <w:r>
        <w:rPr>
          <w:rFonts w:ascii="Arial" w:hAnsi="Arial" w:cs="Arial"/>
          <w:b/>
          <w:color w:val="00529C"/>
        </w:rPr>
        <w:t>nefrologická</w:t>
      </w:r>
      <w:proofErr w:type="spellEnd"/>
      <w:r>
        <w:rPr>
          <w:rFonts w:ascii="Arial" w:hAnsi="Arial" w:cs="Arial"/>
          <w:b/>
          <w:color w:val="00529C"/>
        </w:rPr>
        <w:t>, revmatologická a endokrinologická</w:t>
      </w:r>
      <w:r w:rsidR="00821D07">
        <w:rPr>
          <w:rFonts w:ascii="Arial" w:hAnsi="Arial" w:cs="Arial"/>
          <w:b/>
          <w:color w:val="00529C"/>
        </w:rPr>
        <w:t xml:space="preserve"> </w:t>
      </w:r>
    </w:p>
    <w:p w:rsidR="004B28BB" w:rsidRPr="0013447B" w:rsidRDefault="004B28BB" w:rsidP="004B589C">
      <w:pPr>
        <w:rPr>
          <w:rFonts w:ascii="Arial" w:hAnsi="Arial" w:cs="Arial"/>
          <w:b/>
        </w:rPr>
      </w:pPr>
      <w:r w:rsidRPr="0013447B">
        <w:rPr>
          <w:rFonts w:ascii="Arial" w:hAnsi="Arial" w:cs="Arial"/>
          <w:b/>
        </w:rPr>
        <w:t xml:space="preserve">Indikátory kvality </w:t>
      </w:r>
      <w:r w:rsidR="0013447B">
        <w:rPr>
          <w:rFonts w:ascii="Arial" w:hAnsi="Arial" w:cs="Arial"/>
          <w:b/>
        </w:rPr>
        <w:t xml:space="preserve">- </w:t>
      </w:r>
      <w:proofErr w:type="spellStart"/>
      <w:r w:rsidR="0013447B" w:rsidRPr="0013447B">
        <w:rPr>
          <w:rFonts w:ascii="Arial" w:hAnsi="Arial" w:cs="Arial"/>
          <w:b/>
        </w:rPr>
        <w:t>Kt</w:t>
      </w:r>
      <w:proofErr w:type="spellEnd"/>
      <w:r w:rsidR="0013447B" w:rsidRPr="0013447B">
        <w:rPr>
          <w:rFonts w:ascii="Arial" w:hAnsi="Arial" w:cs="Arial"/>
          <w:b/>
        </w:rPr>
        <w:t>/V hodnocení adekvátnosti dialyzační léčby</w:t>
      </w: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DC6FA0" w:rsidRPr="00276E35" w:rsidTr="00044E94">
        <w:trPr>
          <w:trHeight w:val="300"/>
        </w:trPr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E85A53" w:rsidRPr="00276E35" w:rsidRDefault="00E85A53" w:rsidP="00044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dxa"/>
            <w:shd w:val="clear" w:color="auto" w:fill="C6D9F1" w:themeFill="text2" w:themeFillTint="33"/>
            <w:vAlign w:val="center"/>
            <w:hideMark/>
          </w:tcPr>
          <w:p w:rsidR="00E85A53" w:rsidRPr="00276E35" w:rsidRDefault="00E85A53" w:rsidP="00044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737" w:type="dxa"/>
            <w:shd w:val="clear" w:color="auto" w:fill="C6D9F1" w:themeFill="text2" w:themeFillTint="33"/>
            <w:vAlign w:val="center"/>
            <w:hideMark/>
          </w:tcPr>
          <w:p w:rsidR="00E85A53" w:rsidRPr="00276E35" w:rsidRDefault="00E85A53" w:rsidP="00044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737" w:type="dxa"/>
            <w:shd w:val="clear" w:color="auto" w:fill="C6D9F1" w:themeFill="text2" w:themeFillTint="33"/>
            <w:vAlign w:val="center"/>
            <w:hideMark/>
          </w:tcPr>
          <w:p w:rsidR="00E85A53" w:rsidRPr="00276E35" w:rsidRDefault="00E85A53" w:rsidP="00044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737" w:type="dxa"/>
            <w:shd w:val="clear" w:color="auto" w:fill="C6D9F1" w:themeFill="text2" w:themeFillTint="33"/>
            <w:vAlign w:val="center"/>
            <w:hideMark/>
          </w:tcPr>
          <w:p w:rsidR="00E85A53" w:rsidRPr="00276E35" w:rsidRDefault="00E85A53" w:rsidP="00044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2013</w:t>
            </w:r>
          </w:p>
        </w:tc>
        <w:tc>
          <w:tcPr>
            <w:tcW w:w="737" w:type="dxa"/>
            <w:shd w:val="clear" w:color="auto" w:fill="C6D9F1" w:themeFill="text2" w:themeFillTint="33"/>
            <w:vAlign w:val="center"/>
            <w:hideMark/>
          </w:tcPr>
          <w:p w:rsidR="00E85A53" w:rsidRPr="00276E35" w:rsidRDefault="00E85A53" w:rsidP="00044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2014</w:t>
            </w:r>
          </w:p>
        </w:tc>
        <w:tc>
          <w:tcPr>
            <w:tcW w:w="737" w:type="dxa"/>
            <w:shd w:val="clear" w:color="auto" w:fill="C6D9F1" w:themeFill="text2" w:themeFillTint="33"/>
            <w:vAlign w:val="center"/>
            <w:hideMark/>
          </w:tcPr>
          <w:p w:rsidR="00E85A53" w:rsidRPr="00276E35" w:rsidRDefault="00E85A53" w:rsidP="00044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2015</w:t>
            </w:r>
          </w:p>
        </w:tc>
        <w:tc>
          <w:tcPr>
            <w:tcW w:w="737" w:type="dxa"/>
            <w:shd w:val="clear" w:color="auto" w:fill="C6D9F1" w:themeFill="text2" w:themeFillTint="33"/>
            <w:vAlign w:val="center"/>
            <w:hideMark/>
          </w:tcPr>
          <w:p w:rsidR="00E85A53" w:rsidRPr="00276E35" w:rsidRDefault="00E85A53" w:rsidP="00044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2016</w:t>
            </w:r>
          </w:p>
        </w:tc>
        <w:tc>
          <w:tcPr>
            <w:tcW w:w="737" w:type="dxa"/>
            <w:shd w:val="clear" w:color="auto" w:fill="C6D9F1" w:themeFill="text2" w:themeFillTint="33"/>
            <w:vAlign w:val="center"/>
            <w:hideMark/>
          </w:tcPr>
          <w:p w:rsidR="00E85A53" w:rsidRPr="00276E35" w:rsidRDefault="00E85A53" w:rsidP="00044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2017</w:t>
            </w:r>
          </w:p>
        </w:tc>
        <w:tc>
          <w:tcPr>
            <w:tcW w:w="737" w:type="dxa"/>
            <w:shd w:val="clear" w:color="auto" w:fill="C6D9F1" w:themeFill="text2" w:themeFillTint="33"/>
            <w:vAlign w:val="center"/>
          </w:tcPr>
          <w:p w:rsidR="00E85A53" w:rsidRPr="00276E35" w:rsidRDefault="00E85A53" w:rsidP="00044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</w:p>
        </w:tc>
        <w:tc>
          <w:tcPr>
            <w:tcW w:w="738" w:type="dxa"/>
            <w:shd w:val="clear" w:color="auto" w:fill="C6D9F1" w:themeFill="text2" w:themeFillTint="33"/>
            <w:vAlign w:val="center"/>
          </w:tcPr>
          <w:p w:rsidR="00E85A53" w:rsidRDefault="00E85A53" w:rsidP="00044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2019</w:t>
            </w:r>
          </w:p>
        </w:tc>
      </w:tr>
      <w:tr w:rsidR="00DC6FA0" w:rsidRPr="00276E35" w:rsidTr="00DC6FA0">
        <w:trPr>
          <w:trHeight w:val="454"/>
        </w:trPr>
        <w:tc>
          <w:tcPr>
            <w:tcW w:w="1134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1,29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1,28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1,38</w:t>
            </w:r>
          </w:p>
        </w:tc>
        <w:tc>
          <w:tcPr>
            <w:tcW w:w="737" w:type="dxa"/>
            <w:vAlign w:val="center"/>
          </w:tcPr>
          <w:p w:rsidR="00E85A53" w:rsidRDefault="00E85A53" w:rsidP="00C304F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1,35</w:t>
            </w:r>
          </w:p>
        </w:tc>
        <w:tc>
          <w:tcPr>
            <w:tcW w:w="738" w:type="dxa"/>
            <w:vAlign w:val="center"/>
          </w:tcPr>
          <w:p w:rsidR="00E85A53" w:rsidRDefault="00E85A53" w:rsidP="00E85A53">
            <w:pPr>
              <w:spacing w:after="0"/>
              <w:jc w:val="center"/>
            </w:pPr>
            <w:r>
              <w:t>1,37</w:t>
            </w:r>
          </w:p>
        </w:tc>
      </w:tr>
      <w:tr w:rsidR="00DC6FA0" w:rsidRPr="00276E35" w:rsidTr="00DC6FA0">
        <w:trPr>
          <w:trHeight w:val="454"/>
        </w:trPr>
        <w:tc>
          <w:tcPr>
            <w:tcW w:w="1134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737" w:type="dxa"/>
            <w:vAlign w:val="center"/>
          </w:tcPr>
          <w:p w:rsidR="00E85A53" w:rsidRDefault="00E85A53" w:rsidP="00C304F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1,31</w:t>
            </w:r>
          </w:p>
        </w:tc>
        <w:tc>
          <w:tcPr>
            <w:tcW w:w="738" w:type="dxa"/>
            <w:vAlign w:val="center"/>
          </w:tcPr>
          <w:p w:rsidR="00E85A53" w:rsidRDefault="00E85A53" w:rsidP="00E85A53">
            <w:pPr>
              <w:spacing w:after="0"/>
              <w:jc w:val="center"/>
            </w:pPr>
            <w:r>
              <w:t>1,38</w:t>
            </w:r>
          </w:p>
        </w:tc>
      </w:tr>
      <w:tr w:rsidR="00DC6FA0" w:rsidRPr="00276E35" w:rsidTr="00DC6FA0">
        <w:trPr>
          <w:trHeight w:val="454"/>
        </w:trPr>
        <w:tc>
          <w:tcPr>
            <w:tcW w:w="1134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1,38</w:t>
            </w:r>
          </w:p>
        </w:tc>
        <w:tc>
          <w:tcPr>
            <w:tcW w:w="737" w:type="dxa"/>
            <w:vAlign w:val="center"/>
          </w:tcPr>
          <w:p w:rsidR="00E85A53" w:rsidRDefault="00E85A53" w:rsidP="00C304F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1,31</w:t>
            </w:r>
          </w:p>
        </w:tc>
        <w:tc>
          <w:tcPr>
            <w:tcW w:w="738" w:type="dxa"/>
            <w:vAlign w:val="center"/>
          </w:tcPr>
          <w:p w:rsidR="00E85A53" w:rsidRDefault="00E85A53" w:rsidP="00E85A53">
            <w:pPr>
              <w:spacing w:after="0"/>
              <w:jc w:val="center"/>
            </w:pPr>
            <w:r>
              <w:t>1,39</w:t>
            </w:r>
          </w:p>
        </w:tc>
      </w:tr>
      <w:tr w:rsidR="00DC6FA0" w:rsidRPr="00276E35" w:rsidTr="00DC6FA0">
        <w:trPr>
          <w:trHeight w:val="454"/>
        </w:trPr>
        <w:tc>
          <w:tcPr>
            <w:tcW w:w="1134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1,29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85A53" w:rsidRPr="00276E35" w:rsidRDefault="00E85A53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1,35</w:t>
            </w:r>
          </w:p>
        </w:tc>
        <w:tc>
          <w:tcPr>
            <w:tcW w:w="737" w:type="dxa"/>
            <w:vAlign w:val="center"/>
          </w:tcPr>
          <w:p w:rsidR="00E85A53" w:rsidRDefault="00E85A53" w:rsidP="00C304F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1,37</w:t>
            </w:r>
          </w:p>
        </w:tc>
        <w:tc>
          <w:tcPr>
            <w:tcW w:w="738" w:type="dxa"/>
            <w:vAlign w:val="center"/>
          </w:tcPr>
          <w:p w:rsidR="00E85A53" w:rsidRDefault="00E85A53" w:rsidP="00E85A53">
            <w:pPr>
              <w:spacing w:after="0"/>
              <w:jc w:val="center"/>
            </w:pPr>
            <w:r>
              <w:t>1,43</w:t>
            </w:r>
          </w:p>
        </w:tc>
      </w:tr>
    </w:tbl>
    <w:p w:rsidR="004B28BB" w:rsidRPr="00276E35" w:rsidRDefault="004B28BB" w:rsidP="004B28BB">
      <w:pPr>
        <w:rPr>
          <w:rFonts w:ascii="Arial" w:hAnsi="Arial" w:cs="Arial"/>
          <w:sz w:val="16"/>
          <w:szCs w:val="16"/>
        </w:rPr>
      </w:pPr>
    </w:p>
    <w:p w:rsidR="00276E35" w:rsidRDefault="00406764" w:rsidP="00DC6FA0">
      <w:pPr>
        <w:jc w:val="center"/>
        <w:rPr>
          <w:rFonts w:ascii="Arial" w:hAnsi="Arial" w:cs="Arial"/>
        </w:rPr>
      </w:pPr>
      <w:r w:rsidRPr="00406764">
        <w:rPr>
          <w:rFonts w:ascii="Arial" w:hAnsi="Arial" w:cs="Arial"/>
          <w:noProof/>
          <w:lang w:eastAsia="cs-CZ"/>
        </w:rPr>
        <w:drawing>
          <wp:inline distT="0" distB="0" distL="0" distR="0">
            <wp:extent cx="5337617" cy="3108960"/>
            <wp:effectExtent l="19050" t="0" r="15433" b="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6E35" w:rsidRDefault="00406764" w:rsidP="00406764">
      <w:pPr>
        <w:rPr>
          <w:rFonts w:ascii="Arial" w:hAnsi="Arial" w:cs="Arial"/>
        </w:rPr>
      </w:pPr>
      <w:r w:rsidRPr="00406764">
        <w:rPr>
          <w:rFonts w:ascii="Arial" w:hAnsi="Arial" w:cs="Arial"/>
          <w:noProof/>
          <w:lang w:eastAsia="cs-CZ"/>
        </w:rPr>
        <w:drawing>
          <wp:inline distT="0" distB="0" distL="0" distR="0">
            <wp:extent cx="5340792" cy="2934031"/>
            <wp:effectExtent l="19050" t="0" r="12258" b="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6E35" w:rsidRDefault="00276E35" w:rsidP="00276E35">
      <w:pPr>
        <w:jc w:val="both"/>
        <w:rPr>
          <w:rFonts w:ascii="Arial" w:hAnsi="Arial" w:cs="Arial"/>
        </w:rPr>
      </w:pPr>
      <w:proofErr w:type="spellStart"/>
      <w:r w:rsidRPr="00276E35">
        <w:rPr>
          <w:rFonts w:ascii="Arial" w:hAnsi="Arial" w:cs="Arial"/>
        </w:rPr>
        <w:t>Kt</w:t>
      </w:r>
      <w:proofErr w:type="spellEnd"/>
      <w:r w:rsidRPr="00276E35">
        <w:rPr>
          <w:rFonts w:ascii="Arial" w:hAnsi="Arial" w:cs="Arial"/>
        </w:rPr>
        <w:t xml:space="preserve">/V-parametr charakterizující účinnost </w:t>
      </w:r>
      <w:proofErr w:type="spellStart"/>
      <w:r w:rsidRPr="00276E35">
        <w:rPr>
          <w:rFonts w:ascii="Arial" w:hAnsi="Arial" w:cs="Arial"/>
        </w:rPr>
        <w:t>proběhlé</w:t>
      </w:r>
      <w:proofErr w:type="spellEnd"/>
      <w:r w:rsidRPr="00276E35">
        <w:rPr>
          <w:rFonts w:ascii="Arial" w:hAnsi="Arial" w:cs="Arial"/>
        </w:rPr>
        <w:t xml:space="preserve"> dialýzy.</w:t>
      </w:r>
      <w:r>
        <w:rPr>
          <w:rFonts w:ascii="Arial" w:hAnsi="Arial" w:cs="Arial"/>
        </w:rPr>
        <w:t xml:space="preserve"> </w:t>
      </w:r>
      <w:r w:rsidRPr="00276E35">
        <w:rPr>
          <w:rFonts w:ascii="Arial" w:hAnsi="Arial" w:cs="Arial"/>
        </w:rPr>
        <w:t>Jeho pravidelné sledování je pomocným</w:t>
      </w:r>
      <w:r>
        <w:rPr>
          <w:rFonts w:ascii="Arial" w:hAnsi="Arial" w:cs="Arial"/>
        </w:rPr>
        <w:t xml:space="preserve"> </w:t>
      </w:r>
      <w:r w:rsidRPr="00276E35">
        <w:rPr>
          <w:rFonts w:ascii="Arial" w:hAnsi="Arial" w:cs="Arial"/>
        </w:rPr>
        <w:t xml:space="preserve">ukazatelem pro dlouhodobé přežívání pacientů v </w:t>
      </w:r>
      <w:proofErr w:type="spellStart"/>
      <w:r w:rsidRPr="00276E35">
        <w:rPr>
          <w:rFonts w:ascii="Arial" w:hAnsi="Arial" w:cs="Arial"/>
        </w:rPr>
        <w:t>hemodialyzačním</w:t>
      </w:r>
      <w:proofErr w:type="spellEnd"/>
      <w:r w:rsidRPr="00276E35">
        <w:rPr>
          <w:rFonts w:ascii="Arial" w:hAnsi="Arial" w:cs="Arial"/>
        </w:rPr>
        <w:t xml:space="preserve"> léčení.</w:t>
      </w:r>
    </w:p>
    <w:p w:rsidR="00246538" w:rsidRPr="004B589C" w:rsidRDefault="00246538" w:rsidP="00246538">
      <w:pPr>
        <w:rPr>
          <w:rFonts w:ascii="Arial" w:hAnsi="Arial" w:cs="Arial"/>
        </w:rPr>
      </w:pPr>
      <w:r w:rsidRPr="004B589C">
        <w:rPr>
          <w:rFonts w:ascii="Arial" w:hAnsi="Arial" w:cs="Arial"/>
          <w:caps/>
        </w:rPr>
        <w:lastRenderedPageBreak/>
        <w:t xml:space="preserve">DLPS  </w:t>
      </w:r>
      <w:r w:rsidRPr="004B589C">
        <w:rPr>
          <w:rFonts w:ascii="Arial" w:hAnsi="Arial" w:cs="Arial"/>
        </w:rPr>
        <w:t xml:space="preserve">č. LP-L023-3IK-004 </w:t>
      </w:r>
    </w:p>
    <w:p w:rsidR="00246538" w:rsidRPr="004B589C" w:rsidRDefault="00246538" w:rsidP="00246538">
      <w:pPr>
        <w:rPr>
          <w:rFonts w:ascii="Arial" w:hAnsi="Arial" w:cs="Arial"/>
          <w:b/>
        </w:rPr>
      </w:pPr>
      <w:r w:rsidRPr="004B589C">
        <w:rPr>
          <w:rFonts w:ascii="Arial" w:hAnsi="Arial" w:cs="Arial"/>
          <w:b/>
          <w:bCs/>
        </w:rPr>
        <w:t>Doporučení pro diagnostiku a léčbu glomerulonefritid – rozvoj hematomu po bioptickém vyšetření autologní ledviny</w:t>
      </w:r>
    </w:p>
    <w:tbl>
      <w:tblPr>
        <w:tblStyle w:val="Mkatabulky"/>
        <w:tblW w:w="4935" w:type="pct"/>
        <w:tblInd w:w="108" w:type="dxa"/>
        <w:tblLook w:val="04A0"/>
      </w:tblPr>
      <w:tblGrid>
        <w:gridCol w:w="3202"/>
        <w:gridCol w:w="882"/>
        <w:gridCol w:w="884"/>
        <w:gridCol w:w="884"/>
        <w:gridCol w:w="885"/>
        <w:gridCol w:w="885"/>
        <w:gridCol w:w="883"/>
      </w:tblGrid>
      <w:tr w:rsidR="00E85A53" w:rsidRPr="005D0939" w:rsidTr="00044E94">
        <w:trPr>
          <w:trHeight w:val="300"/>
        </w:trPr>
        <w:tc>
          <w:tcPr>
            <w:tcW w:w="1882" w:type="pct"/>
            <w:shd w:val="clear" w:color="auto" w:fill="C6D9F1" w:themeFill="text2" w:themeFillTint="33"/>
            <w:noWrap/>
          </w:tcPr>
          <w:p w:rsidR="00E85A53" w:rsidRPr="00EA3EF5" w:rsidRDefault="00E85A53" w:rsidP="001B1936"/>
        </w:tc>
        <w:tc>
          <w:tcPr>
            <w:tcW w:w="519" w:type="pct"/>
            <w:shd w:val="clear" w:color="auto" w:fill="C6D9F1" w:themeFill="text2" w:themeFillTint="33"/>
            <w:vAlign w:val="center"/>
          </w:tcPr>
          <w:p w:rsidR="00E85A53" w:rsidRPr="00EA3EF5" w:rsidRDefault="00E85A53" w:rsidP="00406764">
            <w:pPr>
              <w:jc w:val="center"/>
            </w:pPr>
            <w:r w:rsidRPr="00EA3EF5">
              <w:t>2014</w:t>
            </w:r>
          </w:p>
        </w:tc>
        <w:tc>
          <w:tcPr>
            <w:tcW w:w="520" w:type="pct"/>
            <w:shd w:val="clear" w:color="auto" w:fill="C6D9F1" w:themeFill="text2" w:themeFillTint="33"/>
            <w:vAlign w:val="center"/>
          </w:tcPr>
          <w:p w:rsidR="00E85A53" w:rsidRPr="00EA3EF5" w:rsidRDefault="00E85A53" w:rsidP="00406764">
            <w:pPr>
              <w:jc w:val="center"/>
            </w:pPr>
            <w:r w:rsidRPr="00EA3EF5">
              <w:t>2015</w:t>
            </w:r>
          </w:p>
        </w:tc>
        <w:tc>
          <w:tcPr>
            <w:tcW w:w="520" w:type="pct"/>
            <w:shd w:val="clear" w:color="auto" w:fill="C6D9F1" w:themeFill="text2" w:themeFillTint="33"/>
            <w:vAlign w:val="center"/>
          </w:tcPr>
          <w:p w:rsidR="00E85A53" w:rsidRPr="00EA3EF5" w:rsidRDefault="00E85A53" w:rsidP="00406764">
            <w:pPr>
              <w:jc w:val="center"/>
            </w:pPr>
            <w:r w:rsidRPr="00EA3EF5">
              <w:t>2016</w:t>
            </w:r>
          </w:p>
        </w:tc>
        <w:tc>
          <w:tcPr>
            <w:tcW w:w="520" w:type="pct"/>
            <w:shd w:val="clear" w:color="auto" w:fill="C6D9F1" w:themeFill="text2" w:themeFillTint="33"/>
            <w:vAlign w:val="center"/>
          </w:tcPr>
          <w:p w:rsidR="00E85A53" w:rsidRPr="00EA3EF5" w:rsidRDefault="00E85A53" w:rsidP="00406764">
            <w:pPr>
              <w:jc w:val="center"/>
            </w:pPr>
            <w:r w:rsidRPr="00EA3EF5">
              <w:t>2017</w:t>
            </w:r>
          </w:p>
        </w:tc>
        <w:tc>
          <w:tcPr>
            <w:tcW w:w="520" w:type="pct"/>
            <w:shd w:val="clear" w:color="auto" w:fill="C6D9F1" w:themeFill="text2" w:themeFillTint="33"/>
            <w:vAlign w:val="center"/>
          </w:tcPr>
          <w:p w:rsidR="00E85A53" w:rsidRPr="00EA3EF5" w:rsidRDefault="00E85A53" w:rsidP="00406764">
            <w:pPr>
              <w:jc w:val="center"/>
            </w:pPr>
            <w:r w:rsidRPr="00EA3EF5">
              <w:t>2018</w:t>
            </w:r>
          </w:p>
        </w:tc>
        <w:tc>
          <w:tcPr>
            <w:tcW w:w="520" w:type="pct"/>
            <w:shd w:val="clear" w:color="auto" w:fill="C6D9F1" w:themeFill="text2" w:themeFillTint="33"/>
            <w:vAlign w:val="center"/>
          </w:tcPr>
          <w:p w:rsidR="00E85A53" w:rsidRPr="00EA3EF5" w:rsidRDefault="00E85A53" w:rsidP="00406764">
            <w:pPr>
              <w:jc w:val="center"/>
            </w:pPr>
            <w:r>
              <w:t>2019</w:t>
            </w:r>
          </w:p>
        </w:tc>
      </w:tr>
      <w:tr w:rsidR="00E85A53" w:rsidRPr="005D0939" w:rsidTr="00DC6FA0">
        <w:trPr>
          <w:trHeight w:val="454"/>
        </w:trPr>
        <w:tc>
          <w:tcPr>
            <w:tcW w:w="1882" w:type="pct"/>
            <w:noWrap/>
          </w:tcPr>
          <w:p w:rsidR="00E85A53" w:rsidRPr="00EA3EF5" w:rsidRDefault="00E85A53" w:rsidP="001B1936">
            <w:pPr>
              <w:spacing w:before="120"/>
            </w:pPr>
            <w:r w:rsidRPr="00EA3EF5">
              <w:t>Hematom po biopsii – 1.</w:t>
            </w:r>
            <w:r w:rsidR="00406764">
              <w:t xml:space="preserve"> </w:t>
            </w:r>
            <w:r w:rsidRPr="00EA3EF5">
              <w:t>čtvrtletí</w:t>
            </w:r>
          </w:p>
        </w:tc>
        <w:tc>
          <w:tcPr>
            <w:tcW w:w="519" w:type="pct"/>
          </w:tcPr>
          <w:p w:rsidR="00E85A53" w:rsidRPr="00EA3EF5" w:rsidRDefault="00E85A53" w:rsidP="001B1936">
            <w:pPr>
              <w:spacing w:before="120"/>
              <w:jc w:val="center"/>
            </w:pPr>
            <w:r w:rsidRPr="00EA3EF5">
              <w:t>2</w:t>
            </w:r>
          </w:p>
        </w:tc>
        <w:tc>
          <w:tcPr>
            <w:tcW w:w="520" w:type="pct"/>
          </w:tcPr>
          <w:p w:rsidR="00E85A53" w:rsidRPr="00EA3EF5" w:rsidRDefault="00E85A53" w:rsidP="001B1936">
            <w:pPr>
              <w:spacing w:before="120"/>
              <w:jc w:val="center"/>
            </w:pPr>
            <w:r>
              <w:t>2</w:t>
            </w:r>
          </w:p>
        </w:tc>
        <w:tc>
          <w:tcPr>
            <w:tcW w:w="520" w:type="pct"/>
          </w:tcPr>
          <w:p w:rsidR="00E85A53" w:rsidRPr="00EA3EF5" w:rsidRDefault="00E85A53" w:rsidP="001B1936">
            <w:pPr>
              <w:spacing w:before="120"/>
              <w:jc w:val="center"/>
            </w:pPr>
            <w:r>
              <w:t>0</w:t>
            </w:r>
          </w:p>
        </w:tc>
        <w:tc>
          <w:tcPr>
            <w:tcW w:w="520" w:type="pct"/>
          </w:tcPr>
          <w:p w:rsidR="00E85A53" w:rsidRPr="00EA3EF5" w:rsidRDefault="00E85A53" w:rsidP="001B1936">
            <w:pPr>
              <w:spacing w:before="120"/>
              <w:jc w:val="center"/>
            </w:pPr>
            <w:r>
              <w:t>2</w:t>
            </w:r>
          </w:p>
        </w:tc>
        <w:tc>
          <w:tcPr>
            <w:tcW w:w="520" w:type="pct"/>
          </w:tcPr>
          <w:p w:rsidR="00E85A53" w:rsidRPr="00EA3EF5" w:rsidRDefault="00E85A53" w:rsidP="001B1936">
            <w:pPr>
              <w:spacing w:before="120"/>
              <w:jc w:val="center"/>
            </w:pPr>
            <w:r>
              <w:t>2</w:t>
            </w:r>
          </w:p>
        </w:tc>
        <w:tc>
          <w:tcPr>
            <w:tcW w:w="520" w:type="pct"/>
          </w:tcPr>
          <w:p w:rsidR="00E85A53" w:rsidRDefault="00E85A53" w:rsidP="001B1936">
            <w:pPr>
              <w:spacing w:before="120"/>
              <w:jc w:val="center"/>
            </w:pPr>
            <w:r>
              <w:t>3</w:t>
            </w:r>
          </w:p>
        </w:tc>
      </w:tr>
      <w:tr w:rsidR="00E85A53" w:rsidRPr="005D0939" w:rsidTr="00DC6FA0">
        <w:trPr>
          <w:trHeight w:val="454"/>
        </w:trPr>
        <w:tc>
          <w:tcPr>
            <w:tcW w:w="1882" w:type="pct"/>
            <w:noWrap/>
          </w:tcPr>
          <w:p w:rsidR="00E85A53" w:rsidRPr="00EA3EF5" w:rsidRDefault="00E85A53" w:rsidP="001B1936">
            <w:pPr>
              <w:spacing w:before="120"/>
            </w:pPr>
            <w:r w:rsidRPr="00EA3EF5">
              <w:t>Hematom po biopsii – 2.</w:t>
            </w:r>
            <w:r w:rsidR="00406764">
              <w:t xml:space="preserve"> </w:t>
            </w:r>
            <w:r w:rsidRPr="00EA3EF5">
              <w:t>čtvrtletí</w:t>
            </w:r>
          </w:p>
        </w:tc>
        <w:tc>
          <w:tcPr>
            <w:tcW w:w="519" w:type="pct"/>
          </w:tcPr>
          <w:p w:rsidR="00E85A53" w:rsidRPr="00EA3EF5" w:rsidRDefault="00E85A53" w:rsidP="001B1936">
            <w:pPr>
              <w:spacing w:before="120"/>
              <w:jc w:val="center"/>
            </w:pPr>
            <w:r w:rsidRPr="00EA3EF5">
              <w:t>0</w:t>
            </w:r>
          </w:p>
        </w:tc>
        <w:tc>
          <w:tcPr>
            <w:tcW w:w="520" w:type="pct"/>
          </w:tcPr>
          <w:p w:rsidR="00E85A53" w:rsidRPr="00EA3EF5" w:rsidRDefault="00E85A53" w:rsidP="001B1936">
            <w:pPr>
              <w:spacing w:before="120"/>
              <w:jc w:val="center"/>
            </w:pPr>
            <w:r>
              <w:t>1</w:t>
            </w:r>
          </w:p>
        </w:tc>
        <w:tc>
          <w:tcPr>
            <w:tcW w:w="520" w:type="pct"/>
          </w:tcPr>
          <w:p w:rsidR="00E85A53" w:rsidRPr="00EA3EF5" w:rsidRDefault="00E85A53" w:rsidP="001B1936">
            <w:pPr>
              <w:spacing w:before="120"/>
              <w:jc w:val="center"/>
            </w:pPr>
            <w:r>
              <w:t>3</w:t>
            </w:r>
          </w:p>
        </w:tc>
        <w:tc>
          <w:tcPr>
            <w:tcW w:w="520" w:type="pct"/>
          </w:tcPr>
          <w:p w:rsidR="00E85A53" w:rsidRPr="00EA3EF5" w:rsidRDefault="00E85A53" w:rsidP="001B1936">
            <w:pPr>
              <w:spacing w:before="120"/>
              <w:jc w:val="center"/>
            </w:pPr>
            <w:r>
              <w:t>2</w:t>
            </w:r>
          </w:p>
        </w:tc>
        <w:tc>
          <w:tcPr>
            <w:tcW w:w="520" w:type="pct"/>
          </w:tcPr>
          <w:p w:rsidR="00E85A53" w:rsidRPr="00EA3EF5" w:rsidRDefault="00E85A53" w:rsidP="001B1936">
            <w:pPr>
              <w:spacing w:before="120"/>
              <w:jc w:val="center"/>
            </w:pPr>
            <w:r>
              <w:t>2</w:t>
            </w:r>
          </w:p>
        </w:tc>
        <w:tc>
          <w:tcPr>
            <w:tcW w:w="520" w:type="pct"/>
          </w:tcPr>
          <w:p w:rsidR="00E85A53" w:rsidRDefault="00E85A53" w:rsidP="001B1936">
            <w:pPr>
              <w:spacing w:before="120"/>
              <w:jc w:val="center"/>
            </w:pPr>
            <w:r>
              <w:t>0</w:t>
            </w:r>
          </w:p>
        </w:tc>
      </w:tr>
      <w:tr w:rsidR="00E85A53" w:rsidRPr="005D0939" w:rsidTr="00DC6FA0">
        <w:trPr>
          <w:trHeight w:val="454"/>
        </w:trPr>
        <w:tc>
          <w:tcPr>
            <w:tcW w:w="1882" w:type="pct"/>
            <w:noWrap/>
          </w:tcPr>
          <w:p w:rsidR="00E85A53" w:rsidRPr="00EA3EF5" w:rsidRDefault="00E85A53" w:rsidP="001B1936">
            <w:pPr>
              <w:spacing w:before="120"/>
            </w:pPr>
            <w:r w:rsidRPr="00EA3EF5">
              <w:t xml:space="preserve">Hematom po </w:t>
            </w:r>
            <w:proofErr w:type="gramStart"/>
            <w:r w:rsidRPr="00EA3EF5">
              <w:t xml:space="preserve">biopsii – 3. </w:t>
            </w:r>
            <w:r w:rsidR="00406764">
              <w:t xml:space="preserve"> </w:t>
            </w:r>
            <w:r w:rsidRPr="00EA3EF5">
              <w:t>čtvrtletí</w:t>
            </w:r>
            <w:proofErr w:type="gramEnd"/>
          </w:p>
        </w:tc>
        <w:tc>
          <w:tcPr>
            <w:tcW w:w="519" w:type="pct"/>
          </w:tcPr>
          <w:p w:rsidR="00E85A53" w:rsidRPr="00EA3EF5" w:rsidRDefault="00E85A53" w:rsidP="001B1936">
            <w:pPr>
              <w:spacing w:before="120"/>
              <w:jc w:val="center"/>
            </w:pPr>
            <w:r w:rsidRPr="00EA3EF5">
              <w:t>2</w:t>
            </w:r>
          </w:p>
        </w:tc>
        <w:tc>
          <w:tcPr>
            <w:tcW w:w="520" w:type="pct"/>
          </w:tcPr>
          <w:p w:rsidR="00E85A53" w:rsidRPr="00EA3EF5" w:rsidRDefault="00E85A53" w:rsidP="001B1936">
            <w:pPr>
              <w:spacing w:before="120"/>
              <w:jc w:val="center"/>
            </w:pPr>
            <w:r>
              <w:t>0</w:t>
            </w:r>
          </w:p>
        </w:tc>
        <w:tc>
          <w:tcPr>
            <w:tcW w:w="520" w:type="pct"/>
          </w:tcPr>
          <w:p w:rsidR="00E85A53" w:rsidRPr="00EA3EF5" w:rsidRDefault="00E85A53" w:rsidP="001B1936">
            <w:pPr>
              <w:spacing w:before="120"/>
              <w:jc w:val="center"/>
            </w:pPr>
            <w:r>
              <w:t>4</w:t>
            </w:r>
          </w:p>
        </w:tc>
        <w:tc>
          <w:tcPr>
            <w:tcW w:w="520" w:type="pct"/>
          </w:tcPr>
          <w:p w:rsidR="00E85A53" w:rsidRPr="00EA3EF5" w:rsidRDefault="00E85A53" w:rsidP="001B1936">
            <w:pPr>
              <w:spacing w:before="120"/>
              <w:jc w:val="center"/>
            </w:pPr>
            <w:r>
              <w:t>2</w:t>
            </w:r>
          </w:p>
        </w:tc>
        <w:tc>
          <w:tcPr>
            <w:tcW w:w="520" w:type="pct"/>
          </w:tcPr>
          <w:p w:rsidR="00E85A53" w:rsidRPr="00EA3EF5" w:rsidRDefault="00E85A53" w:rsidP="001B1936">
            <w:pPr>
              <w:spacing w:before="120"/>
              <w:jc w:val="center"/>
            </w:pPr>
            <w:r>
              <w:t>0</w:t>
            </w:r>
          </w:p>
        </w:tc>
        <w:tc>
          <w:tcPr>
            <w:tcW w:w="520" w:type="pct"/>
          </w:tcPr>
          <w:p w:rsidR="00E85A53" w:rsidRDefault="00E85A53" w:rsidP="001B1936">
            <w:pPr>
              <w:spacing w:before="120"/>
              <w:jc w:val="center"/>
            </w:pPr>
            <w:r>
              <w:t>0</w:t>
            </w:r>
          </w:p>
        </w:tc>
      </w:tr>
      <w:tr w:rsidR="00E85A53" w:rsidRPr="005D0939" w:rsidTr="00DC6FA0">
        <w:trPr>
          <w:trHeight w:val="454"/>
        </w:trPr>
        <w:tc>
          <w:tcPr>
            <w:tcW w:w="1882" w:type="pct"/>
            <w:noWrap/>
          </w:tcPr>
          <w:p w:rsidR="00E85A53" w:rsidRPr="00EA3EF5" w:rsidRDefault="00E85A53" w:rsidP="001B1936">
            <w:pPr>
              <w:spacing w:before="120"/>
            </w:pPr>
            <w:r w:rsidRPr="00EA3EF5">
              <w:t xml:space="preserve">Hematom po </w:t>
            </w:r>
            <w:proofErr w:type="gramStart"/>
            <w:r w:rsidRPr="00EA3EF5">
              <w:t xml:space="preserve">biopsii – 4. </w:t>
            </w:r>
            <w:r w:rsidR="00406764">
              <w:t xml:space="preserve"> </w:t>
            </w:r>
            <w:r w:rsidRPr="00EA3EF5">
              <w:t>čtvrtletí</w:t>
            </w:r>
            <w:proofErr w:type="gramEnd"/>
          </w:p>
        </w:tc>
        <w:tc>
          <w:tcPr>
            <w:tcW w:w="519" w:type="pct"/>
          </w:tcPr>
          <w:p w:rsidR="00E85A53" w:rsidRPr="00EA3EF5" w:rsidRDefault="00E85A53" w:rsidP="001B1936">
            <w:pPr>
              <w:spacing w:before="120"/>
              <w:jc w:val="center"/>
            </w:pPr>
            <w:r>
              <w:t>1</w:t>
            </w:r>
          </w:p>
        </w:tc>
        <w:tc>
          <w:tcPr>
            <w:tcW w:w="520" w:type="pct"/>
          </w:tcPr>
          <w:p w:rsidR="00E85A53" w:rsidRPr="00EA3EF5" w:rsidRDefault="00E85A53" w:rsidP="001B1936">
            <w:pPr>
              <w:spacing w:before="120"/>
              <w:jc w:val="center"/>
            </w:pPr>
            <w:r>
              <w:t>1</w:t>
            </w:r>
          </w:p>
        </w:tc>
        <w:tc>
          <w:tcPr>
            <w:tcW w:w="520" w:type="pct"/>
          </w:tcPr>
          <w:p w:rsidR="00E85A53" w:rsidRPr="00EA3EF5" w:rsidRDefault="00E85A53" w:rsidP="001B1936">
            <w:pPr>
              <w:spacing w:before="120"/>
              <w:jc w:val="center"/>
            </w:pPr>
            <w:r>
              <w:t>1</w:t>
            </w:r>
          </w:p>
        </w:tc>
        <w:tc>
          <w:tcPr>
            <w:tcW w:w="520" w:type="pct"/>
          </w:tcPr>
          <w:p w:rsidR="00E85A53" w:rsidRPr="00EA3EF5" w:rsidRDefault="00E85A53" w:rsidP="001B1936">
            <w:pPr>
              <w:spacing w:before="120"/>
              <w:jc w:val="center"/>
            </w:pPr>
            <w:r>
              <w:t>2</w:t>
            </w:r>
          </w:p>
        </w:tc>
        <w:tc>
          <w:tcPr>
            <w:tcW w:w="520" w:type="pct"/>
          </w:tcPr>
          <w:p w:rsidR="00E85A53" w:rsidRPr="00EA3EF5" w:rsidRDefault="00E85A53" w:rsidP="001B1936">
            <w:pPr>
              <w:spacing w:before="120"/>
              <w:jc w:val="center"/>
            </w:pPr>
            <w:r>
              <w:t>1</w:t>
            </w:r>
          </w:p>
        </w:tc>
        <w:tc>
          <w:tcPr>
            <w:tcW w:w="520" w:type="pct"/>
          </w:tcPr>
          <w:p w:rsidR="00E85A53" w:rsidRDefault="00E85A53" w:rsidP="001B1936">
            <w:pPr>
              <w:spacing w:before="120"/>
              <w:jc w:val="center"/>
            </w:pPr>
            <w:r>
              <w:t>1</w:t>
            </w:r>
          </w:p>
        </w:tc>
      </w:tr>
    </w:tbl>
    <w:p w:rsidR="00246538" w:rsidRPr="004B589C" w:rsidRDefault="00246538" w:rsidP="00246538">
      <w:pPr>
        <w:rPr>
          <w:rFonts w:ascii="Arial" w:hAnsi="Arial" w:cs="Arial"/>
          <w:sz w:val="16"/>
          <w:szCs w:val="16"/>
        </w:rPr>
      </w:pPr>
    </w:p>
    <w:p w:rsidR="00246538" w:rsidRDefault="00406764" w:rsidP="00276E3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5335270" cy="3067050"/>
            <wp:effectExtent l="19050" t="0" r="1778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4C49" w:rsidRPr="00821D07" w:rsidRDefault="00EE4C49" w:rsidP="00276E35">
      <w:pPr>
        <w:jc w:val="both"/>
        <w:rPr>
          <w:rFonts w:ascii="Arial" w:hAnsi="Arial" w:cs="Arial"/>
        </w:rPr>
      </w:pPr>
      <w:r w:rsidRPr="00EE4C49">
        <w:rPr>
          <w:rFonts w:ascii="Arial" w:hAnsi="Arial" w:cs="Arial"/>
        </w:rPr>
        <w:drawing>
          <wp:inline distT="0" distB="0" distL="0" distR="0">
            <wp:extent cx="5332095" cy="2962910"/>
            <wp:effectExtent l="19050" t="0" r="20955" b="8890"/>
            <wp:docPr id="4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EE4C49" w:rsidRPr="00821D07" w:rsidSect="00C304F0">
      <w:headerReference w:type="default" r:id="rId10"/>
      <w:pgSz w:w="11906" w:h="16838"/>
      <w:pgMar w:top="1418" w:right="1418" w:bottom="709" w:left="2087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89C" w:rsidRDefault="004B589C" w:rsidP="00FD042F">
      <w:pPr>
        <w:spacing w:after="0" w:line="240" w:lineRule="auto"/>
      </w:pPr>
      <w:r>
        <w:separator/>
      </w:r>
    </w:p>
  </w:endnote>
  <w:endnote w:type="continuationSeparator" w:id="0">
    <w:p w:rsidR="004B589C" w:rsidRDefault="004B589C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89C" w:rsidRDefault="004B589C" w:rsidP="00FD042F">
      <w:pPr>
        <w:spacing w:after="0" w:line="240" w:lineRule="auto"/>
      </w:pPr>
      <w:r>
        <w:separator/>
      </w:r>
    </w:p>
  </w:footnote>
  <w:footnote w:type="continuationSeparator" w:id="0">
    <w:p w:rsidR="004B589C" w:rsidRDefault="004B589C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9C" w:rsidRDefault="004B589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-547370</wp:posOffset>
          </wp:positionH>
          <wp:positionV relativeFrom="paragraph">
            <wp:posOffset>-67310</wp:posOffset>
          </wp:positionV>
          <wp:extent cx="1852295" cy="508635"/>
          <wp:effectExtent l="19050" t="0" r="0" b="0"/>
          <wp:wrapTight wrapText="bothSides">
            <wp:wrapPolygon edited="0">
              <wp:start x="1333" y="809"/>
              <wp:lineTo x="-222" y="4854"/>
              <wp:lineTo x="-222" y="7281"/>
              <wp:lineTo x="666" y="13753"/>
              <wp:lineTo x="2221" y="21034"/>
              <wp:lineTo x="2444" y="21034"/>
              <wp:lineTo x="13551" y="21034"/>
              <wp:lineTo x="15328" y="21034"/>
              <wp:lineTo x="21326" y="15371"/>
              <wp:lineTo x="21326" y="13753"/>
              <wp:lineTo x="21548" y="8899"/>
              <wp:lineTo x="5109" y="809"/>
              <wp:lineTo x="1333" y="809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589C" w:rsidRDefault="004B589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44E94"/>
    <w:rsid w:val="000D587A"/>
    <w:rsid w:val="0013447B"/>
    <w:rsid w:val="0013471D"/>
    <w:rsid w:val="001B1936"/>
    <w:rsid w:val="001B5834"/>
    <w:rsid w:val="00204F8B"/>
    <w:rsid w:val="0021015A"/>
    <w:rsid w:val="00223B6C"/>
    <w:rsid w:val="00245BEA"/>
    <w:rsid w:val="00246538"/>
    <w:rsid w:val="00276E35"/>
    <w:rsid w:val="00304CDE"/>
    <w:rsid w:val="003D12AC"/>
    <w:rsid w:val="00406764"/>
    <w:rsid w:val="004B28BB"/>
    <w:rsid w:val="004B589C"/>
    <w:rsid w:val="004B68DC"/>
    <w:rsid w:val="004E4754"/>
    <w:rsid w:val="00501F08"/>
    <w:rsid w:val="005619D7"/>
    <w:rsid w:val="005C147E"/>
    <w:rsid w:val="00663062"/>
    <w:rsid w:val="006B359D"/>
    <w:rsid w:val="006C44C3"/>
    <w:rsid w:val="0071591E"/>
    <w:rsid w:val="007928FD"/>
    <w:rsid w:val="00800D3D"/>
    <w:rsid w:val="00821D07"/>
    <w:rsid w:val="008330B1"/>
    <w:rsid w:val="008849E9"/>
    <w:rsid w:val="00944134"/>
    <w:rsid w:val="00A20BAB"/>
    <w:rsid w:val="00A526E9"/>
    <w:rsid w:val="00A71DCB"/>
    <w:rsid w:val="00AC7273"/>
    <w:rsid w:val="00AE6808"/>
    <w:rsid w:val="00BA3C92"/>
    <w:rsid w:val="00C15461"/>
    <w:rsid w:val="00C304F0"/>
    <w:rsid w:val="00C75EC9"/>
    <w:rsid w:val="00CB5559"/>
    <w:rsid w:val="00CE2690"/>
    <w:rsid w:val="00DC6FA0"/>
    <w:rsid w:val="00DC72A5"/>
    <w:rsid w:val="00E85A53"/>
    <w:rsid w:val="00E95758"/>
    <w:rsid w:val="00EE4C49"/>
    <w:rsid w:val="00F246F9"/>
    <w:rsid w:val="00FD042F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Odstavecseseznamem">
    <w:name w:val="List Paragraph"/>
    <w:basedOn w:val="Normln"/>
    <w:uiPriority w:val="34"/>
    <w:qFormat/>
    <w:rsid w:val="00276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7"/>
  <c:chart>
    <c:title>
      <c:tx>
        <c:rich>
          <a:bodyPr/>
          <a:lstStyle/>
          <a:p>
            <a:pPr>
              <a:defRPr sz="1600"/>
            </a:pPr>
            <a:r>
              <a:rPr lang="cs-CZ" sz="1600"/>
              <a:t>Kt/V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1.3</c:v>
                </c:pt>
                <c:pt idx="1">
                  <c:v>1.34</c:v>
                </c:pt>
                <c:pt idx="2">
                  <c:v>1.36</c:v>
                </c:pt>
                <c:pt idx="3">
                  <c:v>1.32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1.29</c:v>
                </c:pt>
                <c:pt idx="1">
                  <c:v>1.32</c:v>
                </c:pt>
                <c:pt idx="2">
                  <c:v>1.34</c:v>
                </c:pt>
                <c:pt idx="3">
                  <c:v>1.34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1.36</c:v>
                </c:pt>
                <c:pt idx="1">
                  <c:v>1.32</c:v>
                </c:pt>
                <c:pt idx="2">
                  <c:v>1.34</c:v>
                </c:pt>
                <c:pt idx="3">
                  <c:v>1.36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List1!$E$2:$E$5</c:f>
              <c:numCache>
                <c:formatCode>General</c:formatCode>
                <c:ptCount val="4"/>
                <c:pt idx="0">
                  <c:v>1.34</c:v>
                </c:pt>
                <c:pt idx="1">
                  <c:v>1.34</c:v>
                </c:pt>
                <c:pt idx="2">
                  <c:v>1.33</c:v>
                </c:pt>
                <c:pt idx="3">
                  <c:v>1.36</c:v>
                </c:pt>
              </c:numCache>
            </c:numRef>
          </c:val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List1!$F$2:$F$5</c:f>
              <c:numCache>
                <c:formatCode>General</c:formatCode>
                <c:ptCount val="4"/>
                <c:pt idx="0">
                  <c:v>1.35</c:v>
                </c:pt>
                <c:pt idx="1">
                  <c:v>1.37</c:v>
                </c:pt>
                <c:pt idx="2">
                  <c:v>1.36</c:v>
                </c:pt>
                <c:pt idx="3">
                  <c:v>1.34</c:v>
                </c:pt>
              </c:numCache>
            </c:numRef>
          </c:val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List1!$G$2:$G$5</c:f>
              <c:numCache>
                <c:formatCode>General</c:formatCode>
                <c:ptCount val="4"/>
                <c:pt idx="0">
                  <c:v>1.33</c:v>
                </c:pt>
                <c:pt idx="1">
                  <c:v>1.33</c:v>
                </c:pt>
                <c:pt idx="2">
                  <c:v>1.33</c:v>
                </c:pt>
                <c:pt idx="3">
                  <c:v>1.29</c:v>
                </c:pt>
              </c:numCache>
            </c:numRef>
          </c:val>
        </c:ser>
        <c:ser>
          <c:idx val="6"/>
          <c:order val="6"/>
          <c:tx>
            <c:strRef>
              <c:f>List1!$H$1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List1!$H$2:$H$5</c:f>
              <c:numCache>
                <c:formatCode>General</c:formatCode>
                <c:ptCount val="4"/>
                <c:pt idx="0">
                  <c:v>1.28</c:v>
                </c:pt>
                <c:pt idx="1">
                  <c:v>1.31</c:v>
                </c:pt>
                <c:pt idx="2">
                  <c:v>1.32</c:v>
                </c:pt>
                <c:pt idx="3">
                  <c:v>1.36</c:v>
                </c:pt>
              </c:numCache>
            </c:numRef>
          </c:val>
        </c:ser>
        <c:ser>
          <c:idx val="7"/>
          <c:order val="7"/>
          <c:tx>
            <c:strRef>
              <c:f>List1!$I$1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List1!$I$2:$I$5</c:f>
              <c:numCache>
                <c:formatCode>General</c:formatCode>
                <c:ptCount val="4"/>
                <c:pt idx="0">
                  <c:v>1.3800000000000001</c:v>
                </c:pt>
                <c:pt idx="1">
                  <c:v>1.36</c:v>
                </c:pt>
                <c:pt idx="2">
                  <c:v>1.3800000000000001</c:v>
                </c:pt>
                <c:pt idx="3">
                  <c:v>1.35</c:v>
                </c:pt>
              </c:numCache>
            </c:numRef>
          </c:val>
        </c:ser>
        <c:ser>
          <c:idx val="8"/>
          <c:order val="8"/>
          <c:tx>
            <c:strRef>
              <c:f>List1!$J$1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List1!$J$2:$J$5</c:f>
              <c:numCache>
                <c:formatCode>General</c:formatCode>
                <c:ptCount val="4"/>
                <c:pt idx="0">
                  <c:v>1.35</c:v>
                </c:pt>
                <c:pt idx="1">
                  <c:v>1.31</c:v>
                </c:pt>
                <c:pt idx="2">
                  <c:v>1.31</c:v>
                </c:pt>
                <c:pt idx="3">
                  <c:v>1.37</c:v>
                </c:pt>
              </c:numCache>
            </c:numRef>
          </c:val>
        </c:ser>
        <c:ser>
          <c:idx val="9"/>
          <c:order val="9"/>
          <c:tx>
            <c:strRef>
              <c:f>List1!$K$1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sz="1200" b="1"/>
                </a:pPr>
                <a:endParaRPr lang="cs-CZ"/>
              </a:p>
            </c:txPr>
            <c:showVal val="1"/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List1!$K$2:$K$5</c:f>
              <c:numCache>
                <c:formatCode>General</c:formatCode>
                <c:ptCount val="4"/>
                <c:pt idx="0">
                  <c:v>1.37</c:v>
                </c:pt>
                <c:pt idx="1">
                  <c:v>1.3800000000000001</c:v>
                </c:pt>
                <c:pt idx="2">
                  <c:v>1.3900000000000001</c:v>
                </c:pt>
                <c:pt idx="3">
                  <c:v>1.43</c:v>
                </c:pt>
              </c:numCache>
            </c:numRef>
          </c:val>
        </c:ser>
        <c:axId val="33445376"/>
        <c:axId val="33446912"/>
      </c:barChart>
      <c:catAx>
        <c:axId val="33445376"/>
        <c:scaling>
          <c:orientation val="minMax"/>
        </c:scaling>
        <c:axPos val="b"/>
        <c:tickLblPos val="nextTo"/>
        <c:crossAx val="33446912"/>
        <c:crosses val="autoZero"/>
        <c:auto val="1"/>
        <c:lblAlgn val="ctr"/>
        <c:lblOffset val="100"/>
      </c:catAx>
      <c:valAx>
        <c:axId val="33446912"/>
        <c:scaling>
          <c:orientation val="minMax"/>
        </c:scaling>
        <c:axPos val="l"/>
        <c:majorGridlines/>
        <c:numFmt formatCode="General" sourceLinked="1"/>
        <c:tickLblPos val="nextTo"/>
        <c:crossAx val="334453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title>
      <c:tx>
        <c:rich>
          <a:bodyPr/>
          <a:lstStyle/>
          <a:p>
            <a:pPr>
              <a:defRPr sz="1600"/>
            </a:pPr>
            <a:r>
              <a:rPr lang="cs-CZ" sz="1600"/>
              <a:t>Kt/V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Val val="1"/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1.28</c:v>
                </c:pt>
                <c:pt idx="1">
                  <c:v>1.31</c:v>
                </c:pt>
                <c:pt idx="2">
                  <c:v>1.32</c:v>
                </c:pt>
                <c:pt idx="3">
                  <c:v>1.36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Val val="1"/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1.3800000000000001</c:v>
                </c:pt>
                <c:pt idx="1">
                  <c:v>1.36</c:v>
                </c:pt>
                <c:pt idx="2">
                  <c:v>1.3800000000000001</c:v>
                </c:pt>
                <c:pt idx="3">
                  <c:v>1.35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Val val="1"/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1.35</c:v>
                </c:pt>
                <c:pt idx="1">
                  <c:v>1.31</c:v>
                </c:pt>
                <c:pt idx="2">
                  <c:v>1.31</c:v>
                </c:pt>
                <c:pt idx="3">
                  <c:v>1.37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spPr>
              <a:solidFill>
                <a:schemeClr val="accent6">
                  <a:lumMod val="60000"/>
                  <a:lumOff val="40000"/>
                </a:schemeClr>
              </a:solidFill>
            </c:spPr>
            <c:txPr>
              <a:bodyPr/>
              <a:lstStyle/>
              <a:p>
                <a:pPr>
                  <a:defRPr sz="1200" b="1"/>
                </a:pPr>
                <a:endParaRPr lang="cs-CZ"/>
              </a:p>
            </c:txPr>
            <c:showVal val="1"/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List1!$E$2:$E$5</c:f>
              <c:numCache>
                <c:formatCode>General</c:formatCode>
                <c:ptCount val="4"/>
                <c:pt idx="0">
                  <c:v>1.37</c:v>
                </c:pt>
                <c:pt idx="1">
                  <c:v>1.3800000000000001</c:v>
                </c:pt>
                <c:pt idx="2">
                  <c:v>1.3900000000000001</c:v>
                </c:pt>
                <c:pt idx="3">
                  <c:v>1.43</c:v>
                </c:pt>
              </c:numCache>
            </c:numRef>
          </c:val>
        </c:ser>
        <c:axId val="105479168"/>
        <c:axId val="105493248"/>
      </c:barChart>
      <c:catAx>
        <c:axId val="105479168"/>
        <c:scaling>
          <c:orientation val="minMax"/>
        </c:scaling>
        <c:axPos val="b"/>
        <c:tickLblPos val="nextTo"/>
        <c:crossAx val="105493248"/>
        <c:crosses val="autoZero"/>
        <c:auto val="1"/>
        <c:lblAlgn val="ctr"/>
        <c:lblOffset val="100"/>
      </c:catAx>
      <c:valAx>
        <c:axId val="105493248"/>
        <c:scaling>
          <c:orientation val="minMax"/>
        </c:scaling>
        <c:axPos val="l"/>
        <c:majorGridlines/>
        <c:numFmt formatCode="General" sourceLinked="1"/>
        <c:tickLblPos val="nextTo"/>
        <c:crossAx val="10547916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7"/>
  <c:chart>
    <c:title>
      <c:tx>
        <c:rich>
          <a:bodyPr/>
          <a:lstStyle/>
          <a:p>
            <a:pPr>
              <a:defRPr/>
            </a:pPr>
            <a:r>
              <a:rPr lang="cs-CZ"/>
              <a:t>Hematom po biopsii - čtvrtletně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2014</c:v>
                </c:pt>
              </c:strCache>
            </c:strRef>
          </c:tx>
          <c:dLbls>
            <c:showVal val="1"/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2015</c:v>
                </c:pt>
              </c:strCache>
            </c:strRef>
          </c:tx>
          <c:dLbls>
            <c:showVal val="1"/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List1!$E$2:$E$5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List1!$F$2:$F$5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spPr>
              <a:solidFill>
                <a:schemeClr val="accent6">
                  <a:lumMod val="60000"/>
                  <a:lumOff val="40000"/>
                </a:schemeClr>
              </a:solidFill>
            </c:spPr>
            <c:txPr>
              <a:bodyPr/>
              <a:lstStyle/>
              <a:p>
                <a:pPr>
                  <a:defRPr sz="1400" b="1"/>
                </a:pPr>
                <a:endParaRPr lang="cs-CZ"/>
              </a:p>
            </c:txPr>
            <c:showVal val="1"/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List1!$G$2:$G$5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axId val="106652416"/>
        <c:axId val="106653952"/>
      </c:barChart>
      <c:catAx>
        <c:axId val="106652416"/>
        <c:scaling>
          <c:orientation val="minMax"/>
        </c:scaling>
        <c:axPos val="b"/>
        <c:tickLblPos val="nextTo"/>
        <c:crossAx val="106653952"/>
        <c:crosses val="autoZero"/>
        <c:auto val="1"/>
        <c:lblAlgn val="ctr"/>
        <c:lblOffset val="100"/>
      </c:catAx>
      <c:valAx>
        <c:axId val="106653952"/>
        <c:scaling>
          <c:orientation val="minMax"/>
        </c:scaling>
        <c:axPos val="l"/>
        <c:majorGridlines/>
        <c:numFmt formatCode="General" sourceLinked="1"/>
        <c:tickLblPos val="nextTo"/>
        <c:crossAx val="10665241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7"/>
  <c:chart>
    <c:title>
      <c:tx>
        <c:rich>
          <a:bodyPr/>
          <a:lstStyle/>
          <a:p>
            <a:pPr>
              <a:defRPr/>
            </a:pPr>
            <a:r>
              <a:rPr lang="cs-CZ"/>
              <a:t>Hematom po biopsii - za celý rok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22341584756970251"/>
          <c:y val="0.17198154107381414"/>
          <c:w val="0.54026826577638398"/>
          <c:h val="0.72562606546102415"/>
        </c:manualLayout>
      </c:layout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2014</c:v>
                </c:pt>
              </c:strCache>
            </c:strRef>
          </c:tx>
          <c:dLbls>
            <c:showVal val="1"/>
          </c:dLbls>
          <c:cat>
            <c:strRef>
              <c:f>List1!$A$2</c:f>
              <c:strCache>
                <c:ptCount val="1"/>
                <c:pt idx="0">
                  <c:v>celý rok</c:v>
                </c:pt>
              </c:strCache>
            </c:strRef>
          </c:cat>
          <c:val>
            <c:numRef>
              <c:f>List1!$B$2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2015</c:v>
                </c:pt>
              </c:strCache>
            </c:strRef>
          </c:tx>
          <c:dLbls>
            <c:showVal val="1"/>
          </c:dLbls>
          <c:cat>
            <c:strRef>
              <c:f>List1!$A$2</c:f>
              <c:strCache>
                <c:ptCount val="1"/>
                <c:pt idx="0">
                  <c:v>celý rok</c:v>
                </c:pt>
              </c:strCache>
            </c:strRef>
          </c:cat>
          <c:val>
            <c:numRef>
              <c:f>List1!$C$2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List1!$A$2</c:f>
              <c:strCache>
                <c:ptCount val="1"/>
                <c:pt idx="0">
                  <c:v>celý rok</c:v>
                </c:pt>
              </c:strCache>
            </c:strRef>
          </c:cat>
          <c:val>
            <c:numRef>
              <c:f>List1!$D$2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List1!$A$2</c:f>
              <c:strCache>
                <c:ptCount val="1"/>
                <c:pt idx="0">
                  <c:v>celý rok</c:v>
                </c:pt>
              </c:strCache>
            </c:strRef>
          </c:cat>
          <c:val>
            <c:numRef>
              <c:f>List1!$E$2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List1!$A$2</c:f>
              <c:strCache>
                <c:ptCount val="1"/>
                <c:pt idx="0">
                  <c:v>celý rok</c:v>
                </c:pt>
              </c:strCache>
            </c:strRef>
          </c:cat>
          <c:val>
            <c:numRef>
              <c:f>List1!$F$2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spPr>
              <a:solidFill>
                <a:schemeClr val="accent6">
                  <a:lumMod val="60000"/>
                  <a:lumOff val="40000"/>
                </a:schemeClr>
              </a:solidFill>
            </c:spPr>
            <c:txPr>
              <a:bodyPr/>
              <a:lstStyle/>
              <a:p>
                <a:pPr>
                  <a:defRPr sz="1400" b="1"/>
                </a:pPr>
                <a:endParaRPr lang="cs-CZ"/>
              </a:p>
            </c:txPr>
            <c:showVal val="1"/>
          </c:dLbls>
          <c:cat>
            <c:strRef>
              <c:f>List1!$A$2</c:f>
              <c:strCache>
                <c:ptCount val="1"/>
                <c:pt idx="0">
                  <c:v>celý rok</c:v>
                </c:pt>
              </c:strCache>
            </c:strRef>
          </c:cat>
          <c:val>
            <c:numRef>
              <c:f>List1!$G$2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axId val="115473408"/>
        <c:axId val="115667712"/>
      </c:barChart>
      <c:catAx>
        <c:axId val="115473408"/>
        <c:scaling>
          <c:orientation val="minMax"/>
        </c:scaling>
        <c:axPos val="b"/>
        <c:tickLblPos val="nextTo"/>
        <c:crossAx val="115667712"/>
        <c:crosses val="autoZero"/>
        <c:auto val="1"/>
        <c:lblAlgn val="ctr"/>
        <c:lblOffset val="100"/>
      </c:catAx>
      <c:valAx>
        <c:axId val="115667712"/>
        <c:scaling>
          <c:orientation val="minMax"/>
        </c:scaling>
        <c:axPos val="l"/>
        <c:majorGridlines/>
        <c:numFmt formatCode="General" sourceLinked="1"/>
        <c:tickLblPos val="nextTo"/>
        <c:crossAx val="11547340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65979</cp:lastModifiedBy>
  <cp:revision>2</cp:revision>
  <cp:lastPrinted>2017-06-15T07:20:00Z</cp:lastPrinted>
  <dcterms:created xsi:type="dcterms:W3CDTF">2019-12-30T11:50:00Z</dcterms:created>
  <dcterms:modified xsi:type="dcterms:W3CDTF">2019-12-30T11:50:00Z</dcterms:modified>
</cp:coreProperties>
</file>