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4E4754" w:rsidP="00A4458D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93"/>
        <w:gridCol w:w="1193"/>
        <w:gridCol w:w="1193"/>
        <w:gridCol w:w="1193"/>
        <w:gridCol w:w="1193"/>
        <w:gridCol w:w="1193"/>
      </w:tblGrid>
      <w:tr w:rsidR="00FA0716" w:rsidRPr="00276E35" w:rsidTr="001A0AFB">
        <w:trPr>
          <w:trHeight w:val="300"/>
        </w:trPr>
        <w:tc>
          <w:tcPr>
            <w:tcW w:w="1134" w:type="dxa"/>
            <w:shd w:val="clear" w:color="auto" w:fill="DBE5F1" w:themeFill="accent1" w:themeFillTint="33"/>
            <w:hideMark/>
          </w:tcPr>
          <w:p w:rsidR="00FA0716" w:rsidRPr="00276E35" w:rsidRDefault="00FA0716" w:rsidP="00FA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193" w:type="dxa"/>
            <w:shd w:val="clear" w:color="auto" w:fill="DBE5F1" w:themeFill="accent1" w:themeFillTint="33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FA0716" w:rsidRPr="00276E35" w:rsidTr="001A0AFB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1,37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</w:tr>
      <w:tr w:rsidR="00FA0716" w:rsidRPr="00276E35" w:rsidTr="001A0AFB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</w:tr>
      <w:tr w:rsidR="00FA0716" w:rsidRPr="00276E35" w:rsidTr="001A0AFB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</w:tr>
      <w:tr w:rsidR="00FA0716" w:rsidRPr="00276E35" w:rsidTr="001A0AFB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1,43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Default="00FA0716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A0716" w:rsidRPr="00276E35" w:rsidRDefault="00FA0716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</w:tr>
    </w:tbl>
    <w:p w:rsidR="00276E35" w:rsidRDefault="00276E35" w:rsidP="00A4458D">
      <w:pPr>
        <w:spacing w:after="0"/>
        <w:rPr>
          <w:rFonts w:ascii="Arial" w:hAnsi="Arial" w:cs="Arial"/>
        </w:rPr>
      </w:pPr>
    </w:p>
    <w:p w:rsidR="00276E35" w:rsidRDefault="00406764" w:rsidP="001A0AFB">
      <w:pPr>
        <w:ind w:left="-142"/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5340350" cy="246697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276E35" w:rsidP="00276E35">
      <w:pPr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>/V-parametr charakterizující účinnost proběhlé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ukazatelem pro dlouhodobé přežívání pacientů v hemodialyzačním léčení.</w:t>
      </w:r>
    </w:p>
    <w:p w:rsidR="00246538" w:rsidRPr="00A4458D" w:rsidRDefault="00246538" w:rsidP="00A4458D">
      <w:pPr>
        <w:spacing w:after="120"/>
        <w:rPr>
          <w:rFonts w:cs="Calibri"/>
          <w:b/>
        </w:rPr>
      </w:pPr>
      <w:r w:rsidRPr="00A4458D">
        <w:rPr>
          <w:rFonts w:cs="Calibri"/>
          <w:b/>
          <w:caps/>
        </w:rPr>
        <w:t xml:space="preserve">DLPS </w:t>
      </w:r>
      <w:r w:rsidRPr="00A4458D">
        <w:rPr>
          <w:rFonts w:cs="Calibri"/>
          <w:b/>
        </w:rPr>
        <w:t xml:space="preserve">č. LP-L023-3IK-004 </w:t>
      </w:r>
    </w:p>
    <w:p w:rsidR="00246538" w:rsidRDefault="00246538" w:rsidP="00A4458D">
      <w:pPr>
        <w:spacing w:after="0" w:line="240" w:lineRule="auto"/>
        <w:rPr>
          <w:rFonts w:cs="Calibri"/>
          <w:b/>
          <w:bCs/>
        </w:rPr>
      </w:pPr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</w:p>
    <w:p w:rsidR="00A4458D" w:rsidRPr="00246538" w:rsidRDefault="00A4458D" w:rsidP="00A4458D">
      <w:pPr>
        <w:spacing w:after="0" w:line="240" w:lineRule="auto"/>
        <w:rPr>
          <w:rFonts w:cs="Calibri"/>
          <w:b/>
        </w:rPr>
      </w:pPr>
    </w:p>
    <w:tbl>
      <w:tblPr>
        <w:tblStyle w:val="Mkatabulky"/>
        <w:tblW w:w="4833" w:type="pct"/>
        <w:tblLook w:val="04A0" w:firstRow="1" w:lastRow="0" w:firstColumn="1" w:lastColumn="0" w:noHBand="0" w:noVBand="1"/>
      </w:tblPr>
      <w:tblGrid>
        <w:gridCol w:w="3202"/>
        <w:gridCol w:w="854"/>
        <w:gridCol w:w="854"/>
        <w:gridCol w:w="854"/>
        <w:gridCol w:w="855"/>
        <w:gridCol w:w="855"/>
        <w:gridCol w:w="855"/>
      </w:tblGrid>
      <w:tr w:rsidR="001A0AFB" w:rsidRPr="005D0939" w:rsidTr="001A0AFB">
        <w:trPr>
          <w:trHeight w:val="300"/>
        </w:trPr>
        <w:tc>
          <w:tcPr>
            <w:tcW w:w="1922" w:type="pct"/>
            <w:shd w:val="clear" w:color="auto" w:fill="DBE5F1" w:themeFill="accent1" w:themeFillTint="33"/>
            <w:noWrap/>
          </w:tcPr>
          <w:p w:rsidR="001A0AFB" w:rsidRPr="00EA3EF5" w:rsidRDefault="001A0AFB" w:rsidP="001B1936"/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:rsidR="001A0AFB" w:rsidRPr="00EA3EF5" w:rsidRDefault="001A0AFB" w:rsidP="00406764">
            <w:pPr>
              <w:jc w:val="center"/>
            </w:pPr>
            <w:r w:rsidRPr="00EA3EF5">
              <w:t>2016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:rsidR="001A0AFB" w:rsidRPr="00EA3EF5" w:rsidRDefault="001A0AFB" w:rsidP="00406764">
            <w:pPr>
              <w:jc w:val="center"/>
            </w:pPr>
            <w:r w:rsidRPr="00EA3EF5">
              <w:t>2017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:rsidR="001A0AFB" w:rsidRPr="00EA3EF5" w:rsidRDefault="001A0AFB" w:rsidP="00406764">
            <w:pPr>
              <w:jc w:val="center"/>
            </w:pPr>
            <w:r w:rsidRPr="00EA3EF5">
              <w:t>2018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:rsidR="001A0AFB" w:rsidRPr="00EA3EF5" w:rsidRDefault="001A0AFB" w:rsidP="00406764">
            <w:pPr>
              <w:jc w:val="center"/>
            </w:pPr>
            <w:r>
              <w:t>2019</w:t>
            </w:r>
          </w:p>
        </w:tc>
        <w:tc>
          <w:tcPr>
            <w:tcW w:w="513" w:type="pct"/>
            <w:shd w:val="clear" w:color="auto" w:fill="DBE5F1" w:themeFill="accent1" w:themeFillTint="33"/>
          </w:tcPr>
          <w:p w:rsidR="001A0AFB" w:rsidRDefault="001A0AFB" w:rsidP="00406764">
            <w:pPr>
              <w:jc w:val="center"/>
            </w:pPr>
            <w:r>
              <w:t>2020</w:t>
            </w:r>
          </w:p>
        </w:tc>
        <w:tc>
          <w:tcPr>
            <w:tcW w:w="513" w:type="pct"/>
            <w:shd w:val="clear" w:color="auto" w:fill="DBE5F1" w:themeFill="accent1" w:themeFillTint="33"/>
          </w:tcPr>
          <w:p w:rsidR="001A0AFB" w:rsidRDefault="001A0AFB" w:rsidP="00406764">
            <w:pPr>
              <w:jc w:val="center"/>
            </w:pPr>
            <w:r>
              <w:t>2021</w:t>
            </w:r>
          </w:p>
        </w:tc>
      </w:tr>
      <w:tr w:rsidR="001A0AFB" w:rsidRPr="005D0939" w:rsidTr="001A0AFB">
        <w:trPr>
          <w:trHeight w:val="340"/>
        </w:trPr>
        <w:tc>
          <w:tcPr>
            <w:tcW w:w="1922" w:type="pct"/>
            <w:noWrap/>
            <w:vAlign w:val="center"/>
          </w:tcPr>
          <w:p w:rsidR="001A0AFB" w:rsidRPr="00EA3EF5" w:rsidRDefault="001A0AFB" w:rsidP="001A0AFB">
            <w:r w:rsidRPr="00EA3EF5">
              <w:t>Hematom po biopsii – 1.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1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2</w:t>
            </w:r>
          </w:p>
        </w:tc>
      </w:tr>
      <w:tr w:rsidR="001A0AFB" w:rsidRPr="005D0939" w:rsidTr="001A0AFB">
        <w:trPr>
          <w:trHeight w:val="340"/>
        </w:trPr>
        <w:tc>
          <w:tcPr>
            <w:tcW w:w="1922" w:type="pct"/>
            <w:noWrap/>
            <w:vAlign w:val="center"/>
          </w:tcPr>
          <w:p w:rsidR="001A0AFB" w:rsidRPr="00EA3EF5" w:rsidRDefault="001A0AFB" w:rsidP="001A0AFB">
            <w:r w:rsidRPr="00EA3EF5">
              <w:t>Hematom po biopsii – 2.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1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0</w:t>
            </w:r>
          </w:p>
        </w:tc>
      </w:tr>
      <w:tr w:rsidR="001A0AFB" w:rsidRPr="005D0939" w:rsidTr="001A0AFB">
        <w:trPr>
          <w:trHeight w:val="340"/>
        </w:trPr>
        <w:tc>
          <w:tcPr>
            <w:tcW w:w="1922" w:type="pct"/>
            <w:noWrap/>
            <w:vAlign w:val="center"/>
          </w:tcPr>
          <w:p w:rsidR="001A0AFB" w:rsidRPr="00EA3EF5" w:rsidRDefault="001A0AFB" w:rsidP="001A0AFB">
            <w:r w:rsidRPr="00EA3EF5">
              <w:t xml:space="preserve">Hematom po biopsii – 3.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4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2</w:t>
            </w:r>
          </w:p>
        </w:tc>
      </w:tr>
      <w:tr w:rsidR="001A0AFB" w:rsidRPr="005D0939" w:rsidTr="001A0AFB">
        <w:trPr>
          <w:trHeight w:val="340"/>
        </w:trPr>
        <w:tc>
          <w:tcPr>
            <w:tcW w:w="1922" w:type="pct"/>
            <w:noWrap/>
            <w:vAlign w:val="center"/>
          </w:tcPr>
          <w:p w:rsidR="001A0AFB" w:rsidRPr="00EA3EF5" w:rsidRDefault="001A0AFB" w:rsidP="001A0AFB">
            <w:r w:rsidRPr="00EA3EF5">
              <w:t xml:space="preserve">Hematom po biopsii – 4.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1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2</w:t>
            </w:r>
          </w:p>
        </w:tc>
        <w:tc>
          <w:tcPr>
            <w:tcW w:w="513" w:type="pct"/>
            <w:vAlign w:val="center"/>
          </w:tcPr>
          <w:p w:rsidR="001A0AFB" w:rsidRPr="00EA3EF5" w:rsidRDefault="001A0AFB" w:rsidP="001A0AFB">
            <w:pPr>
              <w:jc w:val="center"/>
            </w:pPr>
            <w:r>
              <w:t>1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1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0</w:t>
            </w:r>
          </w:p>
        </w:tc>
        <w:tc>
          <w:tcPr>
            <w:tcW w:w="513" w:type="pct"/>
            <w:vAlign w:val="center"/>
          </w:tcPr>
          <w:p w:rsidR="001A0AFB" w:rsidRDefault="001A0AFB" w:rsidP="001A0AFB">
            <w:pPr>
              <w:jc w:val="center"/>
            </w:pPr>
            <w:r>
              <w:t>2</w:t>
            </w:r>
          </w:p>
        </w:tc>
      </w:tr>
    </w:tbl>
    <w:p w:rsidR="00246538" w:rsidRDefault="00246538" w:rsidP="00A4458D">
      <w:pPr>
        <w:spacing w:after="0"/>
      </w:pPr>
    </w:p>
    <w:p w:rsidR="00246538" w:rsidRPr="00821D07" w:rsidRDefault="00406764" w:rsidP="00A4458D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337175" cy="20859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246538" w:rsidRPr="00821D07" w:rsidSect="00C304F0">
      <w:headerReference w:type="default" r:id="rId8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A0" w:rsidRDefault="00DC6FA0" w:rsidP="00FD042F">
      <w:pPr>
        <w:spacing w:after="0" w:line="240" w:lineRule="auto"/>
      </w:pPr>
      <w:r>
        <w:separator/>
      </w:r>
    </w:p>
  </w:endnote>
  <w:end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A0" w:rsidRDefault="00DC6FA0" w:rsidP="00FD042F">
      <w:pPr>
        <w:spacing w:after="0" w:line="240" w:lineRule="auto"/>
      </w:pPr>
      <w:r>
        <w:separator/>
      </w:r>
    </w:p>
  </w:footnote>
  <w:foot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0" w:rsidRDefault="00DC6F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FA0" w:rsidRDefault="00DC6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8283A"/>
    <w:rsid w:val="0013447B"/>
    <w:rsid w:val="0013471D"/>
    <w:rsid w:val="001A0AFB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406764"/>
    <w:rsid w:val="004B28BB"/>
    <w:rsid w:val="004B68DC"/>
    <w:rsid w:val="004E4754"/>
    <w:rsid w:val="00501F08"/>
    <w:rsid w:val="005619D7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20BAB"/>
    <w:rsid w:val="00A4458D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85A53"/>
    <w:rsid w:val="00E95758"/>
    <w:rsid w:val="00F246F9"/>
    <w:rsid w:val="00FA0716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E777FA"/>
  <w15:docId w15:val="{6BA54C21-BCED-4997-8A59-9A33706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Kt/V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shade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C-4AE5-90C4-9F9FAC796A3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1.38</c:v>
                </c:pt>
                <c:pt idx="1">
                  <c:v>1.36</c:v>
                </c:pt>
                <c:pt idx="2">
                  <c:v>1.38</c:v>
                </c:pt>
                <c:pt idx="3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C-4AE5-90C4-9F9FAC796A3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C-4AE5-90C4-9F9FAC796A3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C-4AE5-90C4-9F9FAC796A3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C-4AE5-90C4-9F9FAC796A3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1.32</c:v>
                </c:pt>
                <c:pt idx="2">
                  <c:v>1.32</c:v>
                </c:pt>
                <c:pt idx="3">
                  <c:v>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C06-B27A-99921F4FB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44352"/>
        <c:axId val="176220416"/>
      </c:barChart>
      <c:catAx>
        <c:axId val="175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220416"/>
        <c:crosses val="autoZero"/>
        <c:auto val="1"/>
        <c:lblAlgn val="ctr"/>
        <c:lblOffset val="100"/>
        <c:noMultiLvlLbl val="0"/>
      </c:catAx>
      <c:valAx>
        <c:axId val="1762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8443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Hematom po biopsii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shade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82-44B7-9B8D-C54313FEE5C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82-44B7-9B8D-C54313FEE5C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82-44B7-9B8D-C54313FEE5C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82-44B7-9B8D-C54313FEE5C3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82-44B7-9B8D-C54313FEE5C3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10C-B35D-4DEFE21E5A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239488"/>
        <c:axId val="168319616"/>
      </c:barChart>
      <c:catAx>
        <c:axId val="12823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8319616"/>
        <c:crosses val="autoZero"/>
        <c:auto val="1"/>
        <c:lblAlgn val="ctr"/>
        <c:lblOffset val="100"/>
        <c:noMultiLvlLbl val="0"/>
      </c:catAx>
      <c:valAx>
        <c:axId val="1683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82394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7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9</cp:revision>
  <cp:lastPrinted>2017-06-15T07:20:00Z</cp:lastPrinted>
  <dcterms:created xsi:type="dcterms:W3CDTF">2018-03-05T08:41:00Z</dcterms:created>
  <dcterms:modified xsi:type="dcterms:W3CDTF">2022-01-26T08:36:00Z</dcterms:modified>
</cp:coreProperties>
</file>