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821D07" w:rsidRDefault="004E16D5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 xml:space="preserve">Dětská klinika </w:t>
      </w:r>
      <w:r w:rsidR="00821D07">
        <w:rPr>
          <w:rFonts w:ascii="Arial" w:hAnsi="Arial" w:cs="Arial"/>
          <w:b/>
          <w:color w:val="00529C"/>
        </w:rPr>
        <w:t xml:space="preserve"> </w:t>
      </w:r>
    </w:p>
    <w:p w:rsidR="004B28BB" w:rsidRDefault="004E16D5" w:rsidP="00821D07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Analýza indikátorů</w:t>
      </w:r>
      <w:r w:rsidR="004B28BB" w:rsidRPr="00821D07">
        <w:rPr>
          <w:rFonts w:ascii="Arial" w:hAnsi="Arial" w:cs="Arial"/>
          <w:b/>
        </w:rPr>
        <w:t xml:space="preserve"> kvality </w:t>
      </w:r>
    </w:p>
    <w:p w:rsidR="00415C07" w:rsidRDefault="00415C07" w:rsidP="004E16D5">
      <w:pPr>
        <w:outlineLvl w:val="0"/>
        <w:rPr>
          <w:b/>
        </w:rPr>
      </w:pPr>
    </w:p>
    <w:p w:rsidR="004E16D5" w:rsidRDefault="004E16D5" w:rsidP="004E16D5">
      <w:pPr>
        <w:outlineLvl w:val="0"/>
        <w:rPr>
          <w:b/>
        </w:rPr>
      </w:pPr>
      <w:r>
        <w:rPr>
          <w:b/>
        </w:rPr>
        <w:t>DLPS č. LP-L023-DK-001 Doporučený lékařský postup při závažném poranění mozku u dětí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1138"/>
        <w:gridCol w:w="1139"/>
        <w:gridCol w:w="1138"/>
        <w:gridCol w:w="1139"/>
        <w:gridCol w:w="987"/>
        <w:gridCol w:w="987"/>
      </w:tblGrid>
      <w:tr w:rsidR="009D1FAB" w:rsidTr="009D1FAB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FAB" w:rsidRDefault="009D1FAB" w:rsidP="00415C07">
            <w:pPr>
              <w:spacing w:after="0" w:line="240" w:lineRule="auto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 w:line="240" w:lineRule="auto"/>
              <w:jc w:val="center"/>
            </w:pPr>
            <w:r>
              <w:t>2018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proofErr w:type="spellStart"/>
            <w:r>
              <w:rPr>
                <w:rFonts w:eastAsiaTheme="minorEastAsia"/>
                <w:lang w:eastAsia="cs-CZ"/>
              </w:rPr>
              <w:t>Celk</w:t>
            </w:r>
            <w:proofErr w:type="spellEnd"/>
            <w:r>
              <w:rPr>
                <w:rFonts w:eastAsiaTheme="minorEastAsia"/>
                <w:lang w:eastAsia="cs-CZ"/>
              </w:rPr>
              <w:t>.</w:t>
            </w:r>
          </w:p>
        </w:tc>
      </w:tr>
      <w:tr w:rsidR="009D1FAB" w:rsidTr="009D1FAB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FAB" w:rsidRDefault="009D1FAB" w:rsidP="00415C0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Úmrtnost v souvislosti </w:t>
            </w:r>
          </w:p>
          <w:p w:rsidR="009D1FAB" w:rsidRDefault="009D1FAB" w:rsidP="00415C07">
            <w:pPr>
              <w:spacing w:after="0" w:line="240" w:lineRule="auto"/>
            </w:pPr>
            <w:r>
              <w:rPr>
                <w:sz w:val="20"/>
                <w:szCs w:val="20"/>
              </w:rPr>
              <w:t>s poraněním mozku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O%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20%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0</w:t>
            </w:r>
            <w:r>
              <w:rPr>
                <w:rFonts w:eastAsiaTheme="minorEastAsia"/>
                <w:lang w:eastAsia="cs-CZ"/>
              </w:rPr>
              <w:t>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5%</w:t>
            </w:r>
          </w:p>
        </w:tc>
      </w:tr>
      <w:tr w:rsidR="009D1FAB" w:rsidTr="009D1FAB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FAB" w:rsidRDefault="009D1FAB" w:rsidP="00415C07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Nezvratné následky po </w:t>
            </w:r>
            <w:proofErr w:type="spellStart"/>
            <w:r>
              <w:rPr>
                <w:sz w:val="20"/>
                <w:szCs w:val="20"/>
              </w:rPr>
              <w:t>kraniocerebrálním</w:t>
            </w:r>
            <w:proofErr w:type="spellEnd"/>
            <w:r>
              <w:rPr>
                <w:sz w:val="20"/>
                <w:szCs w:val="20"/>
              </w:rPr>
              <w:t xml:space="preserve"> poranění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GOS 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GOS 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GOS 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FAB" w:rsidRDefault="009D1FAB" w:rsidP="009D1FA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  <w:r>
              <w:rPr>
                <w:rFonts w:eastAsiaTheme="minorEastAsia"/>
                <w:lang w:eastAsia="cs-CZ"/>
              </w:rPr>
              <w:t>GOS 4,8</w:t>
            </w:r>
          </w:p>
        </w:tc>
      </w:tr>
    </w:tbl>
    <w:p w:rsidR="004E16D5" w:rsidRDefault="004E16D5" w:rsidP="004E16D5">
      <w:r>
        <w:t xml:space="preserve">Sledování těchto indikátorů je vyhodnocováno 1x ročně. </w:t>
      </w:r>
    </w:p>
    <w:p w:rsidR="00E52CA7" w:rsidRDefault="00E52CA7" w:rsidP="004E16D5"/>
    <w:p w:rsidR="00E52CA7" w:rsidRDefault="00E52CA7" w:rsidP="004E16D5"/>
    <w:p w:rsidR="00E52CA7" w:rsidRPr="00E52CA7" w:rsidRDefault="00E52CA7" w:rsidP="00E52CA7">
      <w:pPr>
        <w:outlineLvl w:val="0"/>
        <w:rPr>
          <w:b/>
        </w:rPr>
      </w:pPr>
      <w:r w:rsidRPr="00E52CA7">
        <w:rPr>
          <w:b/>
        </w:rPr>
        <w:t>DLPS č. LP-L023-DK-002 Standard</w:t>
      </w:r>
      <w:r w:rsidRPr="00E52CA7">
        <w:t xml:space="preserve"> </w:t>
      </w:r>
      <w:r w:rsidRPr="00E52CA7">
        <w:rPr>
          <w:b/>
        </w:rPr>
        <w:t xml:space="preserve">péče o </w:t>
      </w:r>
      <w:proofErr w:type="spellStart"/>
      <w:r w:rsidRPr="00E52CA7">
        <w:rPr>
          <w:b/>
        </w:rPr>
        <w:t>asthma</w:t>
      </w:r>
      <w:proofErr w:type="spellEnd"/>
      <w:r w:rsidRPr="00E52CA7">
        <w:rPr>
          <w:b/>
        </w:rPr>
        <w:t xml:space="preserve"> </w:t>
      </w:r>
      <w:proofErr w:type="spellStart"/>
      <w:r w:rsidRPr="00E52CA7">
        <w:rPr>
          <w:b/>
        </w:rPr>
        <w:t>bronchiale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1563"/>
        <w:gridCol w:w="1564"/>
        <w:gridCol w:w="1563"/>
        <w:gridCol w:w="1559"/>
      </w:tblGrid>
      <w:tr w:rsidR="00E52CA7" w:rsidRPr="00E52CA7" w:rsidTr="003B6B13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CA7" w:rsidRPr="00E52CA7" w:rsidRDefault="00E52CA7" w:rsidP="003B6B13">
            <w:pPr>
              <w:spacing w:after="0" w:line="240" w:lineRule="auto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2015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2016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2018</w:t>
            </w:r>
          </w:p>
        </w:tc>
      </w:tr>
      <w:tr w:rsidR="00E52CA7" w:rsidRPr="00E52CA7" w:rsidTr="003B6B13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CA7" w:rsidRPr="00E52CA7" w:rsidRDefault="00E52CA7" w:rsidP="003B6B13">
            <w:pPr>
              <w:spacing w:after="0" w:line="240" w:lineRule="auto"/>
            </w:pPr>
            <w:r w:rsidRPr="00E52CA7">
              <w:rPr>
                <w:sz w:val="20"/>
                <w:szCs w:val="20"/>
              </w:rPr>
              <w:t xml:space="preserve">Morbidita u dětí s </w:t>
            </w:r>
            <w:proofErr w:type="gramStart"/>
            <w:r w:rsidRPr="00E52CA7">
              <w:rPr>
                <w:sz w:val="20"/>
                <w:szCs w:val="20"/>
              </w:rPr>
              <w:t>astma</w:t>
            </w:r>
            <w:proofErr w:type="gramEnd"/>
            <w:r w:rsidRPr="00E52CA7">
              <w:rPr>
                <w:sz w:val="20"/>
                <w:szCs w:val="20"/>
              </w:rPr>
              <w:t xml:space="preserve"> </w:t>
            </w:r>
            <w:proofErr w:type="spellStart"/>
            <w:r w:rsidRPr="00E52CA7">
              <w:rPr>
                <w:sz w:val="20"/>
                <w:szCs w:val="20"/>
              </w:rPr>
              <w:t>bronchiale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8%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8%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8%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</w:p>
        </w:tc>
      </w:tr>
      <w:tr w:rsidR="00E52CA7" w:rsidRPr="00E52CA7" w:rsidTr="003B6B13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CA7" w:rsidRPr="00E52CA7" w:rsidRDefault="00E52CA7" w:rsidP="003B6B13">
            <w:pPr>
              <w:spacing w:after="0" w:line="240" w:lineRule="auto"/>
            </w:pPr>
            <w:r w:rsidRPr="00E52CA7">
              <w:rPr>
                <w:sz w:val="20"/>
                <w:szCs w:val="20"/>
              </w:rPr>
              <w:t xml:space="preserve">frekvence hospitalizací pro záchvat dušnosti typu astma </w:t>
            </w:r>
            <w:proofErr w:type="spellStart"/>
            <w:r w:rsidRPr="00E52CA7">
              <w:rPr>
                <w:sz w:val="20"/>
                <w:szCs w:val="20"/>
              </w:rPr>
              <w:t>bronchiale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12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  <w:r w:rsidRPr="00E52CA7"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CA7" w:rsidRPr="00E52CA7" w:rsidRDefault="00E52CA7" w:rsidP="003B6B13">
            <w:pPr>
              <w:spacing w:after="0" w:line="240" w:lineRule="auto"/>
              <w:jc w:val="center"/>
            </w:pPr>
          </w:p>
        </w:tc>
      </w:tr>
    </w:tbl>
    <w:p w:rsidR="00E52CA7" w:rsidRPr="00E52CA7" w:rsidRDefault="00E52CA7" w:rsidP="00E52CA7">
      <w:r w:rsidRPr="00E52CA7">
        <w:t xml:space="preserve">Sledování těchto indikátorů je vyhodnocováno 1x ročně. </w:t>
      </w:r>
    </w:p>
    <w:p w:rsidR="004E16D5" w:rsidRDefault="004E16D5" w:rsidP="004E16D5">
      <w:pPr>
        <w:rPr>
          <w:b/>
        </w:rPr>
      </w:pPr>
    </w:p>
    <w:p w:rsidR="00E52CA7" w:rsidRDefault="00E52CA7" w:rsidP="004E16D5">
      <w:pPr>
        <w:rPr>
          <w:b/>
        </w:rPr>
      </w:pPr>
    </w:p>
    <w:p w:rsidR="004E16D5" w:rsidRDefault="004E16D5" w:rsidP="004E16D5">
      <w:pPr>
        <w:rPr>
          <w:b/>
        </w:rPr>
      </w:pPr>
      <w:r>
        <w:rPr>
          <w:b/>
        </w:rPr>
        <w:t xml:space="preserve">DLPS č. LP-L023-DK-003 Doporučený lékařský postup a standard pro diagnostiku a léčbu akutní </w:t>
      </w:r>
      <w:proofErr w:type="spellStart"/>
      <w:r>
        <w:rPr>
          <w:b/>
        </w:rPr>
        <w:t>lymfoblastické</w:t>
      </w:r>
      <w:proofErr w:type="spellEnd"/>
      <w:r>
        <w:rPr>
          <w:b/>
        </w:rPr>
        <w:t xml:space="preserve"> leukemie u dětí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2"/>
        <w:gridCol w:w="1564"/>
        <w:gridCol w:w="1584"/>
        <w:gridCol w:w="1564"/>
        <w:gridCol w:w="1553"/>
      </w:tblGrid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D5" w:rsidRDefault="004E16D5" w:rsidP="00415C07">
            <w:pPr>
              <w:spacing w:after="0" w:line="240" w:lineRule="auto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2018</w:t>
            </w: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 xml:space="preserve">Úmrtnost pacientů s ALL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 xml:space="preserve">Délka přežití  </w:t>
            </w:r>
            <w:proofErr w:type="gramStart"/>
            <w:r>
              <w:t>5ti</w:t>
            </w:r>
            <w:proofErr w:type="gramEnd"/>
            <w:r>
              <w:t xml:space="preserve"> </w:t>
            </w:r>
            <w:proofErr w:type="spellStart"/>
            <w:r>
              <w:t>letý</w:t>
            </w:r>
            <w:proofErr w:type="spellEnd"/>
            <w:r>
              <w:t xml:space="preserve"> 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91.6%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90.2%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90.6%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rPr>
          <w:trHeight w:val="62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proofErr w:type="spellStart"/>
            <w:r>
              <w:t>Relapsy</w:t>
            </w:r>
            <w:proofErr w:type="spellEnd"/>
            <w:r>
              <w:t xml:space="preserve"> počet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>Frekvence pozdních následků léčby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2x</w:t>
            </w:r>
            <w:r w:rsidR="00415C07">
              <w:t xml:space="preserve"> </w:t>
            </w:r>
            <w:proofErr w:type="spellStart"/>
            <w:r>
              <w:t>asept</w:t>
            </w:r>
            <w:proofErr w:type="spellEnd"/>
            <w:r>
              <w:t xml:space="preserve">. </w:t>
            </w:r>
            <w:proofErr w:type="spellStart"/>
            <w:r>
              <w:t>nekroza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D5" w:rsidRDefault="004E16D5" w:rsidP="00415C07">
            <w:pPr>
              <w:spacing w:after="0" w:line="240" w:lineRule="auto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</w:tbl>
    <w:p w:rsidR="004E16D5" w:rsidRDefault="004E16D5" w:rsidP="004E16D5">
      <w:r>
        <w:t xml:space="preserve">Sledování těchto indikátorů je vyhodnocováno 1x ročně. </w:t>
      </w:r>
    </w:p>
    <w:p w:rsidR="004E16D5" w:rsidRDefault="004E16D5" w:rsidP="004E16D5">
      <w:pPr>
        <w:rPr>
          <w:b/>
        </w:rPr>
      </w:pPr>
    </w:p>
    <w:p w:rsidR="00E52CA7" w:rsidRDefault="00E52CA7" w:rsidP="004E16D5">
      <w:pPr>
        <w:rPr>
          <w:b/>
        </w:rPr>
      </w:pPr>
    </w:p>
    <w:p w:rsidR="00E52CA7" w:rsidRDefault="00E52CA7" w:rsidP="004E16D5">
      <w:pPr>
        <w:rPr>
          <w:b/>
        </w:rPr>
      </w:pPr>
    </w:p>
    <w:p w:rsidR="004E16D5" w:rsidRDefault="004E16D5" w:rsidP="004E16D5">
      <w:pPr>
        <w:rPr>
          <w:b/>
        </w:rPr>
      </w:pPr>
      <w:r>
        <w:rPr>
          <w:b/>
        </w:rPr>
        <w:t>DLPS č. LP-L023-DK-004 Doporučený lékařský postup a standard pro diagnostiku a léčbu akutní myeloblastické leukemie u dětí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1630"/>
        <w:gridCol w:w="1631"/>
        <w:gridCol w:w="1630"/>
        <w:gridCol w:w="1477"/>
      </w:tblGrid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D5" w:rsidRDefault="004E16D5" w:rsidP="00415C07">
            <w:pPr>
              <w:spacing w:after="0" w:line="240" w:lineRule="auto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2018</w:t>
            </w: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 xml:space="preserve">Úmrtnost pacientů s AML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 pacient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 xml:space="preserve">Délka přežití </w:t>
            </w:r>
            <w:proofErr w:type="gramStart"/>
            <w:r>
              <w:t>5ti</w:t>
            </w:r>
            <w:proofErr w:type="gramEnd"/>
            <w:r>
              <w:t xml:space="preserve"> </w:t>
            </w:r>
            <w:proofErr w:type="spellStart"/>
            <w:r>
              <w:t>letý</w:t>
            </w:r>
            <w:proofErr w:type="spellEnd"/>
            <w:r>
              <w:t xml:space="preserve"> 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nehodnoceno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nehodnoceno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nehodnoceno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proofErr w:type="spellStart"/>
            <w:r>
              <w:t>Relapsy</w:t>
            </w:r>
            <w:proofErr w:type="spellEnd"/>
            <w:r>
              <w:t xml:space="preserve"> počet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>Frekvence pozdních následků léčby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</w:tbl>
    <w:p w:rsidR="004E16D5" w:rsidRDefault="004E16D5" w:rsidP="00415C07">
      <w:pPr>
        <w:spacing w:after="0"/>
      </w:pPr>
      <w:r>
        <w:t xml:space="preserve">Sledování těchto indikátorů je vyhodnocováno 1x ročně. Pozn. statisticky </w:t>
      </w:r>
      <w:proofErr w:type="spellStart"/>
      <w:r>
        <w:t>nehodnotitelné</w:t>
      </w:r>
      <w:proofErr w:type="spellEnd"/>
      <w:r>
        <w:t xml:space="preserve"> pro malý počet pacientů</w:t>
      </w:r>
    </w:p>
    <w:p w:rsidR="00415C07" w:rsidRPr="00415C07" w:rsidRDefault="00415C07" w:rsidP="00415C07">
      <w:pPr>
        <w:spacing w:after="120"/>
        <w:rPr>
          <w:b/>
        </w:rPr>
      </w:pPr>
      <w:r>
        <w:rPr>
          <w:b/>
        </w:rPr>
        <w:t xml:space="preserve">Od roku 2017 není </w:t>
      </w:r>
      <w:r w:rsidR="00606940">
        <w:rPr>
          <w:b/>
        </w:rPr>
        <w:t xml:space="preserve">tento IK </w:t>
      </w:r>
      <w:r>
        <w:rPr>
          <w:b/>
        </w:rPr>
        <w:t>hodnocen.</w:t>
      </w:r>
    </w:p>
    <w:p w:rsidR="004E16D5" w:rsidRDefault="004E16D5" w:rsidP="004E16D5"/>
    <w:p w:rsidR="004E16D5" w:rsidRDefault="004E16D5" w:rsidP="004E16D5">
      <w:pPr>
        <w:rPr>
          <w:b/>
        </w:rPr>
      </w:pPr>
    </w:p>
    <w:p w:rsidR="004E16D5" w:rsidRDefault="004E16D5" w:rsidP="004E16D5">
      <w:pPr>
        <w:rPr>
          <w:b/>
        </w:rPr>
      </w:pPr>
      <w:r>
        <w:rPr>
          <w:b/>
        </w:rPr>
        <w:t xml:space="preserve">DLPS č. LP-L023-DK-005 Doporučený lékařský postup a standard pro diagnostiku a léčbu </w:t>
      </w:r>
      <w:proofErr w:type="spellStart"/>
      <w:r>
        <w:rPr>
          <w:b/>
        </w:rPr>
        <w:t>Hodgkinského</w:t>
      </w:r>
      <w:proofErr w:type="spellEnd"/>
      <w:r>
        <w:rPr>
          <w:b/>
        </w:rPr>
        <w:t xml:space="preserve"> lymfomu u dětí a dospívajících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2"/>
        <w:gridCol w:w="1565"/>
        <w:gridCol w:w="1565"/>
        <w:gridCol w:w="1565"/>
        <w:gridCol w:w="1560"/>
      </w:tblGrid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D5" w:rsidRDefault="004E16D5" w:rsidP="00415C07">
            <w:pPr>
              <w:spacing w:after="0" w:line="240" w:lineRule="auto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2015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2018</w:t>
            </w: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 xml:space="preserve">Úmrtnost pacientů s HL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6D5" w:rsidRDefault="004E16D5" w:rsidP="00415C07">
            <w:pPr>
              <w:spacing w:after="0" w:line="240" w:lineRule="auto"/>
              <w:jc w:val="center"/>
            </w:pPr>
          </w:p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 xml:space="preserve">Délka přežití </w:t>
            </w:r>
            <w:proofErr w:type="gramStart"/>
            <w:r>
              <w:t>5ti</w:t>
            </w:r>
            <w:proofErr w:type="gramEnd"/>
            <w:r>
              <w:t xml:space="preserve"> </w:t>
            </w:r>
            <w:proofErr w:type="spellStart"/>
            <w:r>
              <w:t>letý</w:t>
            </w:r>
            <w:proofErr w:type="spellEnd"/>
            <w:r>
              <w:t xml:space="preserve"> OS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proofErr w:type="spellStart"/>
            <w:r>
              <w:t>Relapsy</w:t>
            </w:r>
            <w:proofErr w:type="spellEnd"/>
            <w:r>
              <w:t xml:space="preserve"> počet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  <w:tr w:rsidR="004E16D5" w:rsidTr="00415C0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6D5" w:rsidRDefault="004E16D5" w:rsidP="00415C07">
            <w:pPr>
              <w:spacing w:after="0" w:line="240" w:lineRule="auto"/>
            </w:pPr>
            <w:r>
              <w:t>Frekvence pozdních následků léčby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6D5" w:rsidRDefault="004E16D5" w:rsidP="00415C07">
            <w:pPr>
              <w:spacing w:after="0" w:line="240" w:lineRule="auto"/>
              <w:jc w:val="center"/>
            </w:pPr>
          </w:p>
        </w:tc>
      </w:tr>
    </w:tbl>
    <w:p w:rsidR="004E16D5" w:rsidRDefault="004E16D5" w:rsidP="004E16D5">
      <w:r>
        <w:t xml:space="preserve">Sledování těchto indikátorů je vyhodnocováno 1x ročně. </w:t>
      </w:r>
    </w:p>
    <w:sectPr w:rsidR="004E16D5" w:rsidSect="004B28BB">
      <w:headerReference w:type="default" r:id="rId6"/>
      <w:footerReference w:type="default" r:id="rId7"/>
      <w:pgSz w:w="11906" w:h="16838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07" w:rsidRDefault="00415C07" w:rsidP="00FD042F">
      <w:pPr>
        <w:spacing w:after="0" w:line="240" w:lineRule="auto"/>
      </w:pPr>
      <w:r>
        <w:separator/>
      </w:r>
    </w:p>
  </w:endnote>
  <w:endnote w:type="continuationSeparator" w:id="0">
    <w:p w:rsidR="00415C07" w:rsidRDefault="00415C07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07" w:rsidRPr="006C5BA2" w:rsidRDefault="00D062A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D062AD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D062AD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D062AD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415C07" w:rsidRPr="006C5BA2">
      <w:rPr>
        <w:rFonts w:ascii="Calibri" w:hAnsi="Calibri"/>
        <w:color w:val="706F6F"/>
        <w:sz w:val="15"/>
      </w:rPr>
      <w:t>I. P. Pavlova 185/6</w:t>
    </w:r>
    <w:r w:rsidR="00415C07" w:rsidRPr="006C5BA2">
      <w:rPr>
        <w:rFonts w:ascii="Calibri" w:hAnsi="Calibri"/>
        <w:color w:val="1D1D1B"/>
        <w:sz w:val="15"/>
      </w:rPr>
      <w:t xml:space="preserve"> </w:t>
    </w:r>
    <w:r w:rsidR="00415C07" w:rsidRPr="006C5BA2">
      <w:rPr>
        <w:rFonts w:ascii="Calibri" w:hAnsi="Calibri"/>
        <w:color w:val="1D1D1B"/>
        <w:sz w:val="15"/>
      </w:rPr>
      <w:tab/>
    </w:r>
    <w:r w:rsidR="00415C07" w:rsidRPr="006C5BA2">
      <w:rPr>
        <w:rFonts w:ascii="Calibri" w:hAnsi="Calibri"/>
        <w:b/>
        <w:color w:val="5CA6C0"/>
        <w:sz w:val="15"/>
      </w:rPr>
      <w:t xml:space="preserve">fax: </w:t>
    </w:r>
    <w:r w:rsidR="00415C07" w:rsidRPr="006C5BA2">
      <w:rPr>
        <w:rFonts w:ascii="Calibri" w:hAnsi="Calibri"/>
        <w:color w:val="706F6F"/>
        <w:sz w:val="15"/>
      </w:rPr>
      <w:t>+420 585 413 841</w:t>
    </w:r>
    <w:r w:rsidR="00415C07" w:rsidRPr="006C5BA2">
      <w:rPr>
        <w:rFonts w:ascii="Calibri" w:hAnsi="Calibri"/>
        <w:color w:val="1D1D1B"/>
        <w:sz w:val="15"/>
      </w:rPr>
      <w:tab/>
    </w:r>
    <w:r w:rsidR="00415C07" w:rsidRPr="006C5BA2">
      <w:rPr>
        <w:rFonts w:ascii="Calibri" w:hAnsi="Calibri"/>
        <w:b/>
        <w:color w:val="5CA6C0"/>
        <w:sz w:val="15"/>
      </w:rPr>
      <w:t>Bankovní spojení:</w:t>
    </w:r>
    <w:r w:rsidR="00415C07" w:rsidRPr="006C5BA2">
      <w:rPr>
        <w:rFonts w:ascii="Calibri" w:hAnsi="Calibri"/>
        <w:b/>
        <w:color w:val="5CA6C0"/>
        <w:sz w:val="15"/>
      </w:rPr>
      <w:tab/>
      <w:t xml:space="preserve">IČ: </w:t>
    </w:r>
    <w:r w:rsidR="00415C07" w:rsidRPr="006C5BA2">
      <w:rPr>
        <w:rFonts w:ascii="Calibri" w:hAnsi="Calibri"/>
        <w:color w:val="706F6F"/>
        <w:sz w:val="15"/>
      </w:rPr>
      <w:t>00098892</w:t>
    </w:r>
  </w:p>
  <w:p w:rsidR="00415C07" w:rsidRPr="006C5BA2" w:rsidRDefault="00415C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415C07" w:rsidRPr="00FD042F" w:rsidRDefault="00415C0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07" w:rsidRDefault="00415C07" w:rsidP="00FD042F">
      <w:pPr>
        <w:spacing w:after="0" w:line="240" w:lineRule="auto"/>
      </w:pPr>
      <w:r>
        <w:separator/>
      </w:r>
    </w:p>
  </w:footnote>
  <w:footnote w:type="continuationSeparator" w:id="0">
    <w:p w:rsidR="00415C07" w:rsidRDefault="00415C07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07" w:rsidRDefault="00415C07">
    <w:pPr>
      <w:pStyle w:val="Zhlav"/>
    </w:pPr>
  </w:p>
  <w:p w:rsidR="00415C07" w:rsidRDefault="00415C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A11FC"/>
    <w:rsid w:val="0013471D"/>
    <w:rsid w:val="001B5834"/>
    <w:rsid w:val="00223B6C"/>
    <w:rsid w:val="00245BEA"/>
    <w:rsid w:val="00304CDE"/>
    <w:rsid w:val="003D12AC"/>
    <w:rsid w:val="00415C07"/>
    <w:rsid w:val="004B28BB"/>
    <w:rsid w:val="004B68DC"/>
    <w:rsid w:val="004E16D5"/>
    <w:rsid w:val="00501F08"/>
    <w:rsid w:val="005C147E"/>
    <w:rsid w:val="00606940"/>
    <w:rsid w:val="00663062"/>
    <w:rsid w:val="006B359D"/>
    <w:rsid w:val="006C44C3"/>
    <w:rsid w:val="0071591E"/>
    <w:rsid w:val="007928FD"/>
    <w:rsid w:val="007A65DB"/>
    <w:rsid w:val="007D2F90"/>
    <w:rsid w:val="007E67AF"/>
    <w:rsid w:val="00800D3D"/>
    <w:rsid w:val="00821D07"/>
    <w:rsid w:val="008330B1"/>
    <w:rsid w:val="00944134"/>
    <w:rsid w:val="009D1FAB"/>
    <w:rsid w:val="00AC7273"/>
    <w:rsid w:val="00BA3C92"/>
    <w:rsid w:val="00C75EC9"/>
    <w:rsid w:val="00CB5559"/>
    <w:rsid w:val="00D062AD"/>
    <w:rsid w:val="00E52CA7"/>
    <w:rsid w:val="00EE3F0E"/>
    <w:rsid w:val="00F246F9"/>
    <w:rsid w:val="00FA2B0D"/>
    <w:rsid w:val="00FD042F"/>
    <w:rsid w:val="00FE6EA0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64561</cp:lastModifiedBy>
  <cp:revision>5</cp:revision>
  <cp:lastPrinted>2017-06-15T07:20:00Z</cp:lastPrinted>
  <dcterms:created xsi:type="dcterms:W3CDTF">2018-05-24T07:45:00Z</dcterms:created>
  <dcterms:modified xsi:type="dcterms:W3CDTF">2018-06-04T04:58:00Z</dcterms:modified>
</cp:coreProperties>
</file>