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2B1C72" w:rsidRDefault="00A478DB" w:rsidP="00A06A31">
      <w:pPr>
        <w:spacing w:before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</w:t>
      </w:r>
      <w:r w:rsidR="00A06A31">
        <w:rPr>
          <w:rFonts w:ascii="Arial" w:hAnsi="Arial" w:cs="Arial"/>
          <w:b/>
          <w:color w:val="00529C"/>
          <w:sz w:val="22"/>
          <w:szCs w:val="22"/>
        </w:rPr>
        <w:t>Ústav imunologie</w:t>
      </w:r>
      <w:r w:rsidR="008739C3">
        <w:rPr>
          <w:rFonts w:ascii="Arial" w:hAnsi="Arial" w:cs="Arial"/>
          <w:b/>
          <w:color w:val="00529C"/>
          <w:sz w:val="22"/>
          <w:szCs w:val="22"/>
        </w:rPr>
        <w:t xml:space="preserve"> </w:t>
      </w:r>
    </w:p>
    <w:p w:rsidR="00814A5C" w:rsidRDefault="00814A5C" w:rsidP="00554AF6">
      <w:pPr>
        <w:rPr>
          <w:rFonts w:ascii="Arial" w:hAnsi="Arial" w:cs="Arial"/>
          <w:sz w:val="20"/>
          <w:szCs w:val="20"/>
        </w:rPr>
      </w:pPr>
    </w:p>
    <w:p w:rsidR="00A06A31" w:rsidRDefault="00A06A31" w:rsidP="00554AF6">
      <w:pPr>
        <w:rPr>
          <w:rFonts w:ascii="Arial" w:hAnsi="Arial" w:cs="Arial"/>
          <w:sz w:val="20"/>
          <w:szCs w:val="20"/>
        </w:rPr>
      </w:pPr>
    </w:p>
    <w:p w:rsidR="00A06A31" w:rsidRPr="00252ABF" w:rsidRDefault="00A06A31" w:rsidP="00A06A31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CELONEMOCNIČNÍ INDIKÁTOR KVALITY:</w:t>
      </w:r>
    </w:p>
    <w:p w:rsidR="00A06A31" w:rsidRDefault="00A06A31" w:rsidP="00A06A31">
      <w:pPr>
        <w:ind w:left="567" w:firstLine="141"/>
        <w:rPr>
          <w:rFonts w:ascii="Arial" w:hAnsi="Arial" w:cs="Arial"/>
        </w:rPr>
      </w:pPr>
    </w:p>
    <w:p w:rsidR="00A06A31" w:rsidRPr="00A06A31" w:rsidRDefault="00A06A31" w:rsidP="00A06A31">
      <w:pPr>
        <w:ind w:left="567"/>
        <w:rPr>
          <w:rFonts w:ascii="Arial" w:hAnsi="Arial" w:cs="Arial"/>
          <w:b/>
        </w:rPr>
      </w:pPr>
      <w:r w:rsidRPr="00A06A31">
        <w:rPr>
          <w:rFonts w:ascii="Arial" w:hAnsi="Arial" w:cs="Arial"/>
          <w:b/>
        </w:rPr>
        <w:t>Záměny biologického materiálu pacientů (maximální absolutní počet zji</w:t>
      </w:r>
      <w:r w:rsidRPr="00A06A31">
        <w:rPr>
          <w:rFonts w:ascii="Arial" w:hAnsi="Arial" w:cs="Arial"/>
          <w:b/>
        </w:rPr>
        <w:t>š</w:t>
      </w:r>
      <w:r w:rsidRPr="00A06A31">
        <w:rPr>
          <w:rFonts w:ascii="Arial" w:hAnsi="Arial" w:cs="Arial"/>
          <w:b/>
        </w:rPr>
        <w:t>těných záměn ve FNOL do 100 za rok)</w:t>
      </w:r>
    </w:p>
    <w:p w:rsidR="00A06A31" w:rsidRPr="00826BA6" w:rsidRDefault="00A06A31" w:rsidP="00A06A31">
      <w:pPr>
        <w:pStyle w:val="Odstavecseseznamem"/>
        <w:spacing w:after="200" w:line="276" w:lineRule="auto"/>
        <w:jc w:val="left"/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XSpec="center" w:tblpY="-36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9B0684" w:rsidTr="00A06A31">
        <w:trPr>
          <w:cantSplit/>
          <w:trHeight w:val="307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06A31" w:rsidRPr="009B0684" w:rsidRDefault="00A06A31" w:rsidP="00A06A31">
            <w:pPr>
              <w:rPr>
                <w:rFonts w:ascii="Arial" w:hAnsi="Arial"/>
                <w:sz w:val="18"/>
              </w:rPr>
            </w:pPr>
            <w:r w:rsidRPr="009B0684">
              <w:rPr>
                <w:rFonts w:ascii="Arial" w:hAnsi="Arial"/>
                <w:b/>
                <w:sz w:val="18"/>
              </w:rPr>
              <w:t>Záměny BM zjištěné na IMUNO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B0684" w:rsidRDefault="00A06A31" w:rsidP="00A06A31">
            <w:pPr>
              <w:jc w:val="center"/>
            </w:pPr>
            <w:r w:rsidRPr="009B0684">
              <w:rPr>
                <w:rFonts w:ascii="Arial" w:hAnsi="Arial"/>
              </w:rPr>
              <w:t>01/2015 – 12/2015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B0684" w:rsidRDefault="00A06A31" w:rsidP="00A06A31">
            <w:pPr>
              <w:jc w:val="center"/>
              <w:rPr>
                <w:rFonts w:ascii="Arial" w:hAnsi="Arial"/>
              </w:rPr>
            </w:pPr>
            <w:r w:rsidRPr="009B0684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B0684" w:rsidRDefault="00A06A31" w:rsidP="00A06A31">
            <w:pPr>
              <w:jc w:val="center"/>
              <w:rPr>
                <w:rFonts w:ascii="Arial" w:hAnsi="Arial"/>
              </w:rPr>
            </w:pPr>
            <w:r w:rsidRPr="009B0684">
              <w:rPr>
                <w:rFonts w:ascii="Arial" w:hAnsi="Arial"/>
              </w:rPr>
              <w:t>01/2017 – 12/2017</w:t>
            </w:r>
          </w:p>
        </w:tc>
      </w:tr>
      <w:tr w:rsidR="00A06A31" w:rsidRPr="009B0684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B0684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Počet zjištěných záměn / odesílající pracoviště</w:t>
            </w:r>
          </w:p>
        </w:tc>
        <w:tc>
          <w:tcPr>
            <w:tcW w:w="2154" w:type="dxa"/>
            <w:vAlign w:val="center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2 / Dětská klinika</w:t>
            </w:r>
          </w:p>
        </w:tc>
        <w:tc>
          <w:tcPr>
            <w:tcW w:w="2154" w:type="dxa"/>
            <w:vAlign w:val="center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1 / Dětská klinika</w:t>
            </w:r>
          </w:p>
        </w:tc>
        <w:tc>
          <w:tcPr>
            <w:tcW w:w="2154" w:type="dxa"/>
            <w:vAlign w:val="center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A06A31" w:rsidRPr="009B0684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B0684" w:rsidRDefault="00A06A31" w:rsidP="00A06A31">
            <w:pPr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Závěr:</w:t>
            </w:r>
          </w:p>
        </w:tc>
        <w:tc>
          <w:tcPr>
            <w:tcW w:w="2154" w:type="dxa"/>
            <w:vAlign w:val="center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hlášeno jako nežádoucí událost, vzhledem k setrvalému výskytu záměn opakovaný p</w:t>
            </w:r>
            <w:r w:rsidRPr="009B0684">
              <w:rPr>
                <w:rFonts w:ascii="Arial" w:hAnsi="Arial"/>
                <w:sz w:val="18"/>
                <w:szCs w:val="18"/>
              </w:rPr>
              <w:t>o</w:t>
            </w:r>
            <w:r w:rsidRPr="009B0684">
              <w:rPr>
                <w:rFonts w:ascii="Arial" w:hAnsi="Arial"/>
                <w:sz w:val="18"/>
                <w:szCs w:val="18"/>
              </w:rPr>
              <w:t>žadavek na vrchní ses</w:t>
            </w:r>
            <w:r w:rsidRPr="009B0684">
              <w:rPr>
                <w:rFonts w:ascii="Arial" w:hAnsi="Arial"/>
                <w:sz w:val="18"/>
                <w:szCs w:val="18"/>
              </w:rPr>
              <w:t>t</w:t>
            </w:r>
            <w:r w:rsidRPr="009B0684">
              <w:rPr>
                <w:rFonts w:ascii="Arial" w:hAnsi="Arial"/>
                <w:sz w:val="18"/>
                <w:szCs w:val="18"/>
              </w:rPr>
              <w:t>ru DK o proškolení personálu odebírajícího BM</w:t>
            </w:r>
          </w:p>
        </w:tc>
        <w:tc>
          <w:tcPr>
            <w:tcW w:w="2154" w:type="dxa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hlášeno jako nežádoucí událost cestou DK, vyplněn formulář Z</w:t>
            </w:r>
            <w:r w:rsidRPr="009B0684">
              <w:rPr>
                <w:rFonts w:ascii="Arial" w:hAnsi="Arial"/>
                <w:sz w:val="18"/>
                <w:szCs w:val="18"/>
              </w:rPr>
              <w:t>á</w:t>
            </w:r>
            <w:r w:rsidRPr="009B0684">
              <w:rPr>
                <w:rFonts w:ascii="Arial" w:hAnsi="Arial"/>
                <w:sz w:val="18"/>
                <w:szCs w:val="18"/>
              </w:rPr>
              <w:t>měna BM</w:t>
            </w:r>
          </w:p>
        </w:tc>
        <w:tc>
          <w:tcPr>
            <w:tcW w:w="2154" w:type="dxa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V průběhu roku 2017 nebyla primárně na IMUNO zjištěna ani řešena žádná záměna BM.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B0684" w:rsidRDefault="00A06A31" w:rsidP="00A06A31">
            <w:pPr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Trend:</w:t>
            </w:r>
          </w:p>
        </w:tc>
        <w:tc>
          <w:tcPr>
            <w:tcW w:w="2154" w:type="dxa"/>
            <w:vAlign w:val="center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setrvalý trend</w:t>
            </w:r>
          </w:p>
        </w:tc>
        <w:tc>
          <w:tcPr>
            <w:tcW w:w="2154" w:type="dxa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setrvalý trend</w:t>
            </w:r>
          </w:p>
        </w:tc>
        <w:tc>
          <w:tcPr>
            <w:tcW w:w="2154" w:type="dxa"/>
          </w:tcPr>
          <w:p w:rsidR="00A06A31" w:rsidRPr="009B0684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setrvalý trend</w:t>
            </w:r>
          </w:p>
        </w:tc>
      </w:tr>
    </w:tbl>
    <w:p w:rsidR="00A06A31" w:rsidRPr="00252ABF" w:rsidRDefault="00A06A31" w:rsidP="00A06A31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INDIKÁTORY KVALITY SPOLEČNÉ PRO CELÝ KOMPLEMENT:</w:t>
      </w:r>
    </w:p>
    <w:p w:rsidR="00A06A31" w:rsidRPr="00E94F37" w:rsidRDefault="00A06A31" w:rsidP="00A06A31">
      <w:pPr>
        <w:pStyle w:val="Odstavecseseznamem"/>
        <w:spacing w:line="240" w:lineRule="auto"/>
        <w:ind w:left="567"/>
        <w:jc w:val="left"/>
        <w:rPr>
          <w:b/>
        </w:rPr>
      </w:pPr>
      <w:r w:rsidRPr="00E94F37">
        <w:rPr>
          <w:rFonts w:ascii="Arial" w:hAnsi="Arial" w:cs="Arial"/>
        </w:rPr>
        <w:t xml:space="preserve">   </w:t>
      </w:r>
    </w:p>
    <w:p w:rsidR="00A06A31" w:rsidRPr="00E94F37" w:rsidRDefault="00A06A31" w:rsidP="00A06A31">
      <w:pPr>
        <w:pStyle w:val="Odstavecseseznamem"/>
        <w:spacing w:line="240" w:lineRule="auto"/>
        <w:ind w:left="567"/>
        <w:jc w:val="left"/>
        <w:rPr>
          <w:b/>
        </w:rPr>
      </w:pPr>
      <w:r>
        <w:rPr>
          <w:rFonts w:ascii="Arial" w:hAnsi="Arial" w:cs="Arial"/>
        </w:rPr>
        <w:t xml:space="preserve">  </w:t>
      </w:r>
    </w:p>
    <w:p w:rsidR="00A06A31" w:rsidRPr="00252ABF" w:rsidRDefault="00A06A31" w:rsidP="00A06A31">
      <w:pPr>
        <w:spacing w:after="200" w:line="276" w:lineRule="auto"/>
        <w:ind w:left="426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t>Anketa spokojenosti s laboratorními službami od intramurálních žadatelů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1133"/>
      </w:tblGrid>
      <w:tr w:rsidR="00A06A31" w:rsidRPr="00924977" w:rsidTr="00A06A31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  <w:bookmarkStart w:id="0" w:name="_Toc311094494"/>
            <w:bookmarkStart w:id="1" w:name="_Toc311094557"/>
            <w:bookmarkStart w:id="2" w:name="_Toc311094874"/>
            <w:bookmarkStart w:id="3" w:name="_Toc311095400"/>
            <w:bookmarkStart w:id="4" w:name="_Toc311098701"/>
            <w:bookmarkStart w:id="5" w:name="_Toc314129913"/>
            <w:bookmarkStart w:id="6" w:name="_Toc348947125"/>
            <w:r w:rsidRPr="00924977">
              <w:rPr>
                <w:rFonts w:ascii="Arial" w:hAnsi="Arial"/>
                <w:sz w:val="20"/>
              </w:rPr>
              <w:t>Vyhodnocení dotazníku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92497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2017</w:t>
            </w:r>
          </w:p>
        </w:tc>
      </w:tr>
      <w:tr w:rsidR="00A06A31" w:rsidRPr="00924977" w:rsidTr="00A06A31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7" w:name="_Toc311098702"/>
            <w:bookmarkStart w:id="8" w:name="_Toc314129914"/>
            <w:bookmarkStart w:id="9" w:name="_Toc348947126"/>
            <w:bookmarkEnd w:id="7"/>
            <w:bookmarkEnd w:id="8"/>
            <w:bookmarkEnd w:id="9"/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</w:tr>
      <w:tr w:rsidR="00A06A31" w:rsidRPr="00924977" w:rsidTr="00A06A31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10" w:name="_Toc311098703"/>
            <w:bookmarkStart w:id="11" w:name="_Toc314129915"/>
            <w:bookmarkStart w:id="12" w:name="_Toc348947127"/>
            <w:bookmarkEnd w:id="10"/>
            <w:bookmarkEnd w:id="11"/>
            <w:bookmarkEnd w:id="12"/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46 respondentů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25 respondentů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41 respondentů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13" w:name="_Toc311098704"/>
            <w:bookmarkStart w:id="14" w:name="_Toc314129916"/>
            <w:bookmarkStart w:id="15" w:name="_Toc348947128"/>
            <w:bookmarkEnd w:id="13"/>
            <w:bookmarkEnd w:id="14"/>
            <w:bookmarkEnd w:id="15"/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Seznámení s podmínkami odb</w:t>
            </w:r>
            <w:r w:rsidRPr="00924977">
              <w:rPr>
                <w:rFonts w:cs="Arial"/>
                <w:sz w:val="18"/>
                <w:szCs w:val="18"/>
              </w:rPr>
              <w:t>ě</w:t>
            </w:r>
            <w:r w:rsidRPr="00924977">
              <w:rPr>
                <w:rFonts w:cs="Arial"/>
                <w:sz w:val="18"/>
                <w:szCs w:val="18"/>
              </w:rPr>
              <w:t xml:space="preserve">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1,28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Ztráta, záměna, neúplnost, neč</w:t>
            </w:r>
            <w:r w:rsidRPr="00924977">
              <w:rPr>
                <w:rFonts w:cs="Arial"/>
                <w:sz w:val="18"/>
                <w:szCs w:val="18"/>
              </w:rPr>
              <w:t>i</w:t>
            </w:r>
            <w:r w:rsidRPr="00924977">
              <w:rPr>
                <w:rFonts w:cs="Arial"/>
                <w:sz w:val="18"/>
                <w:szCs w:val="18"/>
              </w:rPr>
              <w:t xml:space="preserve">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Forma a úprava výsledku vyše</w:t>
            </w:r>
            <w:r w:rsidRPr="00924977">
              <w:rPr>
                <w:rFonts w:cs="Arial"/>
                <w:sz w:val="18"/>
                <w:szCs w:val="18"/>
              </w:rPr>
              <w:t>t</w:t>
            </w:r>
            <w:r w:rsidRPr="00924977">
              <w:rPr>
                <w:rFonts w:cs="Arial"/>
                <w:sz w:val="18"/>
                <w:szCs w:val="18"/>
              </w:rPr>
              <w:t xml:space="preserve">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b w:val="0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Komunikace s pracovníky lab</w:t>
            </w:r>
            <w:r w:rsidRPr="00924977">
              <w:rPr>
                <w:rFonts w:cs="Arial"/>
                <w:sz w:val="18"/>
                <w:szCs w:val="18"/>
              </w:rPr>
              <w:t>o</w:t>
            </w:r>
            <w:r w:rsidRPr="00924977">
              <w:rPr>
                <w:rFonts w:cs="Arial"/>
                <w:sz w:val="18"/>
                <w:szCs w:val="18"/>
              </w:rPr>
              <w:t xml:space="preserve">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Orientace v Katalogu laborato</w:t>
            </w:r>
            <w:r w:rsidRPr="00924977">
              <w:rPr>
                <w:rFonts w:cs="Arial"/>
                <w:sz w:val="18"/>
                <w:szCs w:val="18"/>
              </w:rPr>
              <w:t>r</w:t>
            </w:r>
            <w:r w:rsidRPr="00924977">
              <w:rPr>
                <w:rFonts w:cs="Arial"/>
                <w:sz w:val="18"/>
                <w:szCs w:val="18"/>
              </w:rPr>
              <w:t>ních vyšetření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1,26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setrvalý trend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Výtěžnost * - počet dotazníků vyplněných žadateli o vyšetření z FNOL na </w:t>
            </w:r>
            <w:proofErr w:type="spellStart"/>
            <w:r w:rsidRPr="00924977">
              <w:rPr>
                <w:rFonts w:ascii="Arial" w:hAnsi="Arial"/>
                <w:sz w:val="18"/>
              </w:rPr>
              <w:t>AltusPortal</w:t>
            </w:r>
            <w:proofErr w:type="spellEnd"/>
          </w:p>
        </w:tc>
      </w:tr>
    </w:tbl>
    <w:p w:rsidR="00A06A31" w:rsidRDefault="00A06A31" w:rsidP="00A06A31">
      <w:pPr>
        <w:pStyle w:val="Nadpis3"/>
        <w:rPr>
          <w:rFonts w:ascii="Arial" w:hAnsi="Arial" w:cs="Arial"/>
          <w:color w:val="auto"/>
        </w:rPr>
      </w:pPr>
      <w:bookmarkStart w:id="16" w:name="_Toc348947129"/>
    </w:p>
    <w:p w:rsidR="00A06A31" w:rsidRDefault="00A06A31" w:rsidP="00A06A31">
      <w:pPr>
        <w:pStyle w:val="Nadpis3"/>
        <w:rPr>
          <w:rFonts w:ascii="Arial" w:hAnsi="Arial" w:cs="Arial"/>
          <w:color w:val="auto"/>
        </w:rPr>
      </w:pPr>
    </w:p>
    <w:p w:rsidR="00A06A31" w:rsidRDefault="00A06A31" w:rsidP="00A06A31">
      <w:pPr>
        <w:pStyle w:val="Nadpis3"/>
        <w:rPr>
          <w:rFonts w:ascii="Arial" w:hAnsi="Arial" w:cs="Arial"/>
          <w:color w:val="auto"/>
        </w:rPr>
      </w:pPr>
    </w:p>
    <w:p w:rsidR="00A06A31" w:rsidRDefault="00A06A31" w:rsidP="00A06A31"/>
    <w:p w:rsidR="00A06A31" w:rsidRDefault="00A06A31" w:rsidP="00A06A31"/>
    <w:p w:rsidR="00A06A31" w:rsidRDefault="00A06A31" w:rsidP="00A06A31"/>
    <w:p w:rsidR="00A06A31" w:rsidRPr="00A06A31" w:rsidRDefault="00A06A31" w:rsidP="00A06A31">
      <w:pPr>
        <w:pStyle w:val="Nadpis3"/>
        <w:ind w:left="284"/>
        <w:rPr>
          <w:rFonts w:ascii="Arial" w:hAnsi="Arial" w:cs="Arial"/>
          <w:color w:val="auto"/>
          <w:sz w:val="24"/>
          <w:szCs w:val="24"/>
        </w:rPr>
      </w:pPr>
      <w:r w:rsidRPr="00A06A31">
        <w:rPr>
          <w:rFonts w:ascii="Arial" w:hAnsi="Arial" w:cs="Arial"/>
          <w:color w:val="auto"/>
          <w:sz w:val="24"/>
          <w:szCs w:val="24"/>
        </w:rPr>
        <w:t xml:space="preserve">Anketa spokojenosti s laboratorními službami od </w:t>
      </w:r>
      <w:proofErr w:type="spellStart"/>
      <w:r w:rsidRPr="00A06A31">
        <w:rPr>
          <w:rFonts w:ascii="Arial" w:hAnsi="Arial" w:cs="Arial"/>
          <w:color w:val="auto"/>
          <w:sz w:val="24"/>
          <w:szCs w:val="24"/>
        </w:rPr>
        <w:t>extramurálních</w:t>
      </w:r>
      <w:proofErr w:type="spellEnd"/>
      <w:r w:rsidRPr="00A06A31">
        <w:rPr>
          <w:rFonts w:ascii="Arial" w:hAnsi="Arial" w:cs="Arial"/>
          <w:color w:val="auto"/>
          <w:sz w:val="24"/>
          <w:szCs w:val="24"/>
        </w:rPr>
        <w:t xml:space="preserve"> žadat</w:t>
      </w:r>
      <w:r w:rsidRPr="00A06A31">
        <w:rPr>
          <w:rFonts w:ascii="Arial" w:hAnsi="Arial" w:cs="Arial"/>
          <w:color w:val="auto"/>
          <w:sz w:val="24"/>
          <w:szCs w:val="24"/>
        </w:rPr>
        <w:t>e</w:t>
      </w:r>
      <w:r w:rsidRPr="00A06A31">
        <w:rPr>
          <w:rFonts w:ascii="Arial" w:hAnsi="Arial" w:cs="Arial"/>
          <w:color w:val="auto"/>
          <w:sz w:val="24"/>
          <w:szCs w:val="24"/>
        </w:rPr>
        <w:t>lů</w:t>
      </w:r>
      <w:bookmarkEnd w:id="16"/>
    </w:p>
    <w:p w:rsidR="00A06A31" w:rsidRPr="00252ABF" w:rsidRDefault="00A06A31" w:rsidP="00A06A31"/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993"/>
      </w:tblGrid>
      <w:tr w:rsidR="00A06A31" w:rsidRPr="00826BA6" w:rsidTr="00A06A31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  <w:bookmarkStart w:id="17" w:name="_Toc311094495"/>
            <w:bookmarkStart w:id="18" w:name="_Toc311094558"/>
            <w:bookmarkStart w:id="19" w:name="_Toc311094875"/>
            <w:bookmarkStart w:id="20" w:name="_Toc311095401"/>
            <w:bookmarkStart w:id="21" w:name="_Toc311098706"/>
            <w:bookmarkStart w:id="22" w:name="_Toc314129918"/>
            <w:bookmarkStart w:id="23" w:name="_Toc348947130"/>
            <w:r w:rsidRPr="00924977">
              <w:rPr>
                <w:rFonts w:ascii="Arial" w:hAnsi="Arial"/>
                <w:sz w:val="20"/>
              </w:rPr>
              <w:t>Vyhodnocení dotazníku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92497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2017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24" w:name="_Toc311098707"/>
            <w:bookmarkStart w:id="25" w:name="_Toc314129919"/>
            <w:bookmarkStart w:id="26" w:name="_Toc348947131"/>
            <w:bookmarkEnd w:id="24"/>
            <w:bookmarkEnd w:id="25"/>
            <w:bookmarkEnd w:id="26"/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27" w:name="_Toc311098708"/>
            <w:bookmarkStart w:id="28" w:name="_Toc314129920"/>
            <w:bookmarkStart w:id="29" w:name="_Toc348947132"/>
            <w:bookmarkEnd w:id="27"/>
            <w:bookmarkEnd w:id="28"/>
            <w:bookmarkEnd w:id="29"/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46,8%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48,9%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51,1%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  <w:bookmarkStart w:id="30" w:name="_Toc311098709"/>
            <w:bookmarkStart w:id="31" w:name="_Toc314129921"/>
            <w:bookmarkStart w:id="32" w:name="_Toc348947133"/>
            <w:bookmarkEnd w:id="30"/>
            <w:bookmarkEnd w:id="31"/>
            <w:bookmarkEnd w:id="32"/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A06A31" w:rsidRPr="00924977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Seznámení s podmínkami odb</w:t>
            </w:r>
            <w:r w:rsidRPr="00924977">
              <w:rPr>
                <w:rFonts w:cs="Arial"/>
                <w:sz w:val="18"/>
                <w:szCs w:val="18"/>
              </w:rPr>
              <w:t>ě</w:t>
            </w:r>
            <w:r w:rsidRPr="00924977">
              <w:rPr>
                <w:rFonts w:cs="Arial"/>
                <w:sz w:val="18"/>
                <w:szCs w:val="18"/>
              </w:rPr>
              <w:t xml:space="preserve">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Ztráta, záměna, neúplnost, neč</w:t>
            </w:r>
            <w:r w:rsidRPr="00924977">
              <w:rPr>
                <w:rFonts w:cs="Arial"/>
                <w:sz w:val="18"/>
                <w:szCs w:val="18"/>
              </w:rPr>
              <w:t>i</w:t>
            </w:r>
            <w:r w:rsidRPr="00924977">
              <w:rPr>
                <w:rFonts w:cs="Arial"/>
                <w:sz w:val="18"/>
                <w:szCs w:val="18"/>
              </w:rPr>
              <w:t xml:space="preserve">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Forma a úprava výsledku vyše</w:t>
            </w:r>
            <w:r w:rsidRPr="00924977">
              <w:rPr>
                <w:rFonts w:cs="Arial"/>
                <w:sz w:val="18"/>
                <w:szCs w:val="18"/>
              </w:rPr>
              <w:t>t</w:t>
            </w:r>
            <w:r w:rsidRPr="00924977">
              <w:rPr>
                <w:rFonts w:cs="Arial"/>
                <w:sz w:val="18"/>
                <w:szCs w:val="18"/>
              </w:rPr>
              <w:t xml:space="preserve">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b w:val="0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Komunikace s pracovníky lab</w:t>
            </w:r>
            <w:r w:rsidRPr="00924977">
              <w:rPr>
                <w:rFonts w:cs="Arial"/>
                <w:sz w:val="18"/>
                <w:szCs w:val="18"/>
              </w:rPr>
              <w:t>o</w:t>
            </w:r>
            <w:r w:rsidRPr="00924977">
              <w:rPr>
                <w:rFonts w:cs="Arial"/>
                <w:sz w:val="18"/>
                <w:szCs w:val="18"/>
              </w:rPr>
              <w:t xml:space="preserve">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24977" w:rsidRDefault="00A06A31" w:rsidP="00A06A31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</w:t>
            </w:r>
            <w:proofErr w:type="gramStart"/>
            <w:r w:rsidRPr="00924977">
              <w:rPr>
                <w:rFonts w:ascii="Arial" w:hAnsi="Arial"/>
                <w:sz w:val="18"/>
              </w:rPr>
              <w:t>trend –komentář</w:t>
            </w:r>
            <w:proofErr w:type="gramEnd"/>
            <w:r w:rsidRPr="00924977">
              <w:rPr>
                <w:rFonts w:ascii="Arial" w:hAnsi="Arial"/>
                <w:sz w:val="18"/>
              </w:rPr>
              <w:t xml:space="preserve"> k nabídce vyš. </w:t>
            </w:r>
            <w:proofErr w:type="spellStart"/>
            <w:r w:rsidRPr="00924977">
              <w:rPr>
                <w:rFonts w:ascii="Arial" w:hAnsi="Arial"/>
                <w:sz w:val="18"/>
              </w:rPr>
              <w:t>rekomb</w:t>
            </w:r>
            <w:proofErr w:type="spellEnd"/>
            <w:r w:rsidRPr="00924977">
              <w:rPr>
                <w:rFonts w:ascii="Arial" w:hAnsi="Arial"/>
                <w:sz w:val="18"/>
              </w:rPr>
              <w:t>. potravin</w:t>
            </w:r>
            <w:r w:rsidRPr="00924977">
              <w:rPr>
                <w:rFonts w:ascii="Arial" w:hAnsi="Arial"/>
                <w:sz w:val="18"/>
              </w:rPr>
              <w:t>o</w:t>
            </w:r>
            <w:r w:rsidRPr="00924977">
              <w:rPr>
                <w:rFonts w:ascii="Arial" w:hAnsi="Arial"/>
                <w:sz w:val="18"/>
              </w:rPr>
              <w:t>vých alergenů nerel</w:t>
            </w:r>
            <w:r w:rsidRPr="00924977">
              <w:rPr>
                <w:rFonts w:ascii="Arial" w:hAnsi="Arial"/>
                <w:sz w:val="18"/>
              </w:rPr>
              <w:t>e</w:t>
            </w:r>
            <w:r w:rsidRPr="00924977">
              <w:rPr>
                <w:rFonts w:ascii="Arial" w:hAnsi="Arial"/>
                <w:sz w:val="18"/>
              </w:rPr>
              <w:t>vantní (zavedeno 2014 a žadatel informován)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A06A31" w:rsidRPr="00924977" w:rsidRDefault="00A06A31" w:rsidP="00A06A31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setrvalý trend – př</w:t>
            </w:r>
            <w:r w:rsidRPr="00924977">
              <w:rPr>
                <w:rFonts w:ascii="Arial" w:hAnsi="Arial"/>
                <w:sz w:val="18"/>
              </w:rPr>
              <w:t>i</w:t>
            </w:r>
            <w:r w:rsidRPr="00924977">
              <w:rPr>
                <w:rFonts w:ascii="Arial" w:hAnsi="Arial"/>
                <w:sz w:val="18"/>
              </w:rPr>
              <w:t>pomínky / komentáře nezaznamenány od žádného z žadatelů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92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31" w:rsidRPr="00924977" w:rsidRDefault="00A06A31" w:rsidP="00A06A31">
            <w:pPr>
              <w:spacing w:before="60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Výtěžnost * - počet odevzdaných dotazníků/počet obeslaných </w:t>
            </w:r>
            <w:proofErr w:type="spellStart"/>
            <w:r w:rsidRPr="00924977">
              <w:rPr>
                <w:rFonts w:ascii="Arial" w:hAnsi="Arial"/>
                <w:sz w:val="18"/>
              </w:rPr>
              <w:t>extramurálních</w:t>
            </w:r>
            <w:proofErr w:type="spellEnd"/>
            <w:r w:rsidRPr="00924977">
              <w:rPr>
                <w:rFonts w:ascii="Arial" w:hAnsi="Arial"/>
                <w:sz w:val="18"/>
              </w:rPr>
              <w:t xml:space="preserve"> pracovišť</w:t>
            </w:r>
          </w:p>
        </w:tc>
      </w:tr>
    </w:tbl>
    <w:p w:rsidR="00A06A31" w:rsidRDefault="00A06A31" w:rsidP="00A06A31">
      <w:pPr>
        <w:spacing w:after="200" w:line="276" w:lineRule="auto"/>
        <w:ind w:left="708"/>
        <w:rPr>
          <w:rFonts w:ascii="Arial" w:hAnsi="Arial" w:cs="Arial"/>
          <w:highlight w:val="yellow"/>
        </w:rPr>
      </w:pPr>
    </w:p>
    <w:p w:rsidR="00A06A31" w:rsidRPr="00252ABF" w:rsidRDefault="00A06A31" w:rsidP="00A06A31">
      <w:pPr>
        <w:spacing w:after="200" w:line="276" w:lineRule="auto"/>
        <w:ind w:left="284" w:right="-569"/>
        <w:rPr>
          <w:rFonts w:ascii="Arial" w:hAnsi="Arial" w:cs="Arial"/>
          <w:b/>
          <w:highlight w:val="yellow"/>
        </w:rPr>
      </w:pPr>
      <w:r w:rsidRPr="00252ABF">
        <w:rPr>
          <w:rFonts w:ascii="Arial" w:hAnsi="Arial" w:cs="Arial"/>
          <w:b/>
        </w:rPr>
        <w:t>Procento úspěšnosti v cyklech externí kontroly kvality v jednotlivých laborat</w:t>
      </w:r>
      <w:r w:rsidRPr="00252ABF">
        <w:rPr>
          <w:rFonts w:ascii="Arial" w:hAnsi="Arial" w:cs="Arial"/>
          <w:b/>
        </w:rPr>
        <w:t>o</w:t>
      </w:r>
      <w:r w:rsidRPr="00252ABF">
        <w:rPr>
          <w:rFonts w:ascii="Arial" w:hAnsi="Arial" w:cs="Arial"/>
          <w:b/>
        </w:rPr>
        <w:t>řích</w:t>
      </w:r>
    </w:p>
    <w:tbl>
      <w:tblPr>
        <w:tblW w:w="95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5"/>
        <w:gridCol w:w="2268"/>
        <w:gridCol w:w="2268"/>
        <w:gridCol w:w="2268"/>
      </w:tblGrid>
      <w:tr w:rsidR="00A06A31" w:rsidRPr="00826BA6" w:rsidTr="00A06A31">
        <w:trPr>
          <w:cantSplit/>
          <w:trHeight w:val="307"/>
        </w:trPr>
        <w:tc>
          <w:tcPr>
            <w:tcW w:w="2795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b/>
                <w:sz w:val="18"/>
                <w:szCs w:val="22"/>
                <w:lang w:eastAsia="en-US"/>
              </w:rPr>
              <w:t xml:space="preserve">Parametry EKK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01/2015 – 12/2015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01/2016 – 12/2016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01/2017 – 12/2017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06A31" w:rsidRPr="008921EF" w:rsidRDefault="00A06A31" w:rsidP="00A06A31">
            <w:pPr>
              <w:spacing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HUM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Sledování počtu kontrolních vyšetření a % úspěšnosti z ročního přehledu oproti pře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cházejícímu období (min. úspěšnost 80%)</w:t>
            </w:r>
          </w:p>
        </w:tc>
        <w:tc>
          <w:tcPr>
            <w:tcW w:w="2268" w:type="dxa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Počet: 72 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AIH 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AIM       100%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CRP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IGIT 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RF         100%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TIE  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        92%</w:t>
            </w:r>
            <w:proofErr w:type="gramEnd"/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AL          100%</w:t>
            </w:r>
            <w:proofErr w:type="gramEnd"/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proofErr w:type="spell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Prevecal</w:t>
            </w:r>
            <w:proofErr w:type="spell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100%</w:t>
            </w:r>
          </w:p>
        </w:tc>
        <w:tc>
          <w:tcPr>
            <w:tcW w:w="2268" w:type="dxa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Počet: 72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AIH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AIM        94%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CRP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IGIT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RF         100%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TIE  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      100%</w:t>
            </w:r>
            <w:proofErr w:type="gramEnd"/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AL          100%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spell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Prevecal</w:t>
            </w:r>
            <w:proofErr w:type="spell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100%</w:t>
            </w:r>
          </w:p>
        </w:tc>
        <w:tc>
          <w:tcPr>
            <w:tcW w:w="2268" w:type="dxa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Počet: 72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AIH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AIM     100%</w:t>
            </w:r>
            <w:proofErr w:type="gramEnd"/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CRP    100%</w:t>
            </w:r>
          </w:p>
          <w:p w:rsidR="00A06A31" w:rsidRPr="00CC219C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IGIT     100%</w:t>
            </w:r>
          </w:p>
          <w:p w:rsidR="00A06A31" w:rsidRPr="00CC219C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RF       100%</w:t>
            </w:r>
            <w:proofErr w:type="gramEnd"/>
          </w:p>
          <w:p w:rsidR="00A06A31" w:rsidRPr="00CC219C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TIE      100%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    100%</w:t>
            </w:r>
            <w:proofErr w:type="gramEnd"/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AL        100%</w:t>
            </w:r>
            <w:proofErr w:type="gramEnd"/>
          </w:p>
          <w:p w:rsidR="00A06A31" w:rsidRPr="00826BA6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Prevecal</w:t>
            </w:r>
            <w:proofErr w:type="spellEnd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100%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BUN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Sledování počtu kontro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ních vyšetření a % úspěšnosti z ročního přehledu oproti pře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cházejícímu období (min. úspěšnost 80%)</w:t>
            </w:r>
          </w:p>
        </w:tc>
        <w:tc>
          <w:tcPr>
            <w:tcW w:w="2268" w:type="dxa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Počet:4 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                   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</w:t>
            </w:r>
            <w:r w:rsidRPr="008921E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IF 100%</w:t>
            </w:r>
          </w:p>
        </w:tc>
        <w:tc>
          <w:tcPr>
            <w:tcW w:w="2268" w:type="dxa"/>
            <w:vAlign w:val="center"/>
          </w:tcPr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Počet:4 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                 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</w:t>
            </w:r>
            <w:r w:rsidRPr="008921E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IF 100% </w:t>
            </w:r>
          </w:p>
        </w:tc>
        <w:tc>
          <w:tcPr>
            <w:tcW w:w="2268" w:type="dxa"/>
            <w:vAlign w:val="center"/>
          </w:tcPr>
          <w:p w:rsidR="00A06A31" w:rsidRPr="00CC219C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Počet:4 </w:t>
            </w:r>
          </w:p>
          <w:p w:rsidR="00A06A31" w:rsidRPr="00CC219C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                  </w:t>
            </w:r>
          </w:p>
          <w:p w:rsidR="00A06A31" w:rsidRPr="00826BA6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</w:t>
            </w:r>
            <w:r w:rsidRPr="00CC21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IF 100% 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8921EF" w:rsidRDefault="00A06A31" w:rsidP="00A06A31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HLA 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Sledování splnění kritérií pro </w:t>
            </w:r>
            <w:proofErr w:type="gramStart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EKK</w:t>
            </w:r>
            <w:proofErr w:type="gramEnd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uvedených v pravidlech Evropské federace pro imunogenetiku, poro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nání trendu oproti předcházejícímu období (min. úspěšnost 90%, CM 85%, protilátky 75%)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 32/ 100%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protilátky   12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CM          72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 99%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DNA: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44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32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protilátky  12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CM         72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 99%</w:t>
            </w:r>
          </w:p>
          <w:p w:rsidR="00A06A31" w:rsidRPr="008921EF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</w:t>
            </w: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:</w:t>
            </w:r>
          </w:p>
          <w:p w:rsidR="00A06A31" w:rsidRPr="008921EF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typizace   </w:t>
            </w:r>
            <w: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56</w:t>
            </w:r>
            <w:proofErr w:type="gram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</w:tc>
        <w:tc>
          <w:tcPr>
            <w:tcW w:w="2268" w:type="dxa"/>
          </w:tcPr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22</w:t>
            </w:r>
            <w:proofErr w:type="gramEnd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protilátky  12</w:t>
            </w:r>
            <w:proofErr w:type="gramEnd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96%</w:t>
            </w:r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CM           78</w:t>
            </w:r>
            <w:proofErr w:type="gramEnd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 100%</w:t>
            </w:r>
          </w:p>
          <w:p w:rsidR="00A06A31" w:rsidRPr="00CC219C" w:rsidRDefault="00A06A31" w:rsidP="00A06A31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</w:t>
            </w: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:</w:t>
            </w:r>
          </w:p>
          <w:p w:rsidR="00A06A31" w:rsidRPr="00826BA6" w:rsidRDefault="00A06A31" w:rsidP="00A06A31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  <w:proofErr w:type="gramStart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56</w:t>
            </w:r>
            <w:proofErr w:type="gramEnd"/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98%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D9D9D9"/>
          </w:tcPr>
          <w:p w:rsidR="00A06A31" w:rsidRPr="008921EF" w:rsidRDefault="00A06A31" w:rsidP="00A06A31">
            <w:pPr>
              <w:snapToGrid w:val="0"/>
              <w:spacing w:before="40" w:after="40" w:line="276" w:lineRule="auto"/>
              <w:rPr>
                <w:rFonts w:ascii="Arial" w:eastAsiaTheme="minorHAnsi" w:hAnsi="Arial" w:cs="Arial"/>
                <w:bCs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="Arial"/>
                <w:bCs/>
                <w:sz w:val="18"/>
                <w:szCs w:val="22"/>
                <w:lang w:eastAsia="en-US"/>
              </w:rPr>
              <w:t>Závěr: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EKK </w:t>
            </w:r>
            <w:proofErr w:type="gramStart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vyhověly</w:t>
            </w:r>
            <w:proofErr w:type="gramEnd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stanov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ným kritériím úspěšnosti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EKK </w:t>
            </w:r>
            <w:proofErr w:type="gramStart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vyhověly</w:t>
            </w:r>
            <w:proofErr w:type="gramEnd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stanov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ným kritériím úspěšnosti</w:t>
            </w:r>
          </w:p>
        </w:tc>
        <w:tc>
          <w:tcPr>
            <w:tcW w:w="2268" w:type="dxa"/>
          </w:tcPr>
          <w:p w:rsidR="00A06A31" w:rsidRPr="00826BA6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highlight w:val="yellow"/>
                <w:lang w:eastAsia="en-US"/>
              </w:rPr>
            </w:pPr>
            <w:r w:rsidRPr="00CC21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EKK </w:t>
            </w:r>
            <w:proofErr w:type="gramStart"/>
            <w:r w:rsidRPr="00CC21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vyhověly</w:t>
            </w:r>
            <w:proofErr w:type="gramEnd"/>
            <w:r w:rsidRPr="00CC21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stanov</w:t>
            </w:r>
            <w:r w:rsidRPr="00CC21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CC21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ným kritériím úspěšnosti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795" w:type="dxa"/>
            <w:tcBorders>
              <w:left w:val="single" w:sz="4" w:space="0" w:color="auto"/>
            </w:tcBorders>
            <w:shd w:val="clear" w:color="auto" w:fill="D9D9D9"/>
          </w:tcPr>
          <w:p w:rsidR="00A06A31" w:rsidRPr="008921EF" w:rsidRDefault="00A06A31" w:rsidP="00A06A31">
            <w:pPr>
              <w:spacing w:before="40" w:after="40"/>
              <w:rPr>
                <w:rFonts w:ascii="Arial" w:hAnsi="Arial"/>
                <w:sz w:val="18"/>
              </w:rPr>
            </w:pPr>
            <w:r w:rsidRPr="008921EF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bez výrazných změn</w:t>
            </w:r>
          </w:p>
        </w:tc>
        <w:tc>
          <w:tcPr>
            <w:tcW w:w="2268" w:type="dxa"/>
          </w:tcPr>
          <w:p w:rsidR="00A06A31" w:rsidRPr="008921EF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setrvalý trend</w:t>
            </w:r>
          </w:p>
        </w:tc>
        <w:tc>
          <w:tcPr>
            <w:tcW w:w="2268" w:type="dxa"/>
          </w:tcPr>
          <w:p w:rsidR="00A06A31" w:rsidRPr="00826BA6" w:rsidRDefault="00A06A31" w:rsidP="00A06A31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highlight w:val="yellow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bez výrazných změn</w:t>
            </w:r>
          </w:p>
        </w:tc>
      </w:tr>
    </w:tbl>
    <w:p w:rsidR="00A06A31" w:rsidRPr="00826BA6" w:rsidRDefault="00A06A31" w:rsidP="00A06A31">
      <w:pPr>
        <w:spacing w:after="200" w:line="276" w:lineRule="auto"/>
        <w:ind w:left="708"/>
        <w:rPr>
          <w:rFonts w:ascii="Arial" w:hAnsi="Arial" w:cs="Arial"/>
          <w:highlight w:val="yellow"/>
        </w:rPr>
      </w:pPr>
    </w:p>
    <w:p w:rsidR="00A06A31" w:rsidRPr="00252ABF" w:rsidRDefault="00A06A31" w:rsidP="00A06A31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Indikátory KVALITY IM</w:t>
      </w:r>
      <w:r>
        <w:rPr>
          <w:rFonts w:ascii="Arial" w:hAnsi="Arial" w:cs="Arial"/>
          <w:b/>
          <w:u w:val="single"/>
        </w:rPr>
        <w:t>UNO</w:t>
      </w:r>
    </w:p>
    <w:p w:rsidR="00A06A31" w:rsidRPr="009C03B5" w:rsidRDefault="00A06A31" w:rsidP="00A06A31">
      <w:pPr>
        <w:ind w:firstLine="708"/>
        <w:rPr>
          <w:rFonts w:ascii="Arial" w:hAnsi="Arial" w:cs="Arial"/>
          <w:b/>
          <w:u w:val="single"/>
        </w:rPr>
      </w:pPr>
    </w:p>
    <w:p w:rsidR="00A06A31" w:rsidRDefault="00A06A31" w:rsidP="00A06A31">
      <w:pPr>
        <w:ind w:left="142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t>Počet nesprávných odběrů BM vzhledem k požadovaným vyšetřením (</w:t>
      </w:r>
      <w:r w:rsidRPr="00252ABF">
        <w:rPr>
          <w:rFonts w:ascii="Arial" w:hAnsi="Arial" w:cs="Arial"/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A06A31" w:rsidRPr="00252ABF" w:rsidRDefault="00A06A31" w:rsidP="00A06A31">
      <w:pPr>
        <w:ind w:left="142" w:firstLine="567"/>
        <w:rPr>
          <w:rFonts w:ascii="Arial" w:hAnsi="Arial" w:cs="Arial"/>
          <w:b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9C03B5" w:rsidTr="00A06A31">
        <w:trPr>
          <w:cantSplit/>
          <w:trHeight w:val="2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jc w:val="center"/>
            </w:pPr>
            <w:r w:rsidRPr="009C03B5">
              <w:rPr>
                <w:rFonts w:ascii="Arial" w:hAnsi="Arial"/>
              </w:rPr>
              <w:t>01/2015 – 12/2015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01/2017 – 12/2017</w:t>
            </w:r>
          </w:p>
        </w:tc>
      </w:tr>
      <w:tr w:rsidR="00A06A31" w:rsidRPr="009C03B5" w:rsidTr="00A06A31">
        <w:trPr>
          <w:cantSplit/>
          <w:trHeight w:val="206"/>
        </w:trPr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</w:tr>
      <w:tr w:rsidR="00A06A31" w:rsidRPr="009C03B5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Počet nesprávných odběrů BM</w:t>
            </w:r>
          </w:p>
        </w:tc>
        <w:tc>
          <w:tcPr>
            <w:tcW w:w="2154" w:type="dxa"/>
            <w:vAlign w:val="center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26 / 0,1%</w:t>
            </w:r>
          </w:p>
        </w:tc>
        <w:tc>
          <w:tcPr>
            <w:tcW w:w="2154" w:type="dxa"/>
            <w:vAlign w:val="center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27/0,1%</w:t>
            </w:r>
          </w:p>
        </w:tc>
        <w:tc>
          <w:tcPr>
            <w:tcW w:w="2154" w:type="dxa"/>
            <w:vAlign w:val="center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30/0,1%</w:t>
            </w:r>
          </w:p>
        </w:tc>
      </w:tr>
      <w:tr w:rsidR="00A06A31" w:rsidRPr="009C03B5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9C03B5" w:rsidRDefault="00A06A31" w:rsidP="00A06A31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C03B5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9C03B5" w:rsidRDefault="00A06A31" w:rsidP="00A06A3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nehodnoceno, sledov</w:t>
            </w:r>
            <w:r w:rsidRPr="009C03B5">
              <w:rPr>
                <w:rFonts w:ascii="Arial" w:hAnsi="Arial"/>
                <w:sz w:val="18"/>
                <w:szCs w:val="18"/>
              </w:rPr>
              <w:t>á</w:t>
            </w:r>
            <w:r w:rsidRPr="009C03B5">
              <w:rPr>
                <w:rFonts w:ascii="Arial" w:hAnsi="Arial"/>
                <w:sz w:val="18"/>
                <w:szCs w:val="18"/>
              </w:rPr>
              <w:t>no od r. 2015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setrvalý stav</w:t>
            </w:r>
          </w:p>
        </w:tc>
      </w:tr>
    </w:tbl>
    <w:p w:rsidR="00A06A31" w:rsidRPr="00F22BA8" w:rsidRDefault="00A06A31" w:rsidP="00A06A31">
      <w:pPr>
        <w:pStyle w:val="Odstavecseseznamem"/>
        <w:ind w:left="357"/>
        <w:rPr>
          <w:b/>
        </w:rPr>
      </w:pPr>
    </w:p>
    <w:p w:rsidR="00A06A31" w:rsidRPr="00737C1D" w:rsidRDefault="00737C1D" w:rsidP="00737C1D">
      <w:pPr>
        <w:pStyle w:val="Odstavecseseznamem"/>
        <w:spacing w:line="240" w:lineRule="auto"/>
        <w:ind w:left="142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6A31" w:rsidRPr="00737C1D">
        <w:rPr>
          <w:rFonts w:ascii="Arial" w:hAnsi="Arial" w:cs="Arial"/>
          <w:b/>
          <w:sz w:val="24"/>
          <w:szCs w:val="24"/>
        </w:rPr>
        <w:t>Procento úspěšnosti interní kontroly kvality (</w:t>
      </w:r>
      <w:r w:rsidR="00A06A31" w:rsidRPr="00737C1D">
        <w:rPr>
          <w:rFonts w:ascii="Arial" w:hAnsi="Arial" w:cs="Arial"/>
          <w:b/>
          <w:sz w:val="24"/>
          <w:szCs w:val="24"/>
        </w:rPr>
        <w:sym w:font="Symbol" w:char="F03E"/>
      </w:r>
      <w:r w:rsidR="00A06A31" w:rsidRPr="00737C1D">
        <w:rPr>
          <w:rFonts w:ascii="Arial" w:hAnsi="Arial" w:cs="Arial"/>
          <w:b/>
          <w:sz w:val="24"/>
          <w:szCs w:val="24"/>
        </w:rPr>
        <w:t>95%)</w:t>
      </w:r>
    </w:p>
    <w:p w:rsidR="00A06A31" w:rsidRPr="00252ABF" w:rsidRDefault="00A06A31" w:rsidP="00A06A31">
      <w:pPr>
        <w:pStyle w:val="Odstavecseseznamem"/>
        <w:spacing w:line="240" w:lineRule="auto"/>
        <w:ind w:left="357" w:firstLine="210"/>
        <w:jc w:val="left"/>
        <w:rPr>
          <w:rFonts w:ascii="Arial" w:hAnsi="Arial" w:cs="Arial"/>
          <w:b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F22BA8" w:rsidTr="00737C1D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F22BA8" w:rsidRDefault="00A06A31" w:rsidP="00A06A31">
            <w:pPr>
              <w:rPr>
                <w:rFonts w:ascii="Arial" w:hAnsi="Arial"/>
                <w:sz w:val="18"/>
              </w:rPr>
            </w:pPr>
            <w:r w:rsidRPr="00F22BA8">
              <w:rPr>
                <w:rFonts w:ascii="Arial" w:hAnsi="Arial"/>
                <w:b/>
                <w:sz w:val="18"/>
              </w:rPr>
              <w:t xml:space="preserve">IKK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F22BA8" w:rsidRDefault="00A06A31" w:rsidP="00A06A31">
            <w:pPr>
              <w:jc w:val="center"/>
            </w:pPr>
            <w:r w:rsidRPr="00F22BA8">
              <w:rPr>
                <w:rFonts w:ascii="Arial" w:hAnsi="Arial"/>
              </w:rPr>
              <w:t>01/2015 – 12/2015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F22BA8" w:rsidRDefault="00A06A31" w:rsidP="00A06A31">
            <w:pPr>
              <w:jc w:val="center"/>
              <w:rPr>
                <w:rFonts w:ascii="Arial" w:hAnsi="Arial"/>
              </w:rPr>
            </w:pPr>
            <w:r w:rsidRPr="00F22BA8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F22BA8" w:rsidRDefault="00A06A31" w:rsidP="00A06A31">
            <w:pPr>
              <w:jc w:val="center"/>
              <w:rPr>
                <w:rFonts w:ascii="Arial" w:hAnsi="Arial"/>
              </w:rPr>
            </w:pPr>
            <w:r w:rsidRPr="00F22BA8">
              <w:rPr>
                <w:rFonts w:ascii="Arial" w:hAnsi="Arial"/>
              </w:rPr>
              <w:t>01/2017 – 12/2017</w:t>
            </w:r>
          </w:p>
        </w:tc>
      </w:tr>
      <w:tr w:rsidR="00A06A31" w:rsidRPr="00F22BA8" w:rsidTr="00737C1D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06A31" w:rsidRPr="00F22BA8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  <w:tc>
          <w:tcPr>
            <w:tcW w:w="2154" w:type="dxa"/>
            <w:shd w:val="clear" w:color="auto" w:fill="D9D9D9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  <w:tc>
          <w:tcPr>
            <w:tcW w:w="2154" w:type="dxa"/>
            <w:shd w:val="clear" w:color="auto" w:fill="D9D9D9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</w:tr>
      <w:tr w:rsidR="00A06A31" w:rsidRPr="00F22BA8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F22BA8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F22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99,02%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99,92%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99,84%</w:t>
            </w:r>
          </w:p>
        </w:tc>
      </w:tr>
      <w:tr w:rsidR="00A06A31" w:rsidRPr="00F22BA8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F22BA8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F22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A06A31" w:rsidRPr="00F22BA8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F22BA8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98,89%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99,2%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99,3%</w:t>
            </w:r>
          </w:p>
        </w:tc>
      </w:tr>
      <w:tr w:rsidR="00A06A31" w:rsidRPr="00F22BA8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F22BA8" w:rsidRDefault="00A06A31" w:rsidP="00A06A31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F22BA8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kritéria indikátoru sp</w:t>
            </w:r>
            <w:r w:rsidRPr="00F22BA8">
              <w:rPr>
                <w:rFonts w:ascii="Arial" w:hAnsi="Arial"/>
                <w:sz w:val="18"/>
                <w:szCs w:val="18"/>
              </w:rPr>
              <w:t>l</w:t>
            </w:r>
            <w:r w:rsidRPr="00F22BA8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kritéria indikátoru sp</w:t>
            </w:r>
            <w:r w:rsidRPr="00F22BA8">
              <w:rPr>
                <w:rFonts w:ascii="Arial" w:hAnsi="Arial"/>
                <w:sz w:val="18"/>
                <w:szCs w:val="18"/>
              </w:rPr>
              <w:t>l</w:t>
            </w:r>
            <w:r w:rsidRPr="00F22BA8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kritéria indikátoru sp</w:t>
            </w:r>
            <w:r w:rsidRPr="00F22BA8">
              <w:rPr>
                <w:rFonts w:ascii="Arial" w:hAnsi="Arial"/>
                <w:sz w:val="18"/>
                <w:szCs w:val="18"/>
              </w:rPr>
              <w:t>l</w:t>
            </w:r>
            <w:r w:rsidRPr="00F22BA8">
              <w:rPr>
                <w:rFonts w:ascii="Arial" w:hAnsi="Arial"/>
                <w:sz w:val="18"/>
                <w:szCs w:val="18"/>
              </w:rPr>
              <w:t>něna</w:t>
            </w:r>
          </w:p>
        </w:tc>
      </w:tr>
      <w:tr w:rsidR="00A06A31" w:rsidRPr="00826BA6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F22BA8" w:rsidRDefault="00A06A31" w:rsidP="00A06A3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F22BA8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nehodnoceno, sledov</w:t>
            </w:r>
            <w:r w:rsidRPr="00F22BA8">
              <w:rPr>
                <w:rFonts w:ascii="Arial" w:hAnsi="Arial"/>
                <w:sz w:val="18"/>
                <w:szCs w:val="18"/>
              </w:rPr>
              <w:t>á</w:t>
            </w:r>
            <w:r w:rsidRPr="00F22BA8">
              <w:rPr>
                <w:rFonts w:ascii="Arial" w:hAnsi="Arial"/>
                <w:sz w:val="18"/>
                <w:szCs w:val="18"/>
              </w:rPr>
              <w:t>no od r. 2015</w:t>
            </w: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setrvalý trend</w:t>
            </w:r>
          </w:p>
          <w:p w:rsidR="00A06A31" w:rsidRPr="00F22BA8" w:rsidRDefault="00A06A31" w:rsidP="00A06A3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setrvalý trend</w:t>
            </w:r>
          </w:p>
          <w:p w:rsidR="00A06A31" w:rsidRPr="00F22BA8" w:rsidRDefault="00A06A31" w:rsidP="00A06A3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6A31" w:rsidRPr="00826BA6" w:rsidRDefault="00A06A31" w:rsidP="00A06A31">
      <w:pPr>
        <w:rPr>
          <w:b/>
          <w:highlight w:val="yellow"/>
        </w:rPr>
      </w:pPr>
    </w:p>
    <w:p w:rsidR="00A06A31" w:rsidRDefault="00A06A31" w:rsidP="00A06A31">
      <w:pPr>
        <w:rPr>
          <w:rFonts w:ascii="Arial" w:hAnsi="Arial" w:cs="Arial"/>
        </w:rPr>
      </w:pPr>
    </w:p>
    <w:p w:rsidR="00737C1D" w:rsidRDefault="00A06A31" w:rsidP="00737C1D">
      <w:pPr>
        <w:ind w:left="142"/>
        <w:rPr>
          <w:rFonts w:ascii="Arial" w:hAnsi="Arial" w:cs="Arial"/>
        </w:rPr>
      </w:pPr>
      <w:r w:rsidRPr="00F22BA8">
        <w:rPr>
          <w:rFonts w:ascii="Arial" w:hAnsi="Arial" w:cs="Arial"/>
        </w:rPr>
        <w:t xml:space="preserve"> </w:t>
      </w:r>
    </w:p>
    <w:p w:rsidR="00737C1D" w:rsidRDefault="00737C1D" w:rsidP="00737C1D">
      <w:pPr>
        <w:ind w:left="142"/>
        <w:rPr>
          <w:rFonts w:ascii="Arial" w:hAnsi="Arial" w:cs="Arial"/>
        </w:rPr>
      </w:pPr>
    </w:p>
    <w:p w:rsidR="00A06A31" w:rsidRDefault="00A06A31" w:rsidP="00737C1D">
      <w:pPr>
        <w:ind w:left="142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lastRenderedPageBreak/>
        <w:t>Počet chybně analyzovaných vzorků – tj. jakýkoliv problém zaznamen</w:t>
      </w:r>
      <w:r w:rsidRPr="00252ABF">
        <w:rPr>
          <w:rFonts w:ascii="Arial" w:hAnsi="Arial" w:cs="Arial"/>
          <w:b/>
        </w:rPr>
        <w:t>a</w:t>
      </w:r>
      <w:r w:rsidRPr="00252ABF">
        <w:rPr>
          <w:rFonts w:ascii="Arial" w:hAnsi="Arial" w:cs="Arial"/>
          <w:b/>
        </w:rPr>
        <w:t xml:space="preserve">ný při vyšetření </w:t>
      </w:r>
      <w:r>
        <w:rPr>
          <w:rFonts w:ascii="Arial" w:hAnsi="Arial" w:cs="Arial"/>
          <w:b/>
        </w:rPr>
        <w:t>vzorků</w:t>
      </w:r>
      <w:r w:rsidRPr="00252ABF">
        <w:rPr>
          <w:rFonts w:ascii="Arial" w:hAnsi="Arial" w:cs="Arial"/>
          <w:b/>
        </w:rPr>
        <w:t xml:space="preserve"> před jeho vydáním (</w:t>
      </w:r>
      <w:r w:rsidRPr="00252ABF">
        <w:rPr>
          <w:rFonts w:ascii="Arial" w:hAnsi="Arial" w:cs="Arial"/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A06A31" w:rsidRPr="00252ABF" w:rsidRDefault="00A06A31" w:rsidP="00A06A31">
      <w:pPr>
        <w:ind w:left="567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28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826BA6" w:rsidTr="00A06A31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b/>
                <w:sz w:val="18"/>
              </w:rPr>
              <w:t xml:space="preserve">Chybně analyzované vzorky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jc w:val="center"/>
            </w:pPr>
            <w:r w:rsidRPr="009C03B5">
              <w:rPr>
                <w:rFonts w:ascii="Arial" w:hAnsi="Arial"/>
              </w:rPr>
              <w:t>01/2015 – 12/2015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01/2017 – 12/2017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06A31" w:rsidRPr="009C03B5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9C03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3 / 0,02%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826BA6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9C03B5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9C03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826BA6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C03B5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9C03B5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36 / 0,75%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52/0,9%</w:t>
            </w:r>
          </w:p>
        </w:tc>
        <w:tc>
          <w:tcPr>
            <w:tcW w:w="2154" w:type="dxa"/>
            <w:shd w:val="clear" w:color="auto" w:fill="auto"/>
          </w:tcPr>
          <w:p w:rsidR="00A06A31" w:rsidRPr="00F22BA8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50/0,85%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9C03B5" w:rsidRDefault="00A06A31" w:rsidP="00A06A31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C03B5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  <w:shd w:val="clear" w:color="auto" w:fill="auto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kritéria indikátoru sp</w:t>
            </w:r>
            <w:r w:rsidRPr="00F22BA8">
              <w:rPr>
                <w:rFonts w:ascii="Arial" w:hAnsi="Arial"/>
                <w:sz w:val="18"/>
                <w:szCs w:val="18"/>
              </w:rPr>
              <w:t>l</w:t>
            </w:r>
            <w:r w:rsidRPr="00F22BA8">
              <w:rPr>
                <w:rFonts w:ascii="Arial" w:hAnsi="Arial"/>
                <w:sz w:val="18"/>
                <w:szCs w:val="18"/>
              </w:rPr>
              <w:t>něna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9C03B5" w:rsidRDefault="00A06A31" w:rsidP="00A06A3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nehodnoceno, sledov</w:t>
            </w:r>
            <w:r w:rsidRPr="009C03B5">
              <w:rPr>
                <w:rFonts w:ascii="Arial" w:hAnsi="Arial"/>
                <w:sz w:val="18"/>
                <w:szCs w:val="18"/>
              </w:rPr>
              <w:t>á</w:t>
            </w:r>
            <w:r w:rsidRPr="009C03B5">
              <w:rPr>
                <w:rFonts w:ascii="Arial" w:hAnsi="Arial"/>
                <w:sz w:val="18"/>
                <w:szCs w:val="18"/>
              </w:rPr>
              <w:t>no od r. 2015</w:t>
            </w:r>
          </w:p>
        </w:tc>
        <w:tc>
          <w:tcPr>
            <w:tcW w:w="2154" w:type="dxa"/>
          </w:tcPr>
          <w:p w:rsidR="00A06A31" w:rsidRPr="009C03B5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  <w:shd w:val="clear" w:color="auto" w:fill="auto"/>
          </w:tcPr>
          <w:p w:rsidR="00A06A31" w:rsidRPr="00F22BA8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setrvalý stav</w:t>
            </w:r>
          </w:p>
        </w:tc>
      </w:tr>
    </w:tbl>
    <w:p w:rsidR="00A06A31" w:rsidRPr="00252ABF" w:rsidRDefault="00A06A31" w:rsidP="00737C1D">
      <w:pPr>
        <w:ind w:left="284"/>
        <w:rPr>
          <w:rFonts w:ascii="Arial" w:hAnsi="Arial" w:cs="Arial"/>
          <w:b/>
        </w:rPr>
      </w:pPr>
      <w:bookmarkStart w:id="33" w:name="_GoBack"/>
      <w:bookmarkEnd w:id="33"/>
      <w:r w:rsidRPr="00252ABF">
        <w:rPr>
          <w:rFonts w:ascii="Arial" w:hAnsi="Arial" w:cs="Arial"/>
          <w:b/>
        </w:rPr>
        <w:t>Počet chyb v přenosu dat mezi LIS a NIS (</w:t>
      </w:r>
      <w:r w:rsidRPr="00252ABF">
        <w:rPr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A06A31" w:rsidRPr="000C0C13" w:rsidRDefault="00A06A31" w:rsidP="00A06A31">
      <w:pPr>
        <w:ind w:left="567"/>
        <w:rPr>
          <w:rFonts w:ascii="Arial" w:hAnsi="Arial" w:cs="Arial"/>
        </w:rPr>
      </w:pPr>
    </w:p>
    <w:tbl>
      <w:tblPr>
        <w:tblW w:w="8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0C0C13" w:rsidTr="00737C1D">
        <w:trPr>
          <w:cantSplit/>
          <w:trHeight w:val="2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0C0C13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0C0C13" w:rsidRDefault="00A06A31" w:rsidP="00A06A31">
            <w:pPr>
              <w:jc w:val="center"/>
            </w:pPr>
            <w:r w:rsidRPr="000C0C13">
              <w:rPr>
                <w:rFonts w:ascii="Arial" w:hAnsi="Arial"/>
              </w:rPr>
              <w:t>04/2015 – 12/2015</w:t>
            </w:r>
          </w:p>
        </w:tc>
        <w:tc>
          <w:tcPr>
            <w:tcW w:w="2154" w:type="dxa"/>
            <w:shd w:val="clear" w:color="auto" w:fill="D9D9D9"/>
          </w:tcPr>
          <w:p w:rsidR="00A06A31" w:rsidRPr="000C0C13" w:rsidRDefault="00A06A31" w:rsidP="00A06A31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shd w:val="clear" w:color="auto" w:fill="D9D9D9"/>
          </w:tcPr>
          <w:p w:rsidR="00A06A31" w:rsidRPr="000C0C13" w:rsidRDefault="00A06A31" w:rsidP="00A06A31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01/2017 – 12/2017</w:t>
            </w:r>
          </w:p>
        </w:tc>
      </w:tr>
      <w:tr w:rsidR="00A06A31" w:rsidRPr="000C0C13" w:rsidTr="00737C1D">
        <w:trPr>
          <w:cantSplit/>
          <w:trHeight w:val="206"/>
        </w:trPr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0C0C13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0C0C13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  <w:tc>
          <w:tcPr>
            <w:tcW w:w="2154" w:type="dxa"/>
            <w:shd w:val="clear" w:color="auto" w:fill="D9D9D9"/>
          </w:tcPr>
          <w:p w:rsidR="00A06A31" w:rsidRPr="000C0C13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  <w:tc>
          <w:tcPr>
            <w:tcW w:w="2154" w:type="dxa"/>
            <w:shd w:val="clear" w:color="auto" w:fill="D9D9D9"/>
          </w:tcPr>
          <w:p w:rsidR="00A06A31" w:rsidRPr="000C0C13" w:rsidRDefault="00A06A31" w:rsidP="00A06A3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</w:tr>
      <w:tr w:rsidR="00A06A31" w:rsidRPr="000C0C13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0C0C13" w:rsidRDefault="00A06A31" w:rsidP="00A06A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0C13">
              <w:rPr>
                <w:rFonts w:ascii="Arial" w:hAnsi="Arial" w:cs="Arial"/>
                <w:b/>
                <w:sz w:val="18"/>
                <w:szCs w:val="18"/>
              </w:rPr>
              <w:t>Počet nesprávně e</w:t>
            </w:r>
            <w:r w:rsidRPr="000C0C13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0C0C13">
              <w:rPr>
                <w:rFonts w:ascii="Arial" w:hAnsi="Arial" w:cs="Arial"/>
                <w:b/>
                <w:sz w:val="18"/>
                <w:szCs w:val="18"/>
              </w:rPr>
              <w:t>portovaných výsledků z LIS do NIS</w:t>
            </w:r>
          </w:p>
        </w:tc>
        <w:tc>
          <w:tcPr>
            <w:tcW w:w="2154" w:type="dxa"/>
            <w:vAlign w:val="center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127 / 0,3%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110 / 0,1%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69 / 0,1%</w:t>
            </w:r>
          </w:p>
        </w:tc>
      </w:tr>
      <w:tr w:rsidR="00A06A31" w:rsidRPr="000C0C13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0C0C13" w:rsidRDefault="00A06A31" w:rsidP="00A06A31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0C0C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kritéria indikátoru sp</w:t>
            </w:r>
            <w:r w:rsidRPr="000C0C13">
              <w:rPr>
                <w:rFonts w:ascii="Arial" w:hAnsi="Arial"/>
                <w:sz w:val="18"/>
                <w:szCs w:val="18"/>
              </w:rPr>
              <w:t>l</w:t>
            </w:r>
            <w:r w:rsidRPr="000C0C13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kritéria indikátoru sp</w:t>
            </w:r>
            <w:r w:rsidRPr="000C0C13">
              <w:rPr>
                <w:rFonts w:ascii="Arial" w:hAnsi="Arial"/>
                <w:sz w:val="18"/>
                <w:szCs w:val="18"/>
              </w:rPr>
              <w:t>l</w:t>
            </w:r>
            <w:r w:rsidRPr="000C0C13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kritéria indikátoru sp</w:t>
            </w:r>
            <w:r w:rsidRPr="000C0C13">
              <w:rPr>
                <w:rFonts w:ascii="Arial" w:hAnsi="Arial"/>
                <w:sz w:val="18"/>
                <w:szCs w:val="18"/>
              </w:rPr>
              <w:t>l</w:t>
            </w:r>
            <w:r w:rsidRPr="000C0C13">
              <w:rPr>
                <w:rFonts w:ascii="Arial" w:hAnsi="Arial"/>
                <w:sz w:val="18"/>
                <w:szCs w:val="18"/>
              </w:rPr>
              <w:t>něna</w:t>
            </w:r>
          </w:p>
        </w:tc>
      </w:tr>
      <w:tr w:rsidR="00A06A31" w:rsidRPr="00826BA6" w:rsidTr="00737C1D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0C0C13" w:rsidRDefault="00A06A31" w:rsidP="00A06A3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0C0C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nehodnoceno, sledov</w:t>
            </w:r>
            <w:r w:rsidRPr="000C0C13">
              <w:rPr>
                <w:rFonts w:ascii="Arial" w:hAnsi="Arial"/>
                <w:sz w:val="18"/>
                <w:szCs w:val="18"/>
              </w:rPr>
              <w:t>á</w:t>
            </w:r>
            <w:r w:rsidRPr="000C0C13">
              <w:rPr>
                <w:rFonts w:ascii="Arial" w:hAnsi="Arial"/>
                <w:sz w:val="18"/>
                <w:szCs w:val="18"/>
              </w:rPr>
              <w:t>no od r. 2015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</w:tcPr>
          <w:p w:rsidR="00A06A31" w:rsidRPr="000C0C13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setrvalý stav</w:t>
            </w:r>
          </w:p>
        </w:tc>
      </w:tr>
    </w:tbl>
    <w:p w:rsidR="00A06A31" w:rsidRPr="00123EF0" w:rsidRDefault="00A06A31" w:rsidP="00A06A31">
      <w:pPr>
        <w:rPr>
          <w:b/>
        </w:rPr>
      </w:pPr>
    </w:p>
    <w:p w:rsidR="00A06A31" w:rsidRPr="00737C1D" w:rsidRDefault="00A06A31" w:rsidP="00737C1D">
      <w:pPr>
        <w:pStyle w:val="Odstavecseseznamem"/>
        <w:spacing w:line="240" w:lineRule="auto"/>
        <w:ind w:left="284"/>
        <w:jc w:val="left"/>
        <w:rPr>
          <w:rFonts w:ascii="Arial" w:hAnsi="Arial" w:cs="Arial"/>
          <w:b/>
          <w:sz w:val="24"/>
          <w:szCs w:val="24"/>
        </w:rPr>
      </w:pPr>
      <w:r w:rsidRPr="00123EF0">
        <w:rPr>
          <w:rFonts w:ascii="Arial" w:hAnsi="Arial" w:cs="Arial"/>
        </w:rPr>
        <w:t xml:space="preserve"> </w:t>
      </w:r>
      <w:r w:rsidRPr="00737C1D">
        <w:rPr>
          <w:rFonts w:ascii="Arial" w:hAnsi="Arial" w:cs="Arial"/>
          <w:b/>
          <w:sz w:val="24"/>
          <w:szCs w:val="24"/>
        </w:rPr>
        <w:t>Počet chybně vydaných výsledků vyšetření (</w:t>
      </w:r>
      <w:r w:rsidRPr="00737C1D">
        <w:rPr>
          <w:rFonts w:ascii="Arial" w:hAnsi="Arial" w:cs="Arial"/>
          <w:b/>
          <w:sz w:val="24"/>
          <w:szCs w:val="24"/>
        </w:rPr>
        <w:sym w:font="Symbol" w:char="F03C"/>
      </w:r>
      <w:r w:rsidRPr="00737C1D">
        <w:rPr>
          <w:rFonts w:ascii="Arial" w:hAnsi="Arial" w:cs="Arial"/>
          <w:b/>
          <w:sz w:val="24"/>
          <w:szCs w:val="24"/>
        </w:rPr>
        <w:t>2%)</w:t>
      </w:r>
    </w:p>
    <w:tbl>
      <w:tblPr>
        <w:tblpPr w:leftFromText="141" w:rightFromText="141" w:vertAnchor="text" w:horzAnchor="margin" w:tblpXSpec="center" w:tblpY="119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A06A31" w:rsidRPr="00123EF0" w:rsidTr="00A06A31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123EF0" w:rsidRDefault="00A06A31" w:rsidP="00A06A31">
            <w:pPr>
              <w:rPr>
                <w:rFonts w:ascii="Arial" w:hAnsi="Arial"/>
                <w:sz w:val="18"/>
              </w:rPr>
            </w:pPr>
            <w:r w:rsidRPr="00123EF0">
              <w:rPr>
                <w:rFonts w:ascii="Arial" w:hAnsi="Arial"/>
                <w:b/>
                <w:sz w:val="18"/>
              </w:rPr>
              <w:t>Chybně vydané v</w:t>
            </w:r>
            <w:r w:rsidRPr="00123EF0">
              <w:rPr>
                <w:rFonts w:ascii="Arial" w:hAnsi="Arial"/>
                <w:b/>
                <w:sz w:val="18"/>
              </w:rPr>
              <w:t>ý</w:t>
            </w:r>
            <w:r w:rsidRPr="00123EF0">
              <w:rPr>
                <w:rFonts w:ascii="Arial" w:hAnsi="Arial"/>
                <w:b/>
                <w:sz w:val="18"/>
              </w:rPr>
              <w:t xml:space="preserve">sledky vyšetření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123EF0" w:rsidRDefault="00A06A31" w:rsidP="00A06A31">
            <w:pPr>
              <w:jc w:val="center"/>
            </w:pPr>
            <w:r w:rsidRPr="00123EF0">
              <w:rPr>
                <w:rFonts w:ascii="Arial" w:hAnsi="Arial"/>
              </w:rPr>
              <w:t>01/2015 – 12/2015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123EF0" w:rsidRDefault="00A06A31" w:rsidP="00A06A31">
            <w:pPr>
              <w:jc w:val="center"/>
              <w:rPr>
                <w:rFonts w:ascii="Arial" w:hAnsi="Arial"/>
              </w:rPr>
            </w:pPr>
            <w:r w:rsidRPr="00123EF0">
              <w:rPr>
                <w:rFonts w:ascii="Arial" w:hAnsi="Arial"/>
              </w:rPr>
              <w:t>01/2016 – 12/2016</w:t>
            </w:r>
          </w:p>
        </w:tc>
        <w:tc>
          <w:tcPr>
            <w:tcW w:w="2154" w:type="dxa"/>
            <w:vAlign w:val="center"/>
          </w:tcPr>
          <w:p w:rsidR="00A06A31" w:rsidRPr="00123EF0" w:rsidRDefault="00A06A31" w:rsidP="00A06A31">
            <w:pPr>
              <w:jc w:val="center"/>
              <w:rPr>
                <w:rFonts w:ascii="Arial" w:hAnsi="Arial"/>
              </w:rPr>
            </w:pPr>
            <w:r w:rsidRPr="00123EF0">
              <w:rPr>
                <w:rFonts w:ascii="Arial" w:hAnsi="Arial"/>
              </w:rPr>
              <w:t>01/2017 – 12/2017</w:t>
            </w:r>
          </w:p>
        </w:tc>
      </w:tr>
      <w:tr w:rsidR="00A06A31" w:rsidRPr="00123EF0" w:rsidTr="00A06A31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06A31" w:rsidRPr="00123EF0" w:rsidRDefault="00A06A31" w:rsidP="00A06A31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</w:tr>
      <w:tr w:rsidR="00A06A31" w:rsidRPr="00123EF0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123EF0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12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sz w:val="18"/>
                <w:szCs w:val="18"/>
              </w:rPr>
              <w:t>2 / 0,01%</w:t>
            </w:r>
          </w:p>
        </w:tc>
      </w:tr>
      <w:tr w:rsidR="00A06A31" w:rsidRPr="00123EF0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123EF0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12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</w:tr>
      <w:tr w:rsidR="00A06A31" w:rsidRPr="00123EF0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06A31" w:rsidRPr="00123EF0" w:rsidRDefault="00A06A31" w:rsidP="00A06A31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2 / 0,01%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5 / 0,1%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2 / 0,01%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123EF0" w:rsidRDefault="00A06A31" w:rsidP="00A06A31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123EF0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kritéria indikátoru sp</w:t>
            </w:r>
            <w:r w:rsidRPr="00123EF0">
              <w:rPr>
                <w:rFonts w:ascii="Arial" w:hAnsi="Arial"/>
                <w:sz w:val="18"/>
                <w:szCs w:val="18"/>
              </w:rPr>
              <w:t>l</w:t>
            </w:r>
            <w:r w:rsidRPr="00123EF0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kritéria indikátoru sp</w:t>
            </w:r>
            <w:r w:rsidRPr="00123EF0">
              <w:rPr>
                <w:rFonts w:ascii="Arial" w:hAnsi="Arial"/>
                <w:sz w:val="18"/>
                <w:szCs w:val="18"/>
              </w:rPr>
              <w:t>l</w:t>
            </w:r>
            <w:r w:rsidRPr="00123EF0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kritéria indikátoru sp</w:t>
            </w:r>
            <w:r w:rsidRPr="00123EF0">
              <w:rPr>
                <w:rFonts w:ascii="Arial" w:hAnsi="Arial"/>
                <w:sz w:val="18"/>
                <w:szCs w:val="18"/>
              </w:rPr>
              <w:t>l</w:t>
            </w:r>
            <w:r w:rsidRPr="00123EF0">
              <w:rPr>
                <w:rFonts w:ascii="Arial" w:hAnsi="Arial"/>
                <w:sz w:val="18"/>
                <w:szCs w:val="18"/>
              </w:rPr>
              <w:t>něna</w:t>
            </w:r>
          </w:p>
        </w:tc>
      </w:tr>
      <w:tr w:rsidR="00A06A31" w:rsidRPr="00826BA6" w:rsidTr="00A06A31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A06A31" w:rsidRPr="00826BA6" w:rsidRDefault="00A06A31" w:rsidP="00A06A31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  <w:highlight w:val="yellow"/>
              </w:rPr>
            </w:pPr>
            <w:r w:rsidRPr="00123EF0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A06A31" w:rsidRPr="00826BA6" w:rsidRDefault="00A06A31" w:rsidP="00A06A31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nehodnoceno, sledov</w:t>
            </w:r>
            <w:r w:rsidRPr="00123EF0">
              <w:rPr>
                <w:rFonts w:ascii="Arial" w:hAnsi="Arial"/>
                <w:sz w:val="18"/>
                <w:szCs w:val="18"/>
              </w:rPr>
              <w:t>á</w:t>
            </w:r>
            <w:r w:rsidRPr="00123EF0">
              <w:rPr>
                <w:rFonts w:ascii="Arial" w:hAnsi="Arial"/>
                <w:sz w:val="18"/>
                <w:szCs w:val="18"/>
              </w:rPr>
              <w:t>no od r. 2015</w:t>
            </w:r>
          </w:p>
        </w:tc>
        <w:tc>
          <w:tcPr>
            <w:tcW w:w="2154" w:type="dxa"/>
          </w:tcPr>
          <w:p w:rsidR="00A06A31" w:rsidRPr="00826BA6" w:rsidRDefault="00A06A31" w:rsidP="00A06A31">
            <w:pPr>
              <w:spacing w:before="60"/>
              <w:rPr>
                <w:rFonts w:ascii="Arial" w:hAnsi="Arial"/>
                <w:sz w:val="18"/>
                <w:szCs w:val="18"/>
                <w:highlight w:val="yellow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Mírný nárůst - v r.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23EF0">
              <w:rPr>
                <w:rFonts w:ascii="Arial" w:hAnsi="Arial"/>
                <w:sz w:val="18"/>
                <w:szCs w:val="18"/>
              </w:rPr>
              <w:t>2016 byly zjištěny a řešeny i chybné výsledky vyše</w:t>
            </w:r>
            <w:r w:rsidRPr="00123EF0">
              <w:rPr>
                <w:rFonts w:ascii="Arial" w:hAnsi="Arial"/>
                <w:sz w:val="18"/>
                <w:szCs w:val="18"/>
              </w:rPr>
              <w:t>t</w:t>
            </w:r>
            <w:r w:rsidRPr="00123EF0">
              <w:rPr>
                <w:rFonts w:ascii="Arial" w:hAnsi="Arial"/>
                <w:sz w:val="18"/>
                <w:szCs w:val="18"/>
              </w:rPr>
              <w:t>ření provedených v předchozích letech</w:t>
            </w:r>
          </w:p>
        </w:tc>
        <w:tc>
          <w:tcPr>
            <w:tcW w:w="2154" w:type="dxa"/>
          </w:tcPr>
          <w:p w:rsidR="00A06A31" w:rsidRPr="00123EF0" w:rsidRDefault="00A06A31" w:rsidP="00A06A31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setrvalý trend</w:t>
            </w:r>
          </w:p>
        </w:tc>
      </w:tr>
    </w:tbl>
    <w:p w:rsidR="00A06A31" w:rsidRDefault="00A06A31" w:rsidP="00A06A31"/>
    <w:p w:rsidR="00A06A31" w:rsidRDefault="00A06A31" w:rsidP="00A06A31"/>
    <w:p w:rsidR="00A06A31" w:rsidRPr="006C08A1" w:rsidRDefault="00737C1D" w:rsidP="00A06A31">
      <w:pPr>
        <w:rPr>
          <w:rFonts w:ascii="Arial" w:hAnsi="Arial" w:cs="Arial"/>
        </w:rPr>
      </w:pPr>
      <w:r>
        <w:t xml:space="preserve">    </w:t>
      </w:r>
      <w:r w:rsidR="00A06A31" w:rsidRPr="006C08A1">
        <w:rPr>
          <w:rFonts w:ascii="Arial" w:hAnsi="Arial" w:cs="Arial"/>
        </w:rPr>
        <w:t xml:space="preserve">Zpracovala:  MUDr. Zuzana </w:t>
      </w:r>
      <w:proofErr w:type="spellStart"/>
      <w:r w:rsidR="00A06A31" w:rsidRPr="006C08A1">
        <w:rPr>
          <w:rFonts w:ascii="Arial" w:hAnsi="Arial" w:cs="Arial"/>
        </w:rPr>
        <w:t>Ambrůzová</w:t>
      </w:r>
      <w:proofErr w:type="spellEnd"/>
      <w:r w:rsidR="00A06A31" w:rsidRPr="006C08A1">
        <w:rPr>
          <w:rFonts w:ascii="Arial" w:hAnsi="Arial" w:cs="Arial"/>
        </w:rPr>
        <w:t>, PhD., manažer kvality IMUNO</w:t>
      </w:r>
    </w:p>
    <w:p w:rsidR="00835247" w:rsidRPr="003F5DCC" w:rsidRDefault="00A06A31" w:rsidP="00554AF6">
      <w:r w:rsidRPr="006C08A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6C08A1">
        <w:rPr>
          <w:rFonts w:ascii="Arial" w:hAnsi="Arial" w:cs="Arial"/>
        </w:rPr>
        <w:t>12.</w:t>
      </w:r>
      <w:r w:rsidR="00737C1D">
        <w:rPr>
          <w:rFonts w:ascii="Arial" w:hAnsi="Arial" w:cs="Arial"/>
        </w:rPr>
        <w:t xml:space="preserve"> </w:t>
      </w:r>
      <w:r w:rsidRPr="006C08A1">
        <w:rPr>
          <w:rFonts w:ascii="Arial" w:hAnsi="Arial" w:cs="Arial"/>
        </w:rPr>
        <w:t>2.</w:t>
      </w:r>
      <w:r w:rsidR="00737C1D">
        <w:rPr>
          <w:rFonts w:ascii="Arial" w:hAnsi="Arial" w:cs="Arial"/>
        </w:rPr>
        <w:t xml:space="preserve"> </w:t>
      </w:r>
      <w:r w:rsidRPr="006C08A1">
        <w:rPr>
          <w:rFonts w:ascii="Arial" w:hAnsi="Arial" w:cs="Arial"/>
        </w:rPr>
        <w:t>2018</w:t>
      </w:r>
    </w:p>
    <w:sectPr w:rsidR="00835247" w:rsidRPr="003F5DCC" w:rsidSect="00A06A3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31" w:rsidRDefault="00A06A31">
      <w:r>
        <w:separator/>
      </w:r>
    </w:p>
  </w:endnote>
  <w:endnote w:type="continuationSeparator" w:id="0">
    <w:p w:rsidR="00A06A31" w:rsidRDefault="00A06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1" w:rsidRPr="0091307B" w:rsidRDefault="00A06A3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31" w:rsidRDefault="00A06A31">
      <w:r>
        <w:separator/>
      </w:r>
    </w:p>
  </w:footnote>
  <w:footnote w:type="continuationSeparator" w:id="0">
    <w:p w:rsidR="00A06A31" w:rsidRDefault="00A06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1" w:rsidRDefault="00A06A31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1" w:rsidRDefault="00A06A31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1" w:rsidRDefault="00A06A31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3741"/>
    <w:rsid w:val="0011428D"/>
    <w:rsid w:val="00124D77"/>
    <w:rsid w:val="0015021C"/>
    <w:rsid w:val="00170672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6A63"/>
    <w:rsid w:val="002C4254"/>
    <w:rsid w:val="002F78EE"/>
    <w:rsid w:val="003033B8"/>
    <w:rsid w:val="00324878"/>
    <w:rsid w:val="00327568"/>
    <w:rsid w:val="00353549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7422B"/>
    <w:rsid w:val="0048040F"/>
    <w:rsid w:val="00480AFC"/>
    <w:rsid w:val="00492A04"/>
    <w:rsid w:val="004971C3"/>
    <w:rsid w:val="004D05D0"/>
    <w:rsid w:val="00505F84"/>
    <w:rsid w:val="0051738C"/>
    <w:rsid w:val="00521123"/>
    <w:rsid w:val="00533880"/>
    <w:rsid w:val="00541AAA"/>
    <w:rsid w:val="00554AF6"/>
    <w:rsid w:val="005E378A"/>
    <w:rsid w:val="00610E8B"/>
    <w:rsid w:val="00621E11"/>
    <w:rsid w:val="0063572E"/>
    <w:rsid w:val="006D031F"/>
    <w:rsid w:val="006D179F"/>
    <w:rsid w:val="006F2FEC"/>
    <w:rsid w:val="00737C1D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35247"/>
    <w:rsid w:val="00854F41"/>
    <w:rsid w:val="008721DE"/>
    <w:rsid w:val="008739C3"/>
    <w:rsid w:val="00874ECF"/>
    <w:rsid w:val="00876C60"/>
    <w:rsid w:val="008A671C"/>
    <w:rsid w:val="008B1601"/>
    <w:rsid w:val="008C31BB"/>
    <w:rsid w:val="008D4EC7"/>
    <w:rsid w:val="008E6D04"/>
    <w:rsid w:val="008F208F"/>
    <w:rsid w:val="008F5EA5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D4195"/>
    <w:rsid w:val="009E0FB3"/>
    <w:rsid w:val="009E3366"/>
    <w:rsid w:val="009E4D08"/>
    <w:rsid w:val="00A06A31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409C3"/>
    <w:rsid w:val="00C57993"/>
    <w:rsid w:val="00C57ED5"/>
    <w:rsid w:val="00C63A6B"/>
    <w:rsid w:val="00C826E3"/>
    <w:rsid w:val="00C83B70"/>
    <w:rsid w:val="00CA67A8"/>
    <w:rsid w:val="00CC3D9E"/>
    <w:rsid w:val="00CE7427"/>
    <w:rsid w:val="00D51136"/>
    <w:rsid w:val="00DD0F06"/>
    <w:rsid w:val="00DD25B5"/>
    <w:rsid w:val="00DD31CA"/>
    <w:rsid w:val="00E11DE0"/>
    <w:rsid w:val="00E161E0"/>
    <w:rsid w:val="00E2198B"/>
    <w:rsid w:val="00E41C9B"/>
    <w:rsid w:val="00E44352"/>
    <w:rsid w:val="00E46D49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6A31"/>
    <w:pPr>
      <w:keepNext/>
      <w:ind w:left="6372"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A0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6A31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06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hlavChar">
    <w:name w:val="Záhlaví Char"/>
    <w:basedOn w:val="Standardnpsmoodstavce"/>
    <w:link w:val="Zhlav"/>
    <w:rsid w:val="00A06A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A31"/>
    <w:pPr>
      <w:spacing w:line="0" w:lineRule="atLeast"/>
      <w:ind w:left="720"/>
      <w:contextualSpacing/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A06A31"/>
    <w:pPr>
      <w:jc w:val="center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06A3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64561</cp:lastModifiedBy>
  <cp:revision>2</cp:revision>
  <cp:lastPrinted>2016-12-20T09:23:00Z</cp:lastPrinted>
  <dcterms:created xsi:type="dcterms:W3CDTF">2018-02-12T14:23:00Z</dcterms:created>
  <dcterms:modified xsi:type="dcterms:W3CDTF">2018-02-12T14:23:00Z</dcterms:modified>
</cp:coreProperties>
</file>