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701"/>
        <w:tblOverlap w:val="never"/>
        <w:tblW w:w="135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6"/>
        <w:gridCol w:w="648"/>
        <w:gridCol w:w="648"/>
        <w:gridCol w:w="648"/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817D7E" w:rsidRPr="00CB595B" w:rsidTr="00817D7E">
        <w:trPr>
          <w:trHeight w:val="300"/>
          <w:tblCellSpacing w:w="0" w:type="dxa"/>
        </w:trPr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A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Operace - propuštění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1998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1999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2001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2002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2003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2004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2008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2009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2014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CKTCH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14.3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České Budějovice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10.9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FN Hradec Králové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13.5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FN Královské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FN Motol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13.1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FN Olomouc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5E3D39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E3D3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9.6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FN Plzeň </w:t>
            </w:r>
            <w:proofErr w:type="spellStart"/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Lochotín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12.5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FNsP</w:t>
            </w:r>
            <w:proofErr w:type="spellEnd"/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14.8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(KSRZIS)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Nemocnice Na Homolce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10.7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Nemocnice Podlesí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9.0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VFN Praha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17D7E" w:rsidRPr="00CB595B" w:rsidTr="00817D7E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9.93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10.18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10.93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11.39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11.85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11.98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12.21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000"/>
            <w:vAlign w:val="center"/>
            <w:hideMark/>
          </w:tcPr>
          <w:p w:rsidR="00817D7E" w:rsidRPr="00CB595B" w:rsidRDefault="00817D7E" w:rsidP="00817D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B59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cs-CZ"/>
              </w:rPr>
              <w:t>11.46</w:t>
            </w:r>
          </w:p>
        </w:tc>
      </w:tr>
    </w:tbl>
    <w:p w:rsidR="008A17F5" w:rsidRDefault="008A17F5" w:rsidP="008A17F5">
      <w:pPr>
        <w:rPr>
          <w:b/>
        </w:rPr>
      </w:pPr>
      <w:r w:rsidRPr="00166546">
        <w:rPr>
          <w:b/>
        </w:rPr>
        <w:t>Indikátory kvality Kardiochirurgické kliniky FN Olomo</w:t>
      </w:r>
      <w:r>
        <w:rPr>
          <w:b/>
        </w:rPr>
        <w:t>uc</w:t>
      </w:r>
    </w:p>
    <w:p w:rsidR="008A17F5" w:rsidRDefault="008A17F5" w:rsidP="008A17F5">
      <w:r>
        <w:t>U všech nemocných se srdeční operací je v průběhu hospitalizace vyplňován formulář pro Národní kardiochirurgický registr (viz přiložený soubor NKchR.txt). Data, generovaná kardiochirurgickými pracovišti v ČR, jsou uložena v Koordinačním středisku pro resortní zdravotnické informační systémy (</w:t>
      </w:r>
      <w:hyperlink r:id="rId5" w:history="1">
        <w:r w:rsidRPr="00AB45CA">
          <w:rPr>
            <w:rStyle w:val="Hypertextovodkaz"/>
          </w:rPr>
          <w:t>http://snzr.ksrzis.cz</w:t>
        </w:r>
      </w:hyperlink>
      <w:r>
        <w:t>). Každým rokem je prováděno kompletní statistické zpracování dodaných dat, umožňující různá srovnání.</w:t>
      </w:r>
    </w:p>
    <w:p w:rsidR="008A17F5" w:rsidRPr="0011322D" w:rsidRDefault="008A17F5" w:rsidP="008A17F5">
      <w:pPr>
        <w:rPr>
          <w:b/>
          <w:i/>
        </w:rPr>
      </w:pPr>
      <w:r w:rsidRPr="0011322D">
        <w:rPr>
          <w:b/>
          <w:i/>
        </w:rPr>
        <w:t>Hlavním indikátorem kvality je bezpečnost operačního výkonu pro nemocného, daná těmito parametry:</w:t>
      </w:r>
    </w:p>
    <w:p w:rsidR="008A17F5" w:rsidRPr="00E22867" w:rsidRDefault="008A17F5" w:rsidP="008A17F5">
      <w:pPr>
        <w:pStyle w:val="Odstavecseseznamem"/>
        <w:numPr>
          <w:ilvl w:val="0"/>
          <w:numId w:val="1"/>
        </w:numPr>
        <w:rPr>
          <w:b/>
        </w:rPr>
      </w:pPr>
      <w:r>
        <w:t>Kvalitní indikací na základě precizního předoperačního vyšetření</w:t>
      </w:r>
    </w:p>
    <w:p w:rsidR="008A17F5" w:rsidRPr="00E22867" w:rsidRDefault="008A17F5" w:rsidP="008A17F5">
      <w:pPr>
        <w:pStyle w:val="Odstavecseseznamem"/>
        <w:numPr>
          <w:ilvl w:val="0"/>
          <w:numId w:val="1"/>
        </w:numPr>
        <w:rPr>
          <w:b/>
        </w:rPr>
      </w:pPr>
      <w:r>
        <w:t xml:space="preserve">Operací bez </w:t>
      </w:r>
      <w:proofErr w:type="spellStart"/>
      <w:r>
        <w:t>peroperačních</w:t>
      </w:r>
      <w:proofErr w:type="spellEnd"/>
      <w:r>
        <w:t xml:space="preserve"> a pooperačních komplikací</w:t>
      </w:r>
    </w:p>
    <w:p w:rsidR="008A17F5" w:rsidRPr="00E22867" w:rsidRDefault="008A17F5" w:rsidP="008A17F5">
      <w:pPr>
        <w:pStyle w:val="Odstavecseseznamem"/>
        <w:numPr>
          <w:ilvl w:val="0"/>
          <w:numId w:val="1"/>
        </w:numPr>
        <w:rPr>
          <w:b/>
        </w:rPr>
      </w:pPr>
      <w:r>
        <w:t>Krátkou účinnou pooperační péčí a rehabilitací</w:t>
      </w:r>
    </w:p>
    <w:p w:rsidR="008A17F5" w:rsidRDefault="008A17F5" w:rsidP="008A17F5">
      <w:pPr>
        <w:pStyle w:val="Odstavecseseznamem"/>
        <w:numPr>
          <w:ilvl w:val="0"/>
          <w:numId w:val="1"/>
        </w:numPr>
        <w:rPr>
          <w:b/>
        </w:rPr>
      </w:pPr>
      <w:r>
        <w:t xml:space="preserve">Včasným propuštěním do domácí péče </w:t>
      </w:r>
      <w:proofErr w:type="spellStart"/>
      <w:r>
        <w:t>ev</w:t>
      </w:r>
      <w:proofErr w:type="spellEnd"/>
      <w:r>
        <w:t>. spádového zařízení</w:t>
      </w:r>
    </w:p>
    <w:p w:rsidR="00336DCC" w:rsidRDefault="008A17F5">
      <w:pPr>
        <w:rPr>
          <w:i/>
        </w:rPr>
      </w:pPr>
      <w:r w:rsidRPr="008A17F5">
        <w:rPr>
          <w:i/>
        </w:rPr>
        <w:t>Graf 1- srovnání délky hospitalizace mezi jednotlivými kardiochirurgickými pracovišti</w:t>
      </w:r>
    </w:p>
    <w:p w:rsidR="008A17F5" w:rsidRDefault="008A17F5">
      <w:pPr>
        <w:rPr>
          <w:i/>
        </w:rPr>
      </w:pPr>
      <w:r>
        <w:rPr>
          <w:i/>
        </w:rPr>
        <w:lastRenderedPageBreak/>
        <w:t xml:space="preserve">Graf 2 – predikovaná mortalita, srovnání KCHIR Olomouc, průměru ČR a </w:t>
      </w:r>
      <w:proofErr w:type="spellStart"/>
      <w:r>
        <w:rPr>
          <w:i/>
        </w:rPr>
        <w:t>EUROScore</w:t>
      </w:r>
      <w:proofErr w:type="spellEnd"/>
      <w:r>
        <w:rPr>
          <w:i/>
        </w:rPr>
        <w:t xml:space="preserve"> (data po rok 2014 ještě nejsou k dispozici)</w:t>
      </w:r>
    </w:p>
    <w:p w:rsidR="008A17F5" w:rsidRPr="008A17F5" w:rsidRDefault="008A17F5">
      <w:pPr>
        <w:rPr>
          <w:i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453390</wp:posOffset>
            </wp:positionV>
            <wp:extent cx="7877175" cy="4352925"/>
            <wp:effectExtent l="19050" t="0" r="9525" b="0"/>
            <wp:wrapNone/>
            <wp:docPr id="2" name="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8A17F5" w:rsidRPr="008A17F5" w:rsidSect="00817D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6F00"/>
    <w:multiLevelType w:val="hybridMultilevel"/>
    <w:tmpl w:val="169CA208"/>
    <w:lvl w:ilvl="0" w:tplc="417816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7D7E"/>
    <w:rsid w:val="0011322D"/>
    <w:rsid w:val="001C122A"/>
    <w:rsid w:val="00336DCC"/>
    <w:rsid w:val="003B6B92"/>
    <w:rsid w:val="005E3D39"/>
    <w:rsid w:val="00817D7E"/>
    <w:rsid w:val="008A17F5"/>
    <w:rsid w:val="00F3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D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7F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17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snzr.ksrzis.cz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Se_it_aplikace_Microsoft_Office_Excel_2007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0.12314088615459105"/>
          <c:y val="5.9166030409017079E-2"/>
          <c:w val="0.81188162988406454"/>
          <c:h val="0.8720808214537116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Olo</c:v>
                </c:pt>
              </c:strCache>
            </c:strRef>
          </c:tx>
          <c:cat>
            <c:numRef>
              <c:f>Sheet1!$B$1:$M$1</c:f>
              <c:numCache>
                <c:formatCode>General</c:formatCode>
                <c:ptCount val="1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2.6</c:v>
                </c:pt>
                <c:pt idx="1">
                  <c:v>3.1</c:v>
                </c:pt>
                <c:pt idx="2">
                  <c:v>2.9</c:v>
                </c:pt>
                <c:pt idx="3">
                  <c:v>2.2999999999999998</c:v>
                </c:pt>
                <c:pt idx="4">
                  <c:v>3.1</c:v>
                </c:pt>
                <c:pt idx="5">
                  <c:v>3.1</c:v>
                </c:pt>
                <c:pt idx="6">
                  <c:v>3.25</c:v>
                </c:pt>
                <c:pt idx="7">
                  <c:v>3.2</c:v>
                </c:pt>
                <c:pt idx="8">
                  <c:v>3.3</c:v>
                </c:pt>
                <c:pt idx="9">
                  <c:v>3.2</c:v>
                </c:pt>
                <c:pt idx="10">
                  <c:v>1.5</c:v>
                </c:pt>
                <c:pt idx="11">
                  <c:v>3.2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ČR</c:v>
                </c:pt>
              </c:strCache>
            </c:strRef>
          </c:tx>
          <c:cat>
            <c:numRef>
              <c:f>Sheet1!$B$1:$M$1</c:f>
              <c:numCache>
                <c:formatCode>General</c:formatCode>
                <c:ptCount val="1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</c:numCache>
            </c:num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3.27</c:v>
                </c:pt>
                <c:pt idx="1">
                  <c:v>3.3899999999999997</c:v>
                </c:pt>
                <c:pt idx="2">
                  <c:v>3.7800000000000002</c:v>
                </c:pt>
                <c:pt idx="3">
                  <c:v>3.4899999999999998</c:v>
                </c:pt>
                <c:pt idx="4">
                  <c:v>2.9299999999999997</c:v>
                </c:pt>
                <c:pt idx="5">
                  <c:v>3.54</c:v>
                </c:pt>
                <c:pt idx="6">
                  <c:v>4</c:v>
                </c:pt>
                <c:pt idx="7">
                  <c:v>3.6</c:v>
                </c:pt>
                <c:pt idx="8">
                  <c:v>3.5</c:v>
                </c:pt>
                <c:pt idx="9">
                  <c:v>3.7</c:v>
                </c:pt>
                <c:pt idx="10">
                  <c:v>3.8</c:v>
                </c:pt>
                <c:pt idx="11">
                  <c:v>3.75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EuroSCORE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cat>
            <c:numRef>
              <c:f>Sheet1!$B$1:$M$1</c:f>
              <c:numCache>
                <c:formatCode>General</c:formatCode>
                <c:ptCount val="12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</c:numCache>
            </c:numRef>
          </c:cat>
          <c:val>
            <c:numRef>
              <c:f>Sheet1!$B$4:$M$4</c:f>
              <c:numCache>
                <c:formatCode>General</c:formatCode>
                <c:ptCount val="12"/>
                <c:pt idx="3">
                  <c:v>3.9</c:v>
                </c:pt>
                <c:pt idx="4">
                  <c:v>4.4000000000000004</c:v>
                </c:pt>
                <c:pt idx="5">
                  <c:v>4.5999999999999996</c:v>
                </c:pt>
                <c:pt idx="6">
                  <c:v>4.55</c:v>
                </c:pt>
                <c:pt idx="7">
                  <c:v>4.45</c:v>
                </c:pt>
                <c:pt idx="8">
                  <c:v>4.3499999999999996</c:v>
                </c:pt>
                <c:pt idx="9">
                  <c:v>4.3499999999999996</c:v>
                </c:pt>
                <c:pt idx="10">
                  <c:v>4.4000000000000004</c:v>
                </c:pt>
                <c:pt idx="11">
                  <c:v>4.5</c:v>
                </c:pt>
              </c:numCache>
            </c:numRef>
          </c:val>
        </c:ser>
        <c:axId val="65674240"/>
        <c:axId val="69597824"/>
      </c:barChart>
      <c:catAx>
        <c:axId val="656742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aseline="0">
                <a:latin typeface="Arial" panose="020B0604020202020204" pitchFamily="34" charset="0"/>
              </a:defRPr>
            </a:pPr>
            <a:endParaRPr lang="cs-CZ"/>
          </a:p>
        </c:txPr>
        <c:crossAx val="69597824"/>
        <c:crosses val="autoZero"/>
        <c:auto val="1"/>
        <c:lblAlgn val="ctr"/>
        <c:lblOffset val="100"/>
      </c:catAx>
      <c:valAx>
        <c:axId val="69597824"/>
        <c:scaling>
          <c:orientation val="minMax"/>
          <c:max val="6"/>
        </c:scaling>
        <c:axPos val="l"/>
        <c:majorGridlines/>
        <c:numFmt formatCode="General" sourceLinked="1"/>
        <c:tickLblPos val="nextTo"/>
        <c:crossAx val="65674240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7637396655526888"/>
          <c:y val="4.6176995928025419E-2"/>
          <c:w val="0.11734140331601739"/>
          <c:h val="0.170807306804770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2048</Characters>
  <Application>Microsoft Office Word</Application>
  <DocSecurity>0</DocSecurity>
  <Lines>17</Lines>
  <Paragraphs>4</Paragraphs>
  <ScaleCrop>false</ScaleCrop>
  <Company>FNOL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58599</dc:creator>
  <cp:keywords/>
  <dc:description/>
  <cp:lastModifiedBy>58599</cp:lastModifiedBy>
  <cp:revision>4</cp:revision>
  <dcterms:created xsi:type="dcterms:W3CDTF">2015-01-07T11:09:00Z</dcterms:created>
  <dcterms:modified xsi:type="dcterms:W3CDTF">2015-01-07T11:34:00Z</dcterms:modified>
</cp:coreProperties>
</file>