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701"/>
        <w:tblOverlap w:val="never"/>
        <w:tblW w:w="12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6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4025BD" w:rsidRPr="00CB595B" w:rsidTr="004025BD">
        <w:trPr>
          <w:trHeight w:val="300"/>
          <w:tblCellSpacing w:w="0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Operace - propuštění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2017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CKTCH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10.2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 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 Královské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6.8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 Motol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5E3D39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FN Olomouc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5E3D39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5E3D39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5E3D39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5E3D39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8.3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 Plzeň Lochotín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FNsP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10.0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Nemocnice Na Homolce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9.1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Nemocnice Podlesí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8.3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VFN Praha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BD" w:rsidRPr="00CB595B" w:rsidRDefault="004025BD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</w:t>
            </w:r>
          </w:p>
        </w:tc>
      </w:tr>
      <w:tr w:rsidR="004025BD" w:rsidRPr="00CB595B" w:rsidTr="00A87A7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4025BD" w:rsidRPr="00CB595B" w:rsidRDefault="004025BD" w:rsidP="00402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</w:tcPr>
          <w:p w:rsidR="004025BD" w:rsidRPr="00CB595B" w:rsidRDefault="004025BD" w:rsidP="00402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4025BD" w:rsidRPr="00CB595B" w:rsidRDefault="00A87A76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4025BD" w:rsidRPr="00CB595B" w:rsidRDefault="00A87A76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4025BD" w:rsidRPr="00CB595B" w:rsidRDefault="00A87A76" w:rsidP="00A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10.2</w:t>
            </w:r>
          </w:p>
        </w:tc>
      </w:tr>
    </w:tbl>
    <w:p w:rsidR="008A17F5" w:rsidRDefault="008A17F5" w:rsidP="002D7136">
      <w:pPr>
        <w:jc w:val="center"/>
        <w:rPr>
          <w:b/>
        </w:rPr>
      </w:pPr>
      <w:r w:rsidRPr="00166546">
        <w:rPr>
          <w:b/>
        </w:rPr>
        <w:t>Indikátory kvality</w:t>
      </w:r>
    </w:p>
    <w:p w:rsidR="008A17F5" w:rsidRDefault="008A17F5" w:rsidP="008A17F5">
      <w:r>
        <w:t>U všech nemocných se srdeční operací je v průběhu hospitalizace vyplňován formulář pro Národní kardiochirurgický registr (viz přiložený soubor NKchR.txt). Data, generovaná kardiochirurgickými pracovišti v ČR, jsou uložena v Koordinačním středisku pro resortní zdravotnické informační systémy (</w:t>
      </w:r>
      <w:hyperlink r:id="rId7" w:history="1">
        <w:r w:rsidRPr="00AB45CA">
          <w:rPr>
            <w:rStyle w:val="Hypertextovodkaz"/>
          </w:rPr>
          <w:t>http://snzr.ksrzis.cz</w:t>
        </w:r>
      </w:hyperlink>
      <w:r>
        <w:t>). Každým rokem je prováděno kompletní statistické zpracování dodaných dat, umožňující různá srovnání.</w:t>
      </w:r>
    </w:p>
    <w:p w:rsidR="008A17F5" w:rsidRPr="0011322D" w:rsidRDefault="008A17F5" w:rsidP="008A17F5">
      <w:pPr>
        <w:rPr>
          <w:b/>
          <w:i/>
        </w:rPr>
      </w:pPr>
      <w:r w:rsidRPr="0011322D">
        <w:rPr>
          <w:b/>
          <w:i/>
        </w:rPr>
        <w:t>Hlavním indikátorem kvality je bezpečnost operačního výkonu pro nemocného, daná těmito parametry: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Kvalitní indikací na základě precizního předoperačního vyšetření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Operací bez peroperačních a pooperačních komplikací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Krátkou účinnou pooperační péčí a rehabilitací</w:t>
      </w:r>
    </w:p>
    <w:p w:rsidR="008A17F5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Včasným propuštěním do domácí péče ev. spádového zařízení</w:t>
      </w:r>
    </w:p>
    <w:p w:rsidR="00336DCC" w:rsidRDefault="008A17F5">
      <w:pPr>
        <w:rPr>
          <w:i/>
        </w:rPr>
      </w:pPr>
      <w:r w:rsidRPr="008A17F5">
        <w:rPr>
          <w:i/>
        </w:rPr>
        <w:t>Graf 1- srovnání délky hospitalizace mezi jednotlivými kardiochirurgickými pracovišti</w:t>
      </w: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p w:rsidR="00A87A76" w:rsidRDefault="00A87A76">
      <w:pPr>
        <w:rPr>
          <w:i/>
        </w:rPr>
      </w:pPr>
    </w:p>
    <w:tbl>
      <w:tblPr>
        <w:tblW w:w="132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8"/>
        <w:gridCol w:w="1219"/>
        <w:gridCol w:w="1305"/>
        <w:gridCol w:w="1218"/>
        <w:gridCol w:w="1218"/>
        <w:gridCol w:w="1218"/>
        <w:gridCol w:w="1218"/>
        <w:gridCol w:w="1305"/>
        <w:gridCol w:w="1218"/>
        <w:gridCol w:w="1218"/>
        <w:gridCol w:w="1219"/>
      </w:tblGrid>
      <w:tr w:rsidR="00A87A76" w:rsidRPr="00A87A76" w:rsidTr="002A5939">
        <w:trPr>
          <w:trHeight w:val="32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FNOL</w:t>
            </w:r>
          </w:p>
        </w:tc>
        <w:tc>
          <w:tcPr>
            <w:tcW w:w="61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A87A76" w:rsidRPr="00A87A76" w:rsidTr="002A5939">
        <w:trPr>
          <w:trHeight w:val="557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operací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Mortalita* (%)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ESII. (počet)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ESII. (průměr)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ESII. (median)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operací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Mortalita* (%)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ESII. (počet)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ESII. (průměr)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ESII. (median)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2,00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1,83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1,90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1,88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1,99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2,09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2,08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2,02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2,03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2,02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2,03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2,02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1,96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2,13</w:t>
            </w:r>
          </w:p>
        </w:tc>
      </w:tr>
      <w:tr w:rsidR="00A87A76" w:rsidRPr="00A87A76" w:rsidTr="002A5939">
        <w:trPr>
          <w:trHeight w:val="344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2,24</w:t>
            </w:r>
          </w:p>
        </w:tc>
      </w:tr>
      <w:tr w:rsidR="00A87A76" w:rsidRPr="00A87A76" w:rsidTr="002A5939">
        <w:trPr>
          <w:trHeight w:val="328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87A76" w:rsidRPr="00A87A76" w:rsidTr="002A5939">
        <w:trPr>
          <w:trHeight w:val="590"/>
        </w:trPr>
        <w:tc>
          <w:tcPr>
            <w:tcW w:w="13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Mortalita*</w:t>
            </w: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- 30-denní i hospitalizační mortalita, tj. pokud pacient zemřel do 30 dnů od operace nebo zemřel na daném pracovišti i po více než 30 dnech.</w:t>
            </w:r>
          </w:p>
        </w:tc>
      </w:tr>
      <w:tr w:rsidR="00A87A76" w:rsidRPr="00A87A76" w:rsidTr="002A5939">
        <w:trPr>
          <w:trHeight w:val="541"/>
        </w:trPr>
        <w:tc>
          <w:tcPr>
            <w:tcW w:w="13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ESII.</w:t>
            </w: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hodnota EuroSKORE II. je počítána pouze ze záznamů, ve kterých byly vyplněny všechny položky potřebné pro výpočet EuroSKORE II.  </w:t>
            </w:r>
          </w:p>
        </w:tc>
      </w:tr>
      <w:tr w:rsidR="00A87A76" w:rsidRPr="00A87A76" w:rsidTr="002A5939">
        <w:trPr>
          <w:trHeight w:val="328"/>
        </w:trPr>
        <w:tc>
          <w:tcPr>
            <w:tcW w:w="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Zdroj dat za zemřelé: ČSÚ - Informační systém Zemřelí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87A76" w:rsidRPr="00A87A76" w:rsidTr="002A5939">
        <w:trPr>
          <w:trHeight w:val="328"/>
        </w:trPr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7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Zdroj dat: NKR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76" w:rsidRPr="00A87A76" w:rsidRDefault="00A87A76" w:rsidP="00A8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A17F5" w:rsidRPr="008A17F5" w:rsidRDefault="008A17F5" w:rsidP="00A87A76">
      <w:pPr>
        <w:rPr>
          <w:i/>
        </w:rPr>
      </w:pPr>
    </w:p>
    <w:sectPr w:rsidR="008A17F5" w:rsidRPr="008A17F5" w:rsidSect="002D7136">
      <w:headerReference w:type="default" r:id="rId8"/>
      <w:footerReference w:type="default" r:id="rId9"/>
      <w:pgSz w:w="16838" w:h="11906" w:orient="landscape"/>
      <w:pgMar w:top="1418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36" w:rsidRDefault="002D7136" w:rsidP="002D7136">
      <w:pPr>
        <w:spacing w:after="0" w:line="240" w:lineRule="auto"/>
      </w:pPr>
      <w:r>
        <w:separator/>
      </w:r>
    </w:p>
  </w:endnote>
  <w:endnote w:type="continuationSeparator" w:id="0">
    <w:p w:rsidR="002D7136" w:rsidRDefault="002D7136" w:rsidP="002D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136" w:rsidRPr="006C5BA2" w:rsidRDefault="002D7136" w:rsidP="002D713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1A6A9C">
      <w:rPr>
        <w:rFonts w:ascii="Calibri" w:hAnsi="Calibri"/>
        <w:color w:val="706F6F"/>
        <w:lang w:eastAsia="cs-CZ"/>
      </w:rPr>
      <w:pict>
        <v:line id="_x0000_s2055" style="position:absolute;z-index:251658240;mso-wrap-distance-left:0;mso-wrap-distance-right:0;mso-position-horizontal-relative:page" from="52.5pt,-4.95pt" to="760.5pt,-4.95pt" strokecolor="#5ca6c0" strokeweight=".77717mm">
          <w10:wrap type="topAndBottom" anchorx="page"/>
        </v:line>
      </w:pict>
    </w:r>
    <w:r w:rsidRPr="001A6A9C">
      <w:rPr>
        <w:rFonts w:ascii="Calibri" w:hAnsi="Calibri"/>
        <w:noProof/>
        <w:color w:val="706F6F"/>
        <w:lang w:eastAsia="cs-CZ"/>
      </w:rPr>
      <w:pict>
        <v:line id="_x0000_s2057" style="position:absolute;z-index:251658240;mso-position-horizontal-relative:page" from="17.85pt,-215.8pt" to="31.85pt,-215.8pt" strokecolor="#5ca6c0" strokeweight=".16792mm">
          <w10:wrap anchorx="page"/>
          <w10:anchorlock/>
        </v:line>
      </w:pict>
    </w:r>
    <w:r w:rsidRPr="001A6A9C">
      <w:rPr>
        <w:rFonts w:ascii="Calibri" w:hAnsi="Calibri"/>
        <w:noProof/>
        <w:color w:val="706F6F"/>
        <w:lang w:eastAsia="cs-CZ"/>
      </w:rPr>
      <w:pict>
        <v:line id="_x0000_s2056" style="position:absolute;z-index:251658240;mso-position-horizontal-relative:page" from="17.85pt,-497.45pt" to="31.85pt,-497.45pt" strokecolor="#5ca6c0" strokeweight=".16792mm">
          <w10:wrap anchorx="page"/>
          <w10:anchorlock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2D7136" w:rsidRPr="006C5BA2" w:rsidRDefault="002D7136" w:rsidP="002D713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2D7136" w:rsidRPr="002D7136" w:rsidRDefault="002D7136" w:rsidP="002D713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36" w:rsidRDefault="002D7136" w:rsidP="002D7136">
      <w:pPr>
        <w:spacing w:after="0" w:line="240" w:lineRule="auto"/>
      </w:pPr>
      <w:r>
        <w:separator/>
      </w:r>
    </w:p>
  </w:footnote>
  <w:footnote w:type="continuationSeparator" w:id="0">
    <w:p w:rsidR="002D7136" w:rsidRDefault="002D7136" w:rsidP="002D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136" w:rsidRDefault="002D7136">
    <w:pPr>
      <w:pStyle w:val="Zhlav"/>
    </w:pPr>
    <w:r w:rsidRPr="002D7136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-220980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7136" w:rsidRDefault="002D7136">
    <w:pPr>
      <w:pStyle w:val="Zhlav"/>
    </w:pPr>
  </w:p>
  <w:p w:rsidR="002D7136" w:rsidRDefault="002D7136" w:rsidP="002D7136">
    <w:pPr>
      <w:spacing w:after="0" w:line="240" w:lineRule="auto"/>
    </w:pPr>
    <w:r>
      <w:rPr>
        <w:rFonts w:ascii="Calibri" w:hAnsi="Calibri"/>
        <w:b/>
        <w:color w:val="706F6F"/>
        <w:sz w:val="25"/>
        <w:szCs w:val="25"/>
      </w:rPr>
      <w:t xml:space="preserve">Kardiochirurgická klinika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6F00"/>
    <w:multiLevelType w:val="hybridMultilevel"/>
    <w:tmpl w:val="169CA208"/>
    <w:lvl w:ilvl="0" w:tplc="417816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7D7E"/>
    <w:rsid w:val="0011322D"/>
    <w:rsid w:val="001C122A"/>
    <w:rsid w:val="002A5939"/>
    <w:rsid w:val="002D7136"/>
    <w:rsid w:val="00336DCC"/>
    <w:rsid w:val="003B6B92"/>
    <w:rsid w:val="004025BD"/>
    <w:rsid w:val="005E3D39"/>
    <w:rsid w:val="006712FF"/>
    <w:rsid w:val="00817D7E"/>
    <w:rsid w:val="008A17F5"/>
    <w:rsid w:val="008B53DC"/>
    <w:rsid w:val="00A87A76"/>
    <w:rsid w:val="00C40EB3"/>
    <w:rsid w:val="00F3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7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17F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D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7136"/>
  </w:style>
  <w:style w:type="paragraph" w:styleId="Zpat">
    <w:name w:val="footer"/>
    <w:basedOn w:val="Normln"/>
    <w:link w:val="ZpatChar"/>
    <w:uiPriority w:val="99"/>
    <w:semiHidden/>
    <w:unhideWhenUsed/>
    <w:rsid w:val="002D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nzr.ksrz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58599</dc:creator>
  <cp:lastModifiedBy>64561</cp:lastModifiedBy>
  <cp:revision>3</cp:revision>
  <dcterms:created xsi:type="dcterms:W3CDTF">2018-06-08T12:34:00Z</dcterms:created>
  <dcterms:modified xsi:type="dcterms:W3CDTF">2018-06-08T12:52:00Z</dcterms:modified>
</cp:coreProperties>
</file>