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07" w:rsidRDefault="00324172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Klinika chorob kožních a pohlavních</w:t>
      </w:r>
    </w:p>
    <w:p w:rsidR="00324172" w:rsidRDefault="00324172" w:rsidP="00011D7D">
      <w:pPr>
        <w:jc w:val="center"/>
        <w:rPr>
          <w:rFonts w:ascii="Arial" w:hAnsi="Arial" w:cs="Arial"/>
          <w:b/>
          <w:color w:val="00529C"/>
        </w:rPr>
      </w:pPr>
      <w:r w:rsidRPr="00324172">
        <w:rPr>
          <w:rFonts w:ascii="Arial" w:hAnsi="Arial" w:cs="Arial"/>
          <w:b/>
          <w:color w:val="00529C"/>
        </w:rPr>
        <w:t>Vyhodnocení indikátorů kvality za rok 20</w:t>
      </w:r>
      <w:r w:rsidR="00011D7D">
        <w:rPr>
          <w:rFonts w:ascii="Arial" w:hAnsi="Arial" w:cs="Arial"/>
          <w:b/>
          <w:color w:val="00529C"/>
        </w:rPr>
        <w:t>2</w:t>
      </w:r>
      <w:r w:rsidR="00F6131F">
        <w:rPr>
          <w:rFonts w:ascii="Arial" w:hAnsi="Arial" w:cs="Arial"/>
          <w:b/>
          <w:color w:val="00529C"/>
        </w:rPr>
        <w:t>1</w:t>
      </w:r>
    </w:p>
    <w:p w:rsidR="00F6131F" w:rsidRDefault="00F6131F" w:rsidP="00F6131F">
      <w:r>
        <w:t xml:space="preserve">Od 1. 3. 2019 sledujeme na našem pracovišti </w:t>
      </w:r>
      <w:r w:rsidRPr="00DF7221">
        <w:rPr>
          <w:b/>
        </w:rPr>
        <w:t>dva nové indikátory kvality</w:t>
      </w:r>
      <w:r>
        <w:t>, související s činností na operačním sálku, což jsou:</w:t>
      </w:r>
    </w:p>
    <w:p w:rsidR="00F6131F" w:rsidRPr="000B06DA" w:rsidRDefault="00F6131F" w:rsidP="00F6131F">
      <w:pPr>
        <w:pStyle w:val="Odstavecseseznamem"/>
        <w:numPr>
          <w:ilvl w:val="0"/>
          <w:numId w:val="1"/>
        </w:numPr>
        <w:spacing w:after="160" w:line="259" w:lineRule="auto"/>
        <w:rPr>
          <w:b/>
        </w:rPr>
      </w:pPr>
      <w:r w:rsidRPr="000B06DA">
        <w:rPr>
          <w:b/>
        </w:rPr>
        <w:t xml:space="preserve">Shoda klinické diagnózy a histologickou diagnózou </w:t>
      </w:r>
      <w:r>
        <w:rPr>
          <w:b/>
        </w:rPr>
        <w:t xml:space="preserve">u </w:t>
      </w:r>
      <w:r w:rsidRPr="000B06DA">
        <w:rPr>
          <w:b/>
        </w:rPr>
        <w:t>kožních lézí, získaných totální excizí u ambulantn</w:t>
      </w:r>
      <w:r>
        <w:rPr>
          <w:b/>
        </w:rPr>
        <w:t>ích pacientů na operačním sálku</w:t>
      </w:r>
    </w:p>
    <w:p w:rsidR="00F6131F" w:rsidRDefault="00F6131F" w:rsidP="00F6131F">
      <w:pPr>
        <w:pStyle w:val="Odstavecseseznamem"/>
      </w:pPr>
    </w:p>
    <w:p w:rsidR="00F6131F" w:rsidRDefault="00F6131F" w:rsidP="00F6131F">
      <w:pPr>
        <w:pStyle w:val="Odstavecseseznamem"/>
        <w:numPr>
          <w:ilvl w:val="0"/>
          <w:numId w:val="1"/>
        </w:numPr>
        <w:spacing w:after="160" w:line="259" w:lineRule="auto"/>
        <w:rPr>
          <w:b/>
        </w:rPr>
      </w:pPr>
      <w:r w:rsidRPr="0053612C">
        <w:rPr>
          <w:b/>
        </w:rPr>
        <w:t>Správná indikace bezpečnostního lemu od okraje léze</w:t>
      </w:r>
      <w:bookmarkStart w:id="0" w:name="_GoBack"/>
      <w:bookmarkEnd w:id="0"/>
    </w:p>
    <w:p w:rsidR="00F6131F" w:rsidRPr="000F1310" w:rsidRDefault="00F6131F" w:rsidP="00F6131F">
      <w:pPr>
        <w:rPr>
          <w:b/>
        </w:rPr>
      </w:pPr>
      <w:r>
        <w:rPr>
          <w:b/>
        </w:rPr>
        <w:t>Vyhodnocení za období 1. 1. 2021 – 31. 12. 2021</w:t>
      </w:r>
    </w:p>
    <w:p w:rsidR="00F6131F" w:rsidRDefault="00F6131F" w:rsidP="00F6131F">
      <w:pPr>
        <w:jc w:val="both"/>
      </w:pPr>
      <w:r>
        <w:t xml:space="preserve">Celkem bylo v tomto období provedeno celkem 1052 excizí, z čehož bylo 948 totálních excizí, což je oproti předchozímu roku nárůst o 132 totálních excizí. Celkem bylo na sálku ošetřeno 995 pacientů (u dalších 47 pacientů byla provedena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kryodestrukce</w:t>
      </w:r>
      <w:proofErr w:type="spellEnd"/>
      <w:r>
        <w:t xml:space="preserve"> keloidních jizev), což představuje nárůst oproti předchozímu roku o 499 pacientů. Na těchto ukazatelích je možné sledovat klesající negativní dopad anti-</w:t>
      </w:r>
      <w:proofErr w:type="spellStart"/>
      <w:r>
        <w:t>covidových</w:t>
      </w:r>
      <w:proofErr w:type="spellEnd"/>
      <w:r>
        <w:t xml:space="preserve"> opatření oproti roku 2020 </w:t>
      </w:r>
      <w:r w:rsidRPr="00886680">
        <w:t>(816 totálních excizí u 496 pacientů</w:t>
      </w:r>
      <w:r>
        <w:t xml:space="preserve"> v r. 2020</w:t>
      </w:r>
      <w:r w:rsidRPr="00886680">
        <w:t>).</w:t>
      </w:r>
    </w:p>
    <w:p w:rsidR="00F6131F" w:rsidRDefault="00F6131F" w:rsidP="00F6131F">
      <w:pPr>
        <w:jc w:val="both"/>
      </w:pPr>
      <w:r w:rsidRPr="000F1310">
        <w:rPr>
          <w:b/>
        </w:rPr>
        <w:t>ad 1)</w:t>
      </w:r>
      <w:r>
        <w:t xml:space="preserve"> Z celkového počtu 948 totálních excizí bylo vyhodnoceno jako neshoda celkem 13 případů. Z těchto 13 případů se v 4 případech jednalo o situaci, kdy klinicky byla zvažována závažnější diagnóza, nežli se prokázalo v histologickém </w:t>
      </w:r>
      <w:r>
        <w:t>vyšetření – ve</w:t>
      </w:r>
      <w:r>
        <w:t xml:space="preserve"> dvou případech klinicky zvažovaný </w:t>
      </w:r>
      <w:proofErr w:type="spellStart"/>
      <w:r>
        <w:t>basaliom</w:t>
      </w:r>
      <w:proofErr w:type="spellEnd"/>
      <w:r>
        <w:t xml:space="preserve"> vyšel jako intradermální névus, 1x klinicky zvažovaný </w:t>
      </w:r>
      <w:proofErr w:type="spellStart"/>
      <w:r>
        <w:t>basaliom</w:t>
      </w:r>
      <w:proofErr w:type="spellEnd"/>
      <w:r>
        <w:t xml:space="preserve"> vyšel jako hyperplazie </w:t>
      </w:r>
      <w:r w:rsidRPr="00886680">
        <w:t>mazových žláz</w:t>
      </w:r>
      <w:r>
        <w:t xml:space="preserve"> a 1x jako </w:t>
      </w:r>
      <w:proofErr w:type="spellStart"/>
      <w:r>
        <w:t>světlobuněčný</w:t>
      </w:r>
      <w:proofErr w:type="spellEnd"/>
      <w:r>
        <w:t xml:space="preserve"> </w:t>
      </w:r>
      <w:proofErr w:type="spellStart"/>
      <w:r>
        <w:t>akantom</w:t>
      </w:r>
      <w:proofErr w:type="spellEnd"/>
      <w:r>
        <w:t>.</w:t>
      </w:r>
    </w:p>
    <w:p w:rsidR="00F6131F" w:rsidRDefault="00F6131F" w:rsidP="00F6131F">
      <w:pPr>
        <w:jc w:val="both"/>
      </w:pPr>
      <w:r>
        <w:t xml:space="preserve"> V 9 případech vyšla ve výsledku závažnější diagnóza, než byl klinický předpoklad, a to 2 x klinicky zvažovaný </w:t>
      </w:r>
      <w:proofErr w:type="spellStart"/>
      <w:r>
        <w:t>basaliom</w:t>
      </w:r>
      <w:proofErr w:type="spellEnd"/>
      <w:r>
        <w:t xml:space="preserve"> vyšel jako karcinom </w:t>
      </w:r>
      <w:proofErr w:type="spellStart"/>
      <w:r>
        <w:t>spinocelulární</w:t>
      </w:r>
      <w:proofErr w:type="spellEnd"/>
      <w:r>
        <w:t xml:space="preserve"> (z toho 1x in </w:t>
      </w:r>
      <w:proofErr w:type="spellStart"/>
      <w:r>
        <w:t>situ</w:t>
      </w:r>
      <w:proofErr w:type="spellEnd"/>
      <w:r>
        <w:t xml:space="preserve">) a 7 x klinicky zvažovaný </w:t>
      </w:r>
      <w:proofErr w:type="spellStart"/>
      <w:r>
        <w:t>dysplastcký</w:t>
      </w:r>
      <w:proofErr w:type="spellEnd"/>
      <w:r>
        <w:t xml:space="preserve"> névus vyšel histologicky jako melanom, a to buďto </w:t>
      </w:r>
      <w:proofErr w:type="spellStart"/>
      <w:r>
        <w:t>melanoma</w:t>
      </w:r>
      <w:proofErr w:type="spellEnd"/>
      <w:r>
        <w:t xml:space="preserve"> in </w:t>
      </w:r>
      <w:proofErr w:type="spellStart"/>
      <w:r>
        <w:t>situ</w:t>
      </w:r>
      <w:proofErr w:type="spellEnd"/>
      <w:r>
        <w:t xml:space="preserve"> (3x) nebo melanom </w:t>
      </w:r>
      <w:proofErr w:type="spellStart"/>
      <w:r>
        <w:t>superficiáně</w:t>
      </w:r>
      <w:proofErr w:type="spellEnd"/>
      <w:r>
        <w:t xml:space="preserve"> se šířící (3x), což jsou v obou případech biologicky příznivé formy melanomu, pouze 1x jako maligní melanom, kdy byla s ohledem na parametry nádoru (</w:t>
      </w:r>
      <w:proofErr w:type="spellStart"/>
      <w:r>
        <w:t>Clark</w:t>
      </w:r>
      <w:proofErr w:type="spellEnd"/>
      <w:r>
        <w:t xml:space="preserve">, </w:t>
      </w:r>
      <w:proofErr w:type="spellStart"/>
      <w:r>
        <w:t>Breslow</w:t>
      </w:r>
      <w:proofErr w:type="spellEnd"/>
      <w:r>
        <w:t xml:space="preserve">) indikována </w:t>
      </w:r>
      <w:proofErr w:type="spellStart"/>
      <w:r>
        <w:t>reexcize</w:t>
      </w:r>
      <w:proofErr w:type="spellEnd"/>
      <w:r>
        <w:t>. V </w:t>
      </w:r>
      <w:proofErr w:type="spellStart"/>
      <w:r>
        <w:t>reexcidovaném</w:t>
      </w:r>
      <w:proofErr w:type="spellEnd"/>
      <w:r>
        <w:t xml:space="preserve"> materiálu nádor prokázán nebyl. Tito pacienti nebyli nepřesnou klinickou diagnosou a z ní plynoucí indikací výkonu znevýhodněni, jelikož bezpečnostní lem byl dostatečný. </w:t>
      </w:r>
    </w:p>
    <w:p w:rsidR="00F6131F" w:rsidRDefault="00F6131F" w:rsidP="00F6131F">
      <w:pPr>
        <w:jc w:val="both"/>
        <w:rPr>
          <w:b/>
        </w:rPr>
      </w:pPr>
      <w:r w:rsidRPr="000F1310">
        <w:rPr>
          <w:b/>
        </w:rPr>
        <w:t xml:space="preserve">Tento indikátor kvality lze hodnotit velmi pozitivně, jelikož prokázal velkou míru shody mezi klinickou a histologickou diagnózou. </w:t>
      </w:r>
      <w:r>
        <w:rPr>
          <w:b/>
        </w:rPr>
        <w:t>Oproti předchozímu sledovanému období došlo k významnému poklesu případů, kdy klinická diagnóza byla jiná nežli dg. histologická.</w:t>
      </w:r>
    </w:p>
    <w:p w:rsidR="00F6131F" w:rsidRDefault="00F6131F" w:rsidP="00F6131F">
      <w:pPr>
        <w:jc w:val="both"/>
        <w:rPr>
          <w:b/>
        </w:rPr>
      </w:pPr>
      <w:r w:rsidRPr="000F1310">
        <w:rPr>
          <w:b/>
        </w:rPr>
        <w:t>ad 2)</w:t>
      </w:r>
      <w:r>
        <w:t xml:space="preserve"> Z celkového počtu 948 totálních excizí bylo 946 excizí provedených jako totálních, s dostatečným bezpečnostním lemem, pouze ve dvou případech byla dosahovala léze, konkrétně pigmentový névus, k okraji excize. V jednom případě se jednalo o intradermální névus, kde </w:t>
      </w:r>
      <w:proofErr w:type="spellStart"/>
      <w:r>
        <w:t>reexcize</w:t>
      </w:r>
      <w:proofErr w:type="spellEnd"/>
      <w:r>
        <w:t xml:space="preserve"> nebyla nutná, 1x byla proveden </w:t>
      </w:r>
      <w:proofErr w:type="spellStart"/>
      <w:r>
        <w:t>reexcize</w:t>
      </w:r>
      <w:proofErr w:type="spellEnd"/>
      <w:r>
        <w:t xml:space="preserve">, jelikož névus vykazoval histologicky </w:t>
      </w:r>
      <w:proofErr w:type="spellStart"/>
      <w:r>
        <w:t>dysplatické</w:t>
      </w:r>
      <w:proofErr w:type="spellEnd"/>
      <w:r>
        <w:t xml:space="preserve"> rysy. </w:t>
      </w:r>
      <w:r w:rsidRPr="000F1310">
        <w:rPr>
          <w:b/>
        </w:rPr>
        <w:t>I tento indikátor lze hodnotit velmi příznivě.</w:t>
      </w:r>
    </w:p>
    <w:p w:rsidR="00F6131F" w:rsidRPr="000F1310" w:rsidRDefault="00F6131F" w:rsidP="00F6131F">
      <w:r w:rsidRPr="007E1EC9">
        <w:t>Za kliniku chorob kožních a pohlavních zpracovala:</w:t>
      </w:r>
      <w:r>
        <w:t xml:space="preserve"> </w:t>
      </w:r>
      <w:r w:rsidRPr="000F1310">
        <w:t>MUDr. Renata Kučerová, Ph.D.</w:t>
      </w:r>
    </w:p>
    <w:p w:rsidR="00F6131F" w:rsidRDefault="00F6131F" w:rsidP="00F6131F">
      <w:pPr>
        <w:spacing w:after="0" w:line="240" w:lineRule="auto"/>
      </w:pPr>
      <w:r w:rsidRPr="000F1310">
        <w:t>Příprava podkladů:</w:t>
      </w:r>
      <w:r>
        <w:t xml:space="preserve"> </w:t>
      </w:r>
      <w:r w:rsidRPr="000F1310">
        <w:t xml:space="preserve">sestra Miroslava </w:t>
      </w:r>
      <w:proofErr w:type="spellStart"/>
      <w:r w:rsidRPr="000F1310">
        <w:t>Krajcová</w:t>
      </w:r>
      <w:proofErr w:type="spellEnd"/>
    </w:p>
    <w:p w:rsidR="00F6131F" w:rsidRDefault="00F6131F" w:rsidP="00F6131F">
      <w:pPr>
        <w:spacing w:after="0" w:line="240" w:lineRule="auto"/>
      </w:pPr>
      <w:r>
        <w:t>V Olomouci dne 6. 3. 2022</w:t>
      </w:r>
    </w:p>
    <w:p w:rsidR="00246538" w:rsidRPr="00011D7D" w:rsidRDefault="00246538" w:rsidP="00F6131F">
      <w:pPr>
        <w:jc w:val="both"/>
      </w:pPr>
    </w:p>
    <w:sectPr w:rsidR="00246538" w:rsidRPr="00011D7D" w:rsidSect="00C304F0">
      <w:headerReference w:type="default" r:id="rId7"/>
      <w:pgSz w:w="11906" w:h="16838"/>
      <w:pgMar w:top="1418" w:right="1418" w:bottom="709" w:left="208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1B5" w:rsidRDefault="006301B5" w:rsidP="00FD042F">
      <w:pPr>
        <w:spacing w:after="0" w:line="240" w:lineRule="auto"/>
      </w:pPr>
      <w:r>
        <w:separator/>
      </w:r>
    </w:p>
  </w:endnote>
  <w:endnote w:type="continuationSeparator" w:id="0">
    <w:p w:rsidR="006301B5" w:rsidRDefault="006301B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1B5" w:rsidRDefault="006301B5" w:rsidP="00FD042F">
      <w:pPr>
        <w:spacing w:after="0" w:line="240" w:lineRule="auto"/>
      </w:pPr>
      <w:r>
        <w:separator/>
      </w:r>
    </w:p>
  </w:footnote>
  <w:footnote w:type="continuationSeparator" w:id="0">
    <w:p w:rsidR="006301B5" w:rsidRDefault="006301B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1B5" w:rsidRDefault="0063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-547370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01B5" w:rsidRDefault="006301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41AD4"/>
    <w:multiLevelType w:val="hybridMultilevel"/>
    <w:tmpl w:val="7D62B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43E1A"/>
    <w:multiLevelType w:val="multilevel"/>
    <w:tmpl w:val="B0763EF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42F"/>
    <w:rsid w:val="00011D7D"/>
    <w:rsid w:val="000F0B7E"/>
    <w:rsid w:val="000F6813"/>
    <w:rsid w:val="0013447B"/>
    <w:rsid w:val="0013471D"/>
    <w:rsid w:val="001B1936"/>
    <w:rsid w:val="001B5834"/>
    <w:rsid w:val="001D3AF0"/>
    <w:rsid w:val="00204F8B"/>
    <w:rsid w:val="0021015A"/>
    <w:rsid w:val="00223B6C"/>
    <w:rsid w:val="00245BEA"/>
    <w:rsid w:val="00246538"/>
    <w:rsid w:val="002706DA"/>
    <w:rsid w:val="00276E35"/>
    <w:rsid w:val="00304CDE"/>
    <w:rsid w:val="00314245"/>
    <w:rsid w:val="00324172"/>
    <w:rsid w:val="003947C7"/>
    <w:rsid w:val="003D12AC"/>
    <w:rsid w:val="00406764"/>
    <w:rsid w:val="004B28BB"/>
    <w:rsid w:val="004B68DC"/>
    <w:rsid w:val="004E4754"/>
    <w:rsid w:val="00501F08"/>
    <w:rsid w:val="005619D7"/>
    <w:rsid w:val="005C147E"/>
    <w:rsid w:val="006301B5"/>
    <w:rsid w:val="00663062"/>
    <w:rsid w:val="006B359D"/>
    <w:rsid w:val="006C44C3"/>
    <w:rsid w:val="0071591E"/>
    <w:rsid w:val="007928FD"/>
    <w:rsid w:val="00800D3D"/>
    <w:rsid w:val="00821D07"/>
    <w:rsid w:val="008330B1"/>
    <w:rsid w:val="008A1540"/>
    <w:rsid w:val="00944134"/>
    <w:rsid w:val="009B2CBA"/>
    <w:rsid w:val="00A20BAB"/>
    <w:rsid w:val="00A71DCB"/>
    <w:rsid w:val="00AC7273"/>
    <w:rsid w:val="00AE6808"/>
    <w:rsid w:val="00BA3C92"/>
    <w:rsid w:val="00C15461"/>
    <w:rsid w:val="00C304F0"/>
    <w:rsid w:val="00C75EC9"/>
    <w:rsid w:val="00CB5559"/>
    <w:rsid w:val="00CE2690"/>
    <w:rsid w:val="00D94FC4"/>
    <w:rsid w:val="00DC6FA0"/>
    <w:rsid w:val="00DC72A5"/>
    <w:rsid w:val="00E85A53"/>
    <w:rsid w:val="00E95758"/>
    <w:rsid w:val="00F246F9"/>
    <w:rsid w:val="00F6131F"/>
    <w:rsid w:val="00FD042F"/>
    <w:rsid w:val="00FD22A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8326AF"/>
  <w15:docId w15:val="{0C0F1B4A-4398-43D3-BB7E-8E694FAB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adpis2"/>
    <w:link w:val="Nadpis1Char"/>
    <w:qFormat/>
    <w:rsid w:val="006301B5"/>
    <w:pPr>
      <w:keepNext/>
      <w:numPr>
        <w:numId w:val="2"/>
      </w:numPr>
      <w:suppressAutoHyphens/>
      <w:spacing w:before="480" w:after="6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styleId="Nadpis2">
    <w:name w:val="heading 2"/>
    <w:basedOn w:val="Nadpis1"/>
    <w:next w:val="Nadpis3"/>
    <w:link w:val="Nadpis2Char"/>
    <w:qFormat/>
    <w:rsid w:val="006301B5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qFormat/>
    <w:rsid w:val="006301B5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qFormat/>
    <w:rsid w:val="006301B5"/>
    <w:pPr>
      <w:numPr>
        <w:ilvl w:val="3"/>
      </w:numPr>
      <w:spacing w:before="80"/>
      <w:outlineLvl w:val="3"/>
    </w:pPr>
  </w:style>
  <w:style w:type="paragraph" w:styleId="Nadpis5">
    <w:name w:val="heading 5"/>
    <w:basedOn w:val="Nadpis3"/>
    <w:link w:val="Nadpis5Char"/>
    <w:qFormat/>
    <w:rsid w:val="006301B5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qFormat/>
    <w:rsid w:val="006301B5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qFormat/>
    <w:rsid w:val="006301B5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qFormat/>
    <w:rsid w:val="006301B5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6301B5"/>
    <w:pPr>
      <w:keepNext/>
      <w:numPr>
        <w:ilvl w:val="8"/>
        <w:numId w:val="2"/>
      </w:numPr>
      <w:spacing w:before="12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  <w:style w:type="table" w:customStyle="1" w:styleId="Svtlseznamzvraznn11">
    <w:name w:val="Světlý seznam – zvýraznění 11"/>
    <w:basedOn w:val="Normlntabulka"/>
    <w:uiPriority w:val="61"/>
    <w:rsid w:val="003241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6301B5"/>
    <w:rPr>
      <w:rFonts w:ascii="Times New Roman" w:eastAsia="Times New Roman" w:hAnsi="Times New Roman" w:cs="Times New Roman"/>
      <w:b/>
      <w:caps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301B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6301B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6301B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6301B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2017-06-15T07:20:00Z</cp:lastPrinted>
  <dcterms:created xsi:type="dcterms:W3CDTF">2022-03-14T12:22:00Z</dcterms:created>
  <dcterms:modified xsi:type="dcterms:W3CDTF">2022-03-14T12:22:00Z</dcterms:modified>
</cp:coreProperties>
</file>