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054"/>
      </w:tblGrid>
      <w:tr w:rsidR="005C147E" w:rsidRPr="006D55D5" w:rsidTr="00D1259B">
        <w:trPr>
          <w:trHeight w:hRule="exact" w:val="567"/>
        </w:trPr>
        <w:tc>
          <w:tcPr>
            <w:tcW w:w="6487" w:type="dxa"/>
          </w:tcPr>
          <w:p w:rsidR="005C147E" w:rsidRPr="006D55D5" w:rsidRDefault="005E6F86" w:rsidP="00FD042F">
            <w:pPr>
              <w:rPr>
                <w:b/>
                <w:color w:val="706F6F"/>
                <w:sz w:val="25"/>
                <w:szCs w:val="25"/>
              </w:rPr>
            </w:pPr>
            <w:r w:rsidRPr="006D55D5">
              <w:rPr>
                <w:b/>
                <w:color w:val="706F6F"/>
                <w:sz w:val="25"/>
                <w:szCs w:val="25"/>
              </w:rPr>
              <w:t>Oddělení lékařské fyziky a radiační ochrany</w:t>
            </w:r>
          </w:p>
        </w:tc>
        <w:tc>
          <w:tcPr>
            <w:tcW w:w="2054" w:type="dxa"/>
          </w:tcPr>
          <w:p w:rsidR="005C147E" w:rsidRPr="006D55D5" w:rsidRDefault="005C147E" w:rsidP="005C147E">
            <w:pPr>
              <w:pStyle w:val="Heading1"/>
              <w:spacing w:before="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5B357D" w:rsidP="005B357D">
            <w:pPr>
              <w:pStyle w:val="Heading1"/>
              <w:spacing w:before="0" w:after="20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09</w:t>
            </w:r>
            <w:r w:rsidR="005C147E"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/0</w:t>
            </w:r>
            <w:r w:rsidR="000024A7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</w:t>
            </w:r>
            <w:r w:rsidR="005C147E"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/20</w:t>
            </w: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</w:t>
            </w:r>
            <w:r w:rsidR="000024A7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1</w:t>
            </w:r>
          </w:p>
          <w:p w:rsidR="006D55D5" w:rsidRDefault="006D55D5" w:rsidP="006D55D5">
            <w:pPr>
              <w:pStyle w:val="Heading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</w:p>
          <w:p w:rsidR="006D55D5" w:rsidRPr="006D55D5" w:rsidRDefault="006D55D5" w:rsidP="006D55D5">
            <w:pPr>
              <w:pStyle w:val="Heading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</w:rPr>
            </w:pPr>
          </w:p>
        </w:tc>
      </w:tr>
    </w:tbl>
    <w:p w:rsidR="006D55D5" w:rsidRDefault="006D55D5" w:rsidP="00924817">
      <w:pPr>
        <w:tabs>
          <w:tab w:val="left" w:pos="340"/>
        </w:tabs>
        <w:spacing w:after="0"/>
        <w:jc w:val="center"/>
        <w:rPr>
          <w:rFonts w:cs="Arial"/>
          <w:b/>
          <w:color w:val="00529C"/>
          <w:sz w:val="24"/>
          <w:szCs w:val="24"/>
        </w:rPr>
      </w:pPr>
    </w:p>
    <w:p w:rsidR="006D55D5" w:rsidRPr="009D1ABF" w:rsidRDefault="006D55D5" w:rsidP="006D55D5">
      <w:pPr>
        <w:tabs>
          <w:tab w:val="left" w:pos="340"/>
        </w:tabs>
        <w:rPr>
          <w:rFonts w:cs="Arial"/>
          <w:b/>
          <w:color w:val="595959" w:themeColor="text1" w:themeTint="A6"/>
          <w:sz w:val="24"/>
          <w:szCs w:val="24"/>
        </w:rPr>
      </w:pPr>
      <w:r w:rsidRPr="009D1ABF">
        <w:rPr>
          <w:rFonts w:cs="Arial"/>
          <w:b/>
          <w:color w:val="595959" w:themeColor="text1" w:themeTint="A6"/>
          <w:sz w:val="24"/>
          <w:szCs w:val="24"/>
        </w:rPr>
        <w:t>Analýza indikátoru kvality LFRO na RDG</w:t>
      </w:r>
    </w:p>
    <w:p w:rsidR="006D55D5" w:rsidRPr="009D1ABF" w:rsidRDefault="006D55D5" w:rsidP="00924817">
      <w:pPr>
        <w:tabs>
          <w:tab w:val="left" w:pos="340"/>
        </w:tabs>
        <w:spacing w:after="120"/>
        <w:jc w:val="both"/>
        <w:rPr>
          <w:rFonts w:cs="Arial"/>
          <w:bCs/>
          <w:color w:val="595959" w:themeColor="text1" w:themeTint="A6"/>
        </w:rPr>
      </w:pPr>
      <w:r w:rsidRPr="009D1ABF">
        <w:rPr>
          <w:rFonts w:cs="Arial"/>
          <w:b/>
          <w:color w:val="595959" w:themeColor="text1" w:themeTint="A6"/>
        </w:rPr>
        <w:t>Indikátor kvality:</w:t>
      </w:r>
      <w:r w:rsidRPr="009D1ABF">
        <w:rPr>
          <w:rFonts w:cs="Arial"/>
          <w:color w:val="595959" w:themeColor="text1" w:themeTint="A6"/>
        </w:rPr>
        <w:t xml:space="preserve"> </w:t>
      </w:r>
      <w:r w:rsidRPr="009D1ABF">
        <w:rPr>
          <w:rFonts w:cs="Arial"/>
          <w:bCs/>
          <w:color w:val="595959" w:themeColor="text1" w:themeTint="A6"/>
        </w:rPr>
        <w:t>Úspěšnost záchytu radiologických a mimořádných radiačních událostí při lékařských ozářeních ve FNOL</w:t>
      </w:r>
    </w:p>
    <w:p w:rsidR="00C21424" w:rsidRDefault="006D55D5" w:rsidP="00BF03AC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 w:rsidRPr="009D1ABF">
        <w:rPr>
          <w:rFonts w:cs="Arial"/>
          <w:color w:val="595959" w:themeColor="text1" w:themeTint="A6"/>
        </w:rPr>
        <w:t>V období 01/20</w:t>
      </w:r>
      <w:r w:rsidR="000024A7">
        <w:rPr>
          <w:rFonts w:cs="Arial"/>
          <w:color w:val="595959" w:themeColor="text1" w:themeTint="A6"/>
        </w:rPr>
        <w:t>20</w:t>
      </w:r>
      <w:r w:rsidRPr="009D1ABF">
        <w:rPr>
          <w:rFonts w:cs="Arial"/>
          <w:color w:val="595959" w:themeColor="text1" w:themeTint="A6"/>
        </w:rPr>
        <w:t xml:space="preserve"> – </w:t>
      </w:r>
      <w:r w:rsidR="006D4E23">
        <w:rPr>
          <w:rFonts w:cs="Arial"/>
          <w:color w:val="595959" w:themeColor="text1" w:themeTint="A6"/>
        </w:rPr>
        <w:t>12</w:t>
      </w:r>
      <w:r w:rsidRPr="009D1ABF">
        <w:rPr>
          <w:rFonts w:cs="Arial"/>
          <w:color w:val="595959" w:themeColor="text1" w:themeTint="A6"/>
        </w:rPr>
        <w:t>/20</w:t>
      </w:r>
      <w:r w:rsidR="000024A7">
        <w:rPr>
          <w:rFonts w:cs="Arial"/>
          <w:color w:val="595959" w:themeColor="text1" w:themeTint="A6"/>
        </w:rPr>
        <w:t>20</w:t>
      </w:r>
      <w:r w:rsidRPr="009D1ABF">
        <w:rPr>
          <w:rFonts w:cs="Arial"/>
          <w:color w:val="595959" w:themeColor="text1" w:themeTint="A6"/>
        </w:rPr>
        <w:t xml:space="preserve">  bylo na RDG</w:t>
      </w:r>
      <w:r w:rsidR="00103544">
        <w:rPr>
          <w:rFonts w:cs="Arial"/>
          <w:color w:val="595959" w:themeColor="text1" w:themeTint="A6"/>
        </w:rPr>
        <w:t xml:space="preserve"> </w:t>
      </w:r>
      <w:r w:rsidRPr="009D1ABF">
        <w:rPr>
          <w:rFonts w:cs="Arial"/>
          <w:color w:val="595959" w:themeColor="text1" w:themeTint="A6"/>
        </w:rPr>
        <w:t xml:space="preserve">ve FNOL zjištěno </w:t>
      </w:r>
      <w:r w:rsidR="006D4E23">
        <w:rPr>
          <w:rFonts w:cs="Arial"/>
          <w:color w:val="595959" w:themeColor="text1" w:themeTint="A6"/>
        </w:rPr>
        <w:t xml:space="preserve">a zaznamenáno </w:t>
      </w:r>
      <w:r w:rsidRPr="009D1ABF">
        <w:rPr>
          <w:rFonts w:cs="Arial"/>
          <w:color w:val="595959" w:themeColor="text1" w:themeTint="A6"/>
        </w:rPr>
        <w:t xml:space="preserve">celkem </w:t>
      </w:r>
      <w:r w:rsidR="000024A7">
        <w:rPr>
          <w:rFonts w:cs="Arial"/>
          <w:color w:val="595959" w:themeColor="text1" w:themeTint="A6"/>
        </w:rPr>
        <w:t>1062</w:t>
      </w:r>
      <w:r w:rsidR="00103544">
        <w:rPr>
          <w:rFonts w:cs="Arial"/>
          <w:color w:val="595959" w:themeColor="text1" w:themeTint="A6"/>
        </w:rPr>
        <w:t xml:space="preserve"> </w:t>
      </w:r>
      <w:r w:rsidRPr="009D1ABF">
        <w:rPr>
          <w:rFonts w:cs="Arial"/>
          <w:color w:val="595959" w:themeColor="text1" w:themeTint="A6"/>
        </w:rPr>
        <w:t>opakovaných snímků pořízených</w:t>
      </w:r>
      <w:r w:rsidR="006D4E23">
        <w:rPr>
          <w:rFonts w:cs="Arial"/>
          <w:color w:val="595959" w:themeColor="text1" w:themeTint="A6"/>
        </w:rPr>
        <w:t xml:space="preserve"> na </w:t>
      </w:r>
      <w:r w:rsidR="000024A7">
        <w:rPr>
          <w:rFonts w:cs="Arial"/>
          <w:color w:val="595959" w:themeColor="text1" w:themeTint="A6"/>
        </w:rPr>
        <w:t>skiagrafických</w:t>
      </w:r>
      <w:r w:rsidR="006D4E23">
        <w:rPr>
          <w:rFonts w:cs="Arial"/>
          <w:color w:val="595959" w:themeColor="text1" w:themeTint="A6"/>
        </w:rPr>
        <w:t xml:space="preserve"> </w:t>
      </w:r>
      <w:proofErr w:type="spellStart"/>
      <w:r w:rsidR="006D4E23">
        <w:rPr>
          <w:rFonts w:cs="Arial"/>
          <w:color w:val="595959" w:themeColor="text1" w:themeTint="A6"/>
        </w:rPr>
        <w:t>rtg</w:t>
      </w:r>
      <w:proofErr w:type="spellEnd"/>
      <w:r w:rsidR="006D4E23">
        <w:rPr>
          <w:rFonts w:cs="Arial"/>
          <w:color w:val="595959" w:themeColor="text1" w:themeTint="A6"/>
        </w:rPr>
        <w:t xml:space="preserve"> zařízeních</w:t>
      </w:r>
      <w:r w:rsidRPr="009D1ABF">
        <w:rPr>
          <w:rFonts w:cs="Arial"/>
          <w:color w:val="595959" w:themeColor="text1" w:themeTint="A6"/>
        </w:rPr>
        <w:t xml:space="preserve"> </w:t>
      </w:r>
      <w:r w:rsidR="000024A7">
        <w:rPr>
          <w:rFonts w:cs="Arial"/>
          <w:color w:val="595959" w:themeColor="text1" w:themeTint="A6"/>
        </w:rPr>
        <w:t xml:space="preserve">na Radiologické klinice </w:t>
      </w:r>
      <w:r w:rsidR="00103544">
        <w:rPr>
          <w:rFonts w:cs="Arial"/>
          <w:color w:val="595959" w:themeColor="text1" w:themeTint="A6"/>
        </w:rPr>
        <w:t xml:space="preserve">a k </w:t>
      </w:r>
      <w:r w:rsidR="000024A7">
        <w:rPr>
          <w:rFonts w:cs="Arial"/>
          <w:color w:val="595959" w:themeColor="text1" w:themeTint="A6"/>
        </w:rPr>
        <w:t>8</w:t>
      </w:r>
      <w:r w:rsidR="00103544">
        <w:rPr>
          <w:rFonts w:cs="Arial"/>
          <w:color w:val="595959" w:themeColor="text1" w:themeTint="A6"/>
        </w:rPr>
        <w:t xml:space="preserve"> opakovaným snímkům došlo na KÚČOCH </w:t>
      </w:r>
      <w:r w:rsidRPr="009D1ABF">
        <w:rPr>
          <w:rFonts w:cs="Arial"/>
          <w:color w:val="595959" w:themeColor="text1" w:themeTint="A6"/>
        </w:rPr>
        <w:t xml:space="preserve">(klasifikováno jako mimořádné události kat. C, dle přílohy č. 23 k vyhlášce č. 422/2016 Sb., v platném znění). </w:t>
      </w:r>
    </w:p>
    <w:p w:rsidR="00924817" w:rsidRDefault="00924817" w:rsidP="00BF03AC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Ve srovnání s loňským rokem došlo k</w:t>
      </w:r>
      <w:r w:rsidR="000024A7">
        <w:rPr>
          <w:rFonts w:cs="Arial"/>
          <w:color w:val="595959" w:themeColor="text1" w:themeTint="A6"/>
        </w:rPr>
        <w:t xml:space="preserve"> výraznému </w:t>
      </w:r>
      <w:r>
        <w:rPr>
          <w:rFonts w:cs="Arial"/>
          <w:color w:val="595959" w:themeColor="text1" w:themeTint="A6"/>
        </w:rPr>
        <w:t xml:space="preserve">nárůstu opakovaných snímků </w:t>
      </w:r>
      <w:r w:rsidR="00312DEE">
        <w:rPr>
          <w:rFonts w:cs="Arial"/>
          <w:color w:val="595959" w:themeColor="text1" w:themeTint="A6"/>
        </w:rPr>
        <w:t xml:space="preserve">na Radiologické klinice </w:t>
      </w:r>
      <w:r>
        <w:rPr>
          <w:rFonts w:cs="Arial"/>
          <w:color w:val="595959" w:themeColor="text1" w:themeTint="A6"/>
        </w:rPr>
        <w:t xml:space="preserve">o přibližně </w:t>
      </w:r>
      <w:r w:rsidR="00312DEE">
        <w:rPr>
          <w:rFonts w:cs="Arial"/>
          <w:color w:val="595959" w:themeColor="text1" w:themeTint="A6"/>
        </w:rPr>
        <w:t>94</w:t>
      </w:r>
      <w:r>
        <w:rPr>
          <w:rFonts w:cs="Arial"/>
          <w:color w:val="595959" w:themeColor="text1" w:themeTint="A6"/>
        </w:rPr>
        <w:t xml:space="preserve"> % (z </w:t>
      </w:r>
      <w:r w:rsidR="00BC6D57">
        <w:rPr>
          <w:rFonts w:cs="Arial"/>
          <w:color w:val="595959" w:themeColor="text1" w:themeTint="A6"/>
        </w:rPr>
        <w:t>547</w:t>
      </w:r>
      <w:r>
        <w:rPr>
          <w:rFonts w:cs="Arial"/>
          <w:color w:val="595959" w:themeColor="text1" w:themeTint="A6"/>
        </w:rPr>
        <w:t xml:space="preserve"> na </w:t>
      </w:r>
      <w:r w:rsidR="00BC6D57">
        <w:rPr>
          <w:rFonts w:cs="Arial"/>
          <w:color w:val="595959" w:themeColor="text1" w:themeTint="A6"/>
        </w:rPr>
        <w:t>1062). Radiologičtí asistenti byli poučeni o nutnosti zapisovat opakované expozice, aby bylo v případě potřeby možné stanovit radiační zátěž pacienta. Vzhledem k neexistenci softwarového nástroje umožňujícího archivovat opakované snímky, resp. jejich expoziční parametry, je zápis opakovaných expozic klíčový.</w:t>
      </w:r>
      <w:r>
        <w:rPr>
          <w:rFonts w:cs="Arial"/>
          <w:color w:val="595959" w:themeColor="text1" w:themeTint="A6"/>
        </w:rPr>
        <w:t xml:space="preserve"> </w:t>
      </w:r>
    </w:p>
    <w:p w:rsidR="00C21424" w:rsidRDefault="00C21424" w:rsidP="00924817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 xml:space="preserve">Důvody opakování snímků </w:t>
      </w:r>
      <w:r w:rsidR="000745D4">
        <w:rPr>
          <w:rFonts w:cs="Arial"/>
          <w:color w:val="595959" w:themeColor="text1" w:themeTint="A6"/>
        </w:rPr>
        <w:t xml:space="preserve">na </w:t>
      </w:r>
      <w:r w:rsidR="00312DEE">
        <w:rPr>
          <w:rFonts w:cs="Arial"/>
          <w:color w:val="595959" w:themeColor="text1" w:themeTint="A6"/>
        </w:rPr>
        <w:t>skiagrafických zařízení</w:t>
      </w:r>
      <w:r w:rsidR="000745D4">
        <w:rPr>
          <w:rFonts w:cs="Arial"/>
          <w:color w:val="595959" w:themeColor="text1" w:themeTint="A6"/>
        </w:rPr>
        <w:t>ch na</w:t>
      </w:r>
      <w:r w:rsidR="00312DEE">
        <w:rPr>
          <w:rFonts w:cs="Arial"/>
          <w:color w:val="595959" w:themeColor="text1" w:themeTint="A6"/>
        </w:rPr>
        <w:t xml:space="preserve"> </w:t>
      </w:r>
      <w:r w:rsidR="000745D4">
        <w:rPr>
          <w:rFonts w:cs="Arial"/>
          <w:color w:val="595959" w:themeColor="text1" w:themeTint="A6"/>
        </w:rPr>
        <w:t xml:space="preserve">Radiologické klinice </w:t>
      </w:r>
      <w:r w:rsidR="00BC6D57">
        <w:rPr>
          <w:rFonts w:cs="Arial"/>
          <w:color w:val="595959" w:themeColor="text1" w:themeTint="A6"/>
        </w:rPr>
        <w:t>za rok 2020</w:t>
      </w:r>
      <w:r w:rsidR="00924817">
        <w:rPr>
          <w:rFonts w:cs="Arial"/>
          <w:color w:val="595959" w:themeColor="text1" w:themeTint="A6"/>
        </w:rPr>
        <w:t xml:space="preserve"> </w:t>
      </w:r>
      <w:r>
        <w:rPr>
          <w:rFonts w:cs="Arial"/>
          <w:color w:val="595959" w:themeColor="text1" w:themeTint="A6"/>
        </w:rPr>
        <w:t>jsou shrnuty v následující tabulce:</w:t>
      </w:r>
    </w:p>
    <w:tbl>
      <w:tblPr>
        <w:tblW w:w="4100" w:type="dxa"/>
        <w:jc w:val="center"/>
        <w:tblInd w:w="5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/>
      </w:tblPr>
      <w:tblGrid>
        <w:gridCol w:w="1960"/>
        <w:gridCol w:w="2140"/>
      </w:tblGrid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Incidence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špatná projekce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BC6D57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540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F47D12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F47D12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182</w:t>
            </w:r>
          </w:p>
        </w:tc>
      </w:tr>
      <w:tr w:rsidR="00F47D12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7D12" w:rsidRPr="00BF03AC" w:rsidRDefault="00F47D12" w:rsidP="00F47D12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nevhodná kolimace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F47D12" w:rsidRPr="00BF03AC" w:rsidRDefault="00F47D12" w:rsidP="00F47D12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160</w:t>
            </w:r>
          </w:p>
        </w:tc>
      </w:tr>
      <w:tr w:rsidR="00F47D12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7D12" w:rsidRPr="00BF03AC" w:rsidRDefault="00F47D12" w:rsidP="00F47D12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pohyb pacienta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F47D12" w:rsidRPr="00BF03AC" w:rsidRDefault="00F47D12" w:rsidP="00F47D12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145</w:t>
            </w:r>
          </w:p>
        </w:tc>
      </w:tr>
      <w:tr w:rsidR="00F47D12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7D12" w:rsidRPr="00BF03AC" w:rsidRDefault="00F47D12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nevhodná expozice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F47D12" w:rsidRPr="00BF03AC" w:rsidRDefault="00F47D12" w:rsidP="00BC6D57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34</w:t>
            </w:r>
          </w:p>
        </w:tc>
      </w:tr>
      <w:tr w:rsidR="00F47D12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7D12" w:rsidRPr="00BF03AC" w:rsidRDefault="00F47D12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centrace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F47D12" w:rsidRPr="00BF03AC" w:rsidRDefault="00F47D12" w:rsidP="00BC6D57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1</w:t>
            </w:r>
          </w:p>
        </w:tc>
      </w:tr>
    </w:tbl>
    <w:p w:rsidR="00BF03AC" w:rsidRDefault="00BF03AC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BF03AC" w:rsidRPr="00DA7165" w:rsidRDefault="00DA7165" w:rsidP="00FD042F">
      <w:pPr>
        <w:spacing w:before="120" w:after="0" w:line="240" w:lineRule="auto"/>
        <w:rPr>
          <w:rFonts w:cs="Arial"/>
          <w:color w:val="595959" w:themeColor="text1" w:themeTint="A6"/>
        </w:rPr>
      </w:pPr>
      <w:r w:rsidRPr="00DA7165">
        <w:rPr>
          <w:rFonts w:cs="Arial"/>
          <w:color w:val="595959" w:themeColor="text1" w:themeTint="A6"/>
        </w:rPr>
        <w:t>U 47 pacientů došlo během roku 2020 k vícenásobnému opakování snímku, z toho u 45 byla expozice opakována 2krát a u 2 pacientů 3krát.</w:t>
      </w:r>
    </w:p>
    <w:p w:rsidR="00BF03AC" w:rsidRPr="00F272DF" w:rsidRDefault="00F272DF" w:rsidP="00FD042F">
      <w:pPr>
        <w:spacing w:before="120" w:after="0" w:line="240" w:lineRule="auto"/>
        <w:rPr>
          <w:rFonts w:cs="Arial"/>
          <w:color w:val="595959" w:themeColor="text1" w:themeTint="A6"/>
        </w:rPr>
      </w:pPr>
      <w:r w:rsidRPr="00F272DF">
        <w:rPr>
          <w:rFonts w:cs="Arial"/>
          <w:color w:val="595959" w:themeColor="text1" w:themeTint="A6"/>
        </w:rPr>
        <w:t xml:space="preserve">Nejčastěji byly opakovány snímky srdce a plic, tyto </w:t>
      </w:r>
      <w:proofErr w:type="spellStart"/>
      <w:r w:rsidRPr="00F272DF">
        <w:rPr>
          <w:rFonts w:cs="Arial"/>
          <w:color w:val="595959" w:themeColor="text1" w:themeTint="A6"/>
        </w:rPr>
        <w:t>reexpozice</w:t>
      </w:r>
      <w:proofErr w:type="spellEnd"/>
      <w:r w:rsidRPr="00F272DF">
        <w:rPr>
          <w:rFonts w:cs="Arial"/>
          <w:color w:val="595959" w:themeColor="text1" w:themeTint="A6"/>
        </w:rPr>
        <w:t xml:space="preserve"> tvoří cca ¼  všech opakovaných snímků. Ve srovnání s ostatními expozicemi byly častěji opakovány také expozice břicha (98), lebky (90), kolene (86) a LS páteře (82).</w:t>
      </w:r>
    </w:p>
    <w:p w:rsidR="00BF03AC" w:rsidRDefault="00BF03AC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9B536A" w:rsidRDefault="009B536A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9B536A" w:rsidRDefault="009B536A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FD042F" w:rsidRDefault="001A7C18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Ing. Jaroslav Ptáček, Ph.D.</w:t>
      </w:r>
    </w:p>
    <w:p w:rsidR="005059A6" w:rsidRDefault="005059A6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 Light" w:hAnsi="Calibri Light"/>
          <w:color w:val="706F6F"/>
          <w:sz w:val="21"/>
          <w:szCs w:val="21"/>
        </w:rPr>
        <w:t>dohlížející osoba na RDG</w:t>
      </w:r>
    </w:p>
    <w:p w:rsidR="001A7C18" w:rsidRDefault="001A7C18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vedoucí Oddělení lékařské fyziky a radiační ochrany</w:t>
      </w:r>
      <w:r w:rsidR="00FD042F" w:rsidRPr="00FD042F">
        <w:rPr>
          <w:rFonts w:ascii="Calibri Light" w:hAnsi="Calibri Light"/>
          <w:color w:val="706F6F"/>
          <w:sz w:val="21"/>
          <w:szCs w:val="21"/>
        </w:rPr>
        <w:t xml:space="preserve"> 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12" w:rsidRDefault="00F47D12" w:rsidP="00FD042F">
      <w:pPr>
        <w:spacing w:after="0" w:line="240" w:lineRule="auto"/>
      </w:pPr>
      <w:r>
        <w:separator/>
      </w:r>
    </w:p>
  </w:endnote>
  <w:endnote w:type="continuationSeparator" w:id="0">
    <w:p w:rsidR="00F47D12" w:rsidRDefault="00F47D12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12" w:rsidRPr="006C5BA2" w:rsidRDefault="00A1577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A15772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A15772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A15772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F47D12" w:rsidRPr="006C5BA2">
      <w:rPr>
        <w:rFonts w:ascii="Calibri" w:hAnsi="Calibri"/>
        <w:color w:val="706F6F"/>
        <w:sz w:val="15"/>
      </w:rPr>
      <w:t>I. P. Pavlova 185/6</w:t>
    </w:r>
    <w:r w:rsidR="00F47D12" w:rsidRPr="006C5BA2">
      <w:rPr>
        <w:rFonts w:ascii="Calibri" w:hAnsi="Calibri"/>
        <w:color w:val="1D1D1B"/>
        <w:sz w:val="15"/>
      </w:rPr>
      <w:t xml:space="preserve"> </w:t>
    </w:r>
    <w:r w:rsidR="00F47D12" w:rsidRPr="006C5BA2">
      <w:rPr>
        <w:rFonts w:ascii="Calibri" w:hAnsi="Calibri"/>
        <w:color w:val="1D1D1B"/>
        <w:sz w:val="15"/>
      </w:rPr>
      <w:tab/>
    </w:r>
    <w:r w:rsidR="00F47D12" w:rsidRPr="006C5BA2">
      <w:rPr>
        <w:rFonts w:ascii="Calibri" w:hAnsi="Calibri"/>
        <w:b/>
        <w:color w:val="5CA6C0"/>
        <w:sz w:val="15"/>
      </w:rPr>
      <w:t xml:space="preserve">fax: </w:t>
    </w:r>
    <w:r w:rsidR="00F47D12" w:rsidRPr="006C5BA2">
      <w:rPr>
        <w:rFonts w:ascii="Calibri" w:hAnsi="Calibri"/>
        <w:color w:val="706F6F"/>
        <w:sz w:val="15"/>
      </w:rPr>
      <w:t>+420 585 4</w:t>
    </w:r>
    <w:r w:rsidR="00F47D12">
      <w:rPr>
        <w:rFonts w:ascii="Calibri" w:hAnsi="Calibri"/>
        <w:color w:val="706F6F"/>
        <w:sz w:val="15"/>
      </w:rPr>
      <w:t>44</w:t>
    </w:r>
    <w:r w:rsidR="00F47D12" w:rsidRPr="006C5BA2">
      <w:rPr>
        <w:rFonts w:ascii="Calibri" w:hAnsi="Calibri"/>
        <w:color w:val="706F6F"/>
        <w:sz w:val="15"/>
      </w:rPr>
      <w:t> </w:t>
    </w:r>
    <w:r w:rsidR="00F47D12">
      <w:rPr>
        <w:rFonts w:ascii="Calibri" w:hAnsi="Calibri"/>
        <w:color w:val="706F6F"/>
        <w:sz w:val="15"/>
      </w:rPr>
      <w:t>591</w:t>
    </w:r>
    <w:r w:rsidR="00F47D12" w:rsidRPr="006C5BA2">
      <w:rPr>
        <w:rFonts w:ascii="Calibri" w:hAnsi="Calibri"/>
        <w:color w:val="1D1D1B"/>
        <w:sz w:val="15"/>
      </w:rPr>
      <w:tab/>
    </w:r>
    <w:r w:rsidR="00F47D12" w:rsidRPr="006C5BA2">
      <w:rPr>
        <w:rFonts w:ascii="Calibri" w:hAnsi="Calibri"/>
        <w:b/>
        <w:color w:val="5CA6C0"/>
        <w:sz w:val="15"/>
      </w:rPr>
      <w:t>Bankovní spojení:</w:t>
    </w:r>
    <w:r w:rsidR="00F47D12" w:rsidRPr="006C5BA2">
      <w:rPr>
        <w:rFonts w:ascii="Calibri" w:hAnsi="Calibri"/>
        <w:b/>
        <w:color w:val="5CA6C0"/>
        <w:sz w:val="15"/>
      </w:rPr>
      <w:tab/>
      <w:t xml:space="preserve">IČ: </w:t>
    </w:r>
    <w:r w:rsidR="00F47D12" w:rsidRPr="006C5BA2">
      <w:rPr>
        <w:rFonts w:ascii="Calibri" w:hAnsi="Calibri"/>
        <w:color w:val="706F6F"/>
        <w:sz w:val="15"/>
      </w:rPr>
      <w:t>00098892</w:t>
    </w:r>
  </w:p>
  <w:p w:rsidR="00F47D12" w:rsidRPr="006C5BA2" w:rsidRDefault="00F47D1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Pr="005678FD">
        <w:rPr>
          <w:rStyle w:val="Hypertextovodkaz"/>
          <w:rFonts w:ascii="Calibri" w:hAnsi="Calibri"/>
          <w:sz w:val="15"/>
        </w:rPr>
        <w:t>lfro@fnol.cz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47D12" w:rsidRPr="00FD042F" w:rsidRDefault="00F47D1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4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591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12" w:rsidRDefault="00F47D12" w:rsidP="00FD042F">
      <w:pPr>
        <w:spacing w:after="0" w:line="240" w:lineRule="auto"/>
      </w:pPr>
      <w:r>
        <w:separator/>
      </w:r>
    </w:p>
  </w:footnote>
  <w:footnote w:type="continuationSeparator" w:id="0">
    <w:p w:rsidR="00F47D12" w:rsidRDefault="00F47D12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12" w:rsidRDefault="00F47D12">
    <w:pPr>
      <w:pStyle w:val="Zhlav"/>
    </w:pPr>
  </w:p>
  <w:p w:rsidR="00F47D12" w:rsidRDefault="00F47D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024A7"/>
    <w:rsid w:val="000745D4"/>
    <w:rsid w:val="000E206A"/>
    <w:rsid w:val="00103544"/>
    <w:rsid w:val="0013471D"/>
    <w:rsid w:val="001A7C18"/>
    <w:rsid w:val="001B5834"/>
    <w:rsid w:val="0022560E"/>
    <w:rsid w:val="002C7417"/>
    <w:rsid w:val="00304CDE"/>
    <w:rsid w:val="00312DEE"/>
    <w:rsid w:val="003D12AC"/>
    <w:rsid w:val="00451C3E"/>
    <w:rsid w:val="004B68DC"/>
    <w:rsid w:val="00501F08"/>
    <w:rsid w:val="005059A6"/>
    <w:rsid w:val="00526E41"/>
    <w:rsid w:val="005877E9"/>
    <w:rsid w:val="005B357D"/>
    <w:rsid w:val="005C147E"/>
    <w:rsid w:val="005E6F86"/>
    <w:rsid w:val="006129B2"/>
    <w:rsid w:val="006B359D"/>
    <w:rsid w:val="006D4E23"/>
    <w:rsid w:val="006D55D5"/>
    <w:rsid w:val="0071591E"/>
    <w:rsid w:val="007325FC"/>
    <w:rsid w:val="007854B3"/>
    <w:rsid w:val="00924817"/>
    <w:rsid w:val="00944134"/>
    <w:rsid w:val="00974FD3"/>
    <w:rsid w:val="00990AED"/>
    <w:rsid w:val="009B4B6B"/>
    <w:rsid w:val="009B536A"/>
    <w:rsid w:val="009D1ABF"/>
    <w:rsid w:val="00A02C6D"/>
    <w:rsid w:val="00A15772"/>
    <w:rsid w:val="00AC7273"/>
    <w:rsid w:val="00BC6D57"/>
    <w:rsid w:val="00BF03AC"/>
    <w:rsid w:val="00C15663"/>
    <w:rsid w:val="00C21424"/>
    <w:rsid w:val="00C47087"/>
    <w:rsid w:val="00C75EC9"/>
    <w:rsid w:val="00CB5559"/>
    <w:rsid w:val="00CC526D"/>
    <w:rsid w:val="00D1259B"/>
    <w:rsid w:val="00D76991"/>
    <w:rsid w:val="00DA7165"/>
    <w:rsid w:val="00DC5E11"/>
    <w:rsid w:val="00E864FA"/>
    <w:rsid w:val="00EA2487"/>
    <w:rsid w:val="00F246F9"/>
    <w:rsid w:val="00F272DF"/>
    <w:rsid w:val="00F47D12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5E6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fr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Jaroslav Ptáče</cp:lastModifiedBy>
  <cp:revision>7</cp:revision>
  <cp:lastPrinted>2020-04-23T12:35:00Z</cp:lastPrinted>
  <dcterms:created xsi:type="dcterms:W3CDTF">2021-02-09T09:30:00Z</dcterms:created>
  <dcterms:modified xsi:type="dcterms:W3CDTF">2021-02-17T08:15:00Z</dcterms:modified>
</cp:coreProperties>
</file>