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821D07" w:rsidRDefault="00E56DD7" w:rsidP="00821D07">
      <w:pPr>
        <w:spacing w:before="240"/>
        <w:rPr>
          <w:rFonts w:ascii="Arial" w:hAnsi="Arial" w:cs="Arial"/>
          <w:b/>
          <w:color w:val="00529C"/>
        </w:rPr>
      </w:pPr>
      <w:r>
        <w:rPr>
          <w:rFonts w:ascii="Arial" w:hAnsi="Arial" w:cs="Arial"/>
          <w:b/>
          <w:color w:val="00529C"/>
        </w:rPr>
        <w:t>Oddělení klinické logopedie</w:t>
      </w:r>
      <w:r w:rsidR="00821D07">
        <w:rPr>
          <w:rFonts w:ascii="Arial" w:hAnsi="Arial" w:cs="Arial"/>
          <w:b/>
          <w:color w:val="00529C"/>
        </w:rPr>
        <w:t xml:space="preserve"> </w:t>
      </w:r>
    </w:p>
    <w:p w:rsidR="001153EB" w:rsidRDefault="001153EB" w:rsidP="00E56DD7">
      <w:pPr>
        <w:spacing w:before="240"/>
        <w:jc w:val="center"/>
        <w:rPr>
          <w:rFonts w:ascii="Arial" w:hAnsi="Arial" w:cs="Arial"/>
          <w:b/>
        </w:rPr>
      </w:pPr>
    </w:p>
    <w:p w:rsidR="00FD042F" w:rsidRDefault="004B28BB" w:rsidP="00E56DD7">
      <w:pPr>
        <w:spacing w:before="240"/>
        <w:jc w:val="center"/>
        <w:rPr>
          <w:rFonts w:ascii="Arial" w:hAnsi="Arial" w:cs="Arial"/>
          <w:b/>
        </w:rPr>
      </w:pPr>
      <w:r w:rsidRPr="00821D07">
        <w:rPr>
          <w:rFonts w:ascii="Arial" w:hAnsi="Arial" w:cs="Arial"/>
          <w:b/>
        </w:rPr>
        <w:t xml:space="preserve">Indikátory kvality </w:t>
      </w:r>
    </w:p>
    <w:p w:rsidR="00E56DD7" w:rsidRDefault="00E56DD7" w:rsidP="00E56DD7">
      <w:pPr>
        <w:spacing w:before="240"/>
        <w:jc w:val="center"/>
        <w:rPr>
          <w:rFonts w:ascii="Arial" w:hAnsi="Arial" w:cs="Arial"/>
          <w:b/>
        </w:rPr>
      </w:pPr>
    </w:p>
    <w:p w:rsidR="00E56DD7" w:rsidRPr="00126DA6" w:rsidRDefault="00E56DD7" w:rsidP="00E56DD7">
      <w:pPr>
        <w:rPr>
          <w:rFonts w:ascii="Arial" w:eastAsia="Calibri" w:hAnsi="Arial" w:cs="Arial"/>
          <w:b/>
        </w:rPr>
      </w:pPr>
      <w:r>
        <w:rPr>
          <w:rFonts w:ascii="Arial" w:hAnsi="Arial" w:cs="Arial"/>
          <w:b/>
        </w:rPr>
        <w:t>Rok 2015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4256"/>
      </w:tblGrid>
      <w:tr w:rsidR="00E56DD7" w:rsidRPr="00126DA6" w:rsidTr="00C5597E">
        <w:tc>
          <w:tcPr>
            <w:tcW w:w="4606" w:type="dxa"/>
            <w:shd w:val="pct20" w:color="auto" w:fill="auto"/>
          </w:tcPr>
          <w:p w:rsidR="00E56DD7" w:rsidRPr="00126DA6" w:rsidRDefault="00E56DD7" w:rsidP="00C5597E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126DA6">
              <w:rPr>
                <w:rFonts w:ascii="Arial" w:eastAsia="Times New Roman" w:hAnsi="Arial" w:cs="Arial"/>
                <w:b/>
              </w:rPr>
              <w:t>Indikátor kvality</w:t>
            </w:r>
          </w:p>
        </w:tc>
        <w:tc>
          <w:tcPr>
            <w:tcW w:w="4606" w:type="dxa"/>
            <w:shd w:val="pct20" w:color="auto" w:fill="auto"/>
          </w:tcPr>
          <w:p w:rsidR="00E56DD7" w:rsidRPr="00126DA6" w:rsidRDefault="00E56DD7" w:rsidP="00C5597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26DA6">
              <w:rPr>
                <w:rFonts w:ascii="Arial" w:eastAsia="Calibri" w:hAnsi="Arial" w:cs="Arial"/>
                <w:b/>
              </w:rPr>
              <w:t>Vyhodnocení</w:t>
            </w:r>
          </w:p>
        </w:tc>
      </w:tr>
      <w:tr w:rsidR="00E56DD7" w:rsidRPr="00C82129" w:rsidTr="00C5597E">
        <w:tc>
          <w:tcPr>
            <w:tcW w:w="4606" w:type="dxa"/>
          </w:tcPr>
          <w:p w:rsidR="00E56DD7" w:rsidRPr="00C82129" w:rsidRDefault="00E56DD7" w:rsidP="00C5597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 w:rsidRPr="00C82129">
              <w:rPr>
                <w:rFonts w:ascii="Arial" w:eastAsia="Times New Roman" w:hAnsi="Arial" w:cs="Arial"/>
                <w:sz w:val="20"/>
                <w:szCs w:val="20"/>
              </w:rPr>
              <w:t>Minimalizace délky čekání na vyšetření nebo terapii</w:t>
            </w:r>
          </w:p>
        </w:tc>
        <w:tc>
          <w:tcPr>
            <w:tcW w:w="4606" w:type="dxa"/>
            <w:vAlign w:val="center"/>
          </w:tcPr>
          <w:p w:rsidR="00E56DD7" w:rsidRPr="00C82129" w:rsidRDefault="00E56DD7" w:rsidP="00C5597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82129">
              <w:rPr>
                <w:rFonts w:ascii="Arial" w:eastAsia="Times New Roman" w:hAnsi="Arial" w:cs="Arial"/>
                <w:sz w:val="20"/>
                <w:szCs w:val="20"/>
              </w:rPr>
              <w:t>100% u dospělých pacientů i u dětí</w:t>
            </w:r>
          </w:p>
        </w:tc>
      </w:tr>
      <w:tr w:rsidR="00E56DD7" w:rsidRPr="00C82129" w:rsidTr="00C5597E">
        <w:tc>
          <w:tcPr>
            <w:tcW w:w="4606" w:type="dxa"/>
          </w:tcPr>
          <w:p w:rsidR="00E56DD7" w:rsidRPr="00C82129" w:rsidRDefault="00E56DD7" w:rsidP="001153E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 w:rsidRPr="00C82129">
              <w:rPr>
                <w:rFonts w:ascii="Arial" w:eastAsia="Times New Roman" w:hAnsi="Arial" w:cs="Arial"/>
                <w:sz w:val="20"/>
                <w:szCs w:val="20"/>
              </w:rPr>
              <w:t>Nepřítomnost stížností na vyšetření nebo terapii</w:t>
            </w:r>
          </w:p>
        </w:tc>
        <w:tc>
          <w:tcPr>
            <w:tcW w:w="4606" w:type="dxa"/>
            <w:vAlign w:val="center"/>
          </w:tcPr>
          <w:p w:rsidR="00E56DD7" w:rsidRPr="00C82129" w:rsidRDefault="00E56DD7" w:rsidP="00C5597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82129">
              <w:rPr>
                <w:rFonts w:ascii="Arial" w:eastAsia="Times New Roman" w:hAnsi="Arial" w:cs="Arial"/>
                <w:sz w:val="20"/>
                <w:szCs w:val="20"/>
              </w:rPr>
              <w:t>100% u dospělých pacientů i u dětí</w:t>
            </w:r>
          </w:p>
        </w:tc>
      </w:tr>
      <w:tr w:rsidR="00E56DD7" w:rsidRPr="00C82129" w:rsidTr="00C5597E">
        <w:trPr>
          <w:trHeight w:val="739"/>
        </w:trPr>
        <w:tc>
          <w:tcPr>
            <w:tcW w:w="4606" w:type="dxa"/>
          </w:tcPr>
          <w:p w:rsidR="00E56DD7" w:rsidRPr="00C82129" w:rsidRDefault="00E56DD7" w:rsidP="00C5597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</w:rPr>
            </w:pPr>
            <w:r w:rsidRPr="00C82129">
              <w:rPr>
                <w:rFonts w:ascii="Arial" w:eastAsia="Times New Roman" w:hAnsi="Arial" w:cs="Arial"/>
                <w:sz w:val="20"/>
                <w:szCs w:val="20"/>
              </w:rPr>
              <w:t>Zlepšení výchozího stavu nebo fixace současného stavu poruch komunikace a polykání</w:t>
            </w:r>
          </w:p>
          <w:p w:rsidR="00E56DD7" w:rsidRPr="00C82129" w:rsidRDefault="00E56DD7" w:rsidP="00C5597E">
            <w:pPr>
              <w:pStyle w:val="Odstavecseseznamem"/>
              <w:spacing w:after="0" w:line="240" w:lineRule="auto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4606" w:type="dxa"/>
            <w:vAlign w:val="center"/>
          </w:tcPr>
          <w:p w:rsidR="00E56DD7" w:rsidRPr="00C82129" w:rsidRDefault="00E56DD7" w:rsidP="00C55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82129">
              <w:t>97,54%</w:t>
            </w:r>
          </w:p>
        </w:tc>
      </w:tr>
    </w:tbl>
    <w:p w:rsidR="00E56DD7" w:rsidRPr="00C82129" w:rsidRDefault="00E56DD7" w:rsidP="00E56DD7"/>
    <w:p w:rsidR="00E56DD7" w:rsidRPr="00C82129" w:rsidRDefault="00E56DD7" w:rsidP="00E56DD7">
      <w:pPr>
        <w:rPr>
          <w:rFonts w:ascii="Arial" w:eastAsia="Calibri" w:hAnsi="Arial" w:cs="Arial"/>
          <w:b/>
        </w:rPr>
      </w:pPr>
      <w:r w:rsidRPr="00C82129">
        <w:rPr>
          <w:rFonts w:ascii="Arial" w:hAnsi="Arial" w:cs="Arial"/>
          <w:b/>
        </w:rPr>
        <w:t>Rok 2016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4256"/>
      </w:tblGrid>
      <w:tr w:rsidR="00E56DD7" w:rsidRPr="00C82129" w:rsidTr="00C5597E">
        <w:tc>
          <w:tcPr>
            <w:tcW w:w="4606" w:type="dxa"/>
            <w:shd w:val="pct20" w:color="auto" w:fill="auto"/>
          </w:tcPr>
          <w:p w:rsidR="00E56DD7" w:rsidRPr="00C82129" w:rsidRDefault="00E56DD7" w:rsidP="00C5597E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82129">
              <w:rPr>
                <w:rFonts w:ascii="Arial" w:eastAsia="Times New Roman" w:hAnsi="Arial" w:cs="Arial"/>
                <w:b/>
              </w:rPr>
              <w:t>Indikátor kvality</w:t>
            </w:r>
          </w:p>
        </w:tc>
        <w:tc>
          <w:tcPr>
            <w:tcW w:w="4606" w:type="dxa"/>
            <w:shd w:val="pct20" w:color="auto" w:fill="auto"/>
          </w:tcPr>
          <w:p w:rsidR="00E56DD7" w:rsidRPr="00C82129" w:rsidRDefault="00E56DD7" w:rsidP="00C5597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C82129">
              <w:rPr>
                <w:rFonts w:ascii="Arial" w:eastAsia="Calibri" w:hAnsi="Arial" w:cs="Arial"/>
                <w:b/>
              </w:rPr>
              <w:t>Vyhodnocení</w:t>
            </w:r>
          </w:p>
        </w:tc>
      </w:tr>
      <w:tr w:rsidR="00E56DD7" w:rsidRPr="00C82129" w:rsidTr="00C5597E">
        <w:tc>
          <w:tcPr>
            <w:tcW w:w="4606" w:type="dxa"/>
          </w:tcPr>
          <w:p w:rsidR="00E56DD7" w:rsidRPr="00C82129" w:rsidRDefault="00E56DD7" w:rsidP="00E56DD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</w:pPr>
            <w:r w:rsidRPr="00C82129">
              <w:rPr>
                <w:rFonts w:ascii="Arial" w:eastAsia="Times New Roman" w:hAnsi="Arial" w:cs="Arial"/>
                <w:sz w:val="20"/>
                <w:szCs w:val="20"/>
              </w:rPr>
              <w:t>Minimalizace délky čekání na vyšetření nebo terapii</w:t>
            </w:r>
          </w:p>
        </w:tc>
        <w:tc>
          <w:tcPr>
            <w:tcW w:w="4606" w:type="dxa"/>
            <w:vAlign w:val="center"/>
          </w:tcPr>
          <w:p w:rsidR="00E56DD7" w:rsidRPr="00C82129" w:rsidRDefault="00E56DD7" w:rsidP="00C5597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82129">
              <w:rPr>
                <w:rFonts w:ascii="Arial" w:eastAsia="Times New Roman" w:hAnsi="Arial" w:cs="Arial"/>
                <w:sz w:val="20"/>
                <w:szCs w:val="20"/>
              </w:rPr>
              <w:t>100% u dospělých pacientů i u dětí</w:t>
            </w:r>
          </w:p>
        </w:tc>
      </w:tr>
      <w:tr w:rsidR="00E56DD7" w:rsidRPr="00C82129" w:rsidTr="00C5597E">
        <w:tc>
          <w:tcPr>
            <w:tcW w:w="4606" w:type="dxa"/>
          </w:tcPr>
          <w:p w:rsidR="00E56DD7" w:rsidRPr="00C82129" w:rsidRDefault="00E56DD7" w:rsidP="001153EB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</w:pPr>
            <w:r w:rsidRPr="00C82129">
              <w:rPr>
                <w:rFonts w:ascii="Arial" w:eastAsia="Times New Roman" w:hAnsi="Arial" w:cs="Arial"/>
                <w:sz w:val="20"/>
                <w:szCs w:val="20"/>
              </w:rPr>
              <w:t>Nepřítomnost stížností na vyšetření nebo terapii</w:t>
            </w:r>
          </w:p>
        </w:tc>
        <w:tc>
          <w:tcPr>
            <w:tcW w:w="4606" w:type="dxa"/>
            <w:vAlign w:val="center"/>
          </w:tcPr>
          <w:p w:rsidR="00E56DD7" w:rsidRPr="00C82129" w:rsidRDefault="00E56DD7" w:rsidP="00C5597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82129">
              <w:rPr>
                <w:rFonts w:ascii="Arial" w:eastAsia="Times New Roman" w:hAnsi="Arial" w:cs="Arial"/>
                <w:sz w:val="20"/>
                <w:szCs w:val="20"/>
              </w:rPr>
              <w:t>100% u dospělých pacientů i u dětí</w:t>
            </w:r>
          </w:p>
        </w:tc>
      </w:tr>
      <w:tr w:rsidR="00E56DD7" w:rsidRPr="00C82129" w:rsidTr="00C5597E">
        <w:trPr>
          <w:trHeight w:val="739"/>
        </w:trPr>
        <w:tc>
          <w:tcPr>
            <w:tcW w:w="4606" w:type="dxa"/>
          </w:tcPr>
          <w:p w:rsidR="00E56DD7" w:rsidRPr="00C82129" w:rsidRDefault="00E56DD7" w:rsidP="00E56DD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</w:rPr>
            </w:pPr>
            <w:r w:rsidRPr="00C82129">
              <w:rPr>
                <w:rFonts w:ascii="Arial" w:eastAsia="Times New Roman" w:hAnsi="Arial" w:cs="Arial"/>
                <w:sz w:val="20"/>
                <w:szCs w:val="20"/>
              </w:rPr>
              <w:t>Zlepšení výchozího stavu nebo fixace současného stavu poruch komunikace a polykání</w:t>
            </w:r>
          </w:p>
          <w:p w:rsidR="00E56DD7" w:rsidRPr="00C82129" w:rsidRDefault="00E56DD7" w:rsidP="00C5597E">
            <w:pPr>
              <w:pStyle w:val="Odstavecseseznamem"/>
              <w:spacing w:after="0" w:line="240" w:lineRule="auto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4606" w:type="dxa"/>
            <w:vAlign w:val="center"/>
          </w:tcPr>
          <w:p w:rsidR="00E56DD7" w:rsidRPr="00C82129" w:rsidRDefault="00E56DD7" w:rsidP="00C55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82129">
              <w:t>97,25%</w:t>
            </w:r>
          </w:p>
        </w:tc>
      </w:tr>
    </w:tbl>
    <w:p w:rsidR="00E56DD7" w:rsidRPr="00C82129" w:rsidRDefault="00E56DD7" w:rsidP="00E56DD7">
      <w:pPr>
        <w:rPr>
          <w:rFonts w:ascii="Calibri" w:eastAsia="Calibri" w:hAnsi="Calibri" w:cs="Times New Roman"/>
        </w:rPr>
      </w:pPr>
    </w:p>
    <w:p w:rsidR="00E56DD7" w:rsidRPr="00C82129" w:rsidRDefault="00E56DD7" w:rsidP="00E56DD7">
      <w:pPr>
        <w:rPr>
          <w:rFonts w:ascii="Arial" w:eastAsia="Calibri" w:hAnsi="Arial" w:cs="Arial"/>
          <w:b/>
        </w:rPr>
      </w:pPr>
      <w:r w:rsidRPr="00C82129">
        <w:rPr>
          <w:rFonts w:ascii="Arial" w:hAnsi="Arial" w:cs="Arial"/>
          <w:b/>
        </w:rPr>
        <w:t>Rok 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4256"/>
      </w:tblGrid>
      <w:tr w:rsidR="00E56DD7" w:rsidRPr="00C82129" w:rsidTr="00C5597E">
        <w:tc>
          <w:tcPr>
            <w:tcW w:w="4606" w:type="dxa"/>
            <w:shd w:val="pct20" w:color="auto" w:fill="auto"/>
          </w:tcPr>
          <w:p w:rsidR="00E56DD7" w:rsidRPr="00C82129" w:rsidRDefault="00E56DD7" w:rsidP="00C5597E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82129">
              <w:rPr>
                <w:rFonts w:ascii="Arial" w:eastAsia="Times New Roman" w:hAnsi="Arial" w:cs="Arial"/>
                <w:b/>
              </w:rPr>
              <w:t>Indikátor kvality</w:t>
            </w:r>
          </w:p>
        </w:tc>
        <w:tc>
          <w:tcPr>
            <w:tcW w:w="4606" w:type="dxa"/>
            <w:shd w:val="pct20" w:color="auto" w:fill="auto"/>
          </w:tcPr>
          <w:p w:rsidR="00E56DD7" w:rsidRPr="00C82129" w:rsidRDefault="00E56DD7" w:rsidP="00C5597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C82129">
              <w:rPr>
                <w:rFonts w:ascii="Arial" w:eastAsia="Calibri" w:hAnsi="Arial" w:cs="Arial"/>
                <w:b/>
              </w:rPr>
              <w:t>Vyhodnocení</w:t>
            </w:r>
          </w:p>
        </w:tc>
      </w:tr>
      <w:tr w:rsidR="00E56DD7" w:rsidRPr="00C82129" w:rsidTr="00C5597E">
        <w:tc>
          <w:tcPr>
            <w:tcW w:w="4606" w:type="dxa"/>
          </w:tcPr>
          <w:p w:rsidR="00E56DD7" w:rsidRPr="00C82129" w:rsidRDefault="00E56DD7" w:rsidP="00E56DD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 w:rsidRPr="00C82129">
              <w:rPr>
                <w:rFonts w:ascii="Arial" w:eastAsia="Times New Roman" w:hAnsi="Arial" w:cs="Arial"/>
                <w:sz w:val="20"/>
                <w:szCs w:val="20"/>
              </w:rPr>
              <w:t>Minimalizace délky čekání na vyšetření nebo terapii</w:t>
            </w:r>
          </w:p>
        </w:tc>
        <w:tc>
          <w:tcPr>
            <w:tcW w:w="4606" w:type="dxa"/>
            <w:vAlign w:val="center"/>
          </w:tcPr>
          <w:p w:rsidR="00E56DD7" w:rsidRPr="00C82129" w:rsidRDefault="00E56DD7" w:rsidP="00C5597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82129">
              <w:rPr>
                <w:rFonts w:ascii="Arial" w:eastAsia="Times New Roman" w:hAnsi="Arial" w:cs="Arial"/>
                <w:sz w:val="20"/>
                <w:szCs w:val="20"/>
              </w:rPr>
              <w:t>100% u dospělých pacientů i u dětí</w:t>
            </w:r>
          </w:p>
        </w:tc>
      </w:tr>
      <w:tr w:rsidR="00E56DD7" w:rsidRPr="00C82129" w:rsidTr="00C5597E">
        <w:tc>
          <w:tcPr>
            <w:tcW w:w="4606" w:type="dxa"/>
          </w:tcPr>
          <w:p w:rsidR="00E56DD7" w:rsidRPr="00C82129" w:rsidRDefault="00E56DD7" w:rsidP="001153E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 w:rsidRPr="00C82129">
              <w:rPr>
                <w:rFonts w:ascii="Arial" w:eastAsia="Times New Roman" w:hAnsi="Arial" w:cs="Arial"/>
                <w:sz w:val="20"/>
                <w:szCs w:val="20"/>
              </w:rPr>
              <w:t>Nepřítomnost stížností na vyšetření nebo terapii</w:t>
            </w:r>
          </w:p>
        </w:tc>
        <w:tc>
          <w:tcPr>
            <w:tcW w:w="4606" w:type="dxa"/>
            <w:vAlign w:val="center"/>
          </w:tcPr>
          <w:p w:rsidR="00E56DD7" w:rsidRPr="00C82129" w:rsidRDefault="00E56DD7" w:rsidP="00C5597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82129">
              <w:rPr>
                <w:rFonts w:ascii="Arial" w:eastAsia="Times New Roman" w:hAnsi="Arial" w:cs="Arial"/>
                <w:sz w:val="20"/>
                <w:szCs w:val="20"/>
              </w:rPr>
              <w:t>100% u dospělých pacientů i u dětí</w:t>
            </w:r>
          </w:p>
        </w:tc>
      </w:tr>
      <w:tr w:rsidR="00E56DD7" w:rsidRPr="00126DA6" w:rsidTr="00C5597E">
        <w:trPr>
          <w:trHeight w:val="739"/>
        </w:trPr>
        <w:tc>
          <w:tcPr>
            <w:tcW w:w="4606" w:type="dxa"/>
          </w:tcPr>
          <w:p w:rsidR="00E56DD7" w:rsidRPr="00126DA6" w:rsidRDefault="00E56DD7" w:rsidP="00E56DD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</w:rPr>
            </w:pPr>
            <w:r w:rsidRPr="00126DA6">
              <w:rPr>
                <w:rFonts w:ascii="Arial" w:eastAsia="Times New Roman" w:hAnsi="Arial" w:cs="Arial"/>
                <w:sz w:val="20"/>
                <w:szCs w:val="20"/>
              </w:rPr>
              <w:t>Zlepšení výchozího stavu nebo fixace současného stavu poruch komunikace a polykání</w:t>
            </w:r>
          </w:p>
          <w:p w:rsidR="00E56DD7" w:rsidRPr="00126DA6" w:rsidRDefault="00E56DD7" w:rsidP="00C5597E">
            <w:pPr>
              <w:pStyle w:val="Odstavecseseznamem"/>
              <w:spacing w:after="0" w:line="240" w:lineRule="auto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4606" w:type="dxa"/>
            <w:vAlign w:val="center"/>
          </w:tcPr>
          <w:p w:rsidR="00E56DD7" w:rsidRPr="009E3057" w:rsidRDefault="00E56DD7" w:rsidP="00C55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t>97,33%</w:t>
            </w:r>
          </w:p>
        </w:tc>
      </w:tr>
    </w:tbl>
    <w:p w:rsidR="00E56DD7" w:rsidRDefault="00E56DD7" w:rsidP="00E56DD7">
      <w:pPr>
        <w:rPr>
          <w:rFonts w:ascii="Calibri" w:eastAsia="Calibri" w:hAnsi="Calibri" w:cs="Times New Roman"/>
        </w:rPr>
      </w:pPr>
    </w:p>
    <w:p w:rsidR="00E56DD7" w:rsidRDefault="00E56DD7" w:rsidP="00E56DD7">
      <w:pPr>
        <w:rPr>
          <w:rFonts w:ascii="Calibri" w:eastAsia="Calibri" w:hAnsi="Calibri" w:cs="Times New Roman"/>
        </w:rPr>
      </w:pPr>
    </w:p>
    <w:p w:rsidR="00E56DD7" w:rsidRPr="00FD042F" w:rsidRDefault="00E56DD7" w:rsidP="00E56DD7">
      <w:pPr>
        <w:spacing w:before="240"/>
        <w:jc w:val="center"/>
        <w:rPr>
          <w:rFonts w:ascii="Calibri Light" w:hAnsi="Calibri Light"/>
          <w:sz w:val="21"/>
          <w:lang w:val="en-US"/>
        </w:rPr>
      </w:pPr>
    </w:p>
    <w:sectPr w:rsidR="00E56DD7" w:rsidRPr="00FD042F" w:rsidSect="004B28BB">
      <w:headerReference w:type="default" r:id="rId7"/>
      <w:footerReference w:type="default" r:id="rId8"/>
      <w:pgSz w:w="11906" w:h="16838"/>
      <w:pgMar w:top="1418" w:right="1418" w:bottom="1418" w:left="208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D07" w:rsidRDefault="00821D07" w:rsidP="00FD042F">
      <w:pPr>
        <w:spacing w:after="0" w:line="240" w:lineRule="auto"/>
      </w:pPr>
      <w:r>
        <w:separator/>
      </w:r>
    </w:p>
  </w:endnote>
  <w:endnote w:type="continuationSeparator" w:id="0">
    <w:p w:rsidR="00821D07" w:rsidRDefault="00821D07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D07" w:rsidRPr="006C5BA2" w:rsidRDefault="00823FC6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823FC6">
      <w:rPr>
        <w:rFonts w:ascii="Calibri" w:hAnsi="Calibri"/>
        <w:noProof/>
        <w:color w:val="706F6F"/>
        <w:lang w:eastAsia="cs-CZ"/>
      </w:rPr>
      <w:pict>
        <v:line id="_x0000_s2051" style="position:absolute;z-index:251663360;mso-position-horizontal-relative:page" from="17.85pt,-215.8pt" to="31.85pt,-215.8pt" strokecolor="#5ca6c0" strokeweight=".16792mm">
          <w10:wrap anchorx="page"/>
          <w10:anchorlock/>
        </v:line>
      </w:pict>
    </w:r>
    <w:r w:rsidRPr="00823FC6">
      <w:rPr>
        <w:rFonts w:ascii="Calibri" w:hAnsi="Calibri"/>
        <w:noProof/>
        <w:color w:val="706F6F"/>
        <w:lang w:eastAsia="cs-CZ"/>
      </w:rPr>
      <w:pict>
        <v:line id="_x0000_s2050" style="position:absolute;z-index:251662336;mso-position-horizontal-relative:page" from="17.85pt,-497.45pt" to="31.85pt,-497.45pt" strokecolor="#5ca6c0" strokeweight=".16792mm">
          <w10:wrap anchorx="page"/>
          <w10:anchorlock/>
        </v:line>
      </w:pict>
    </w:r>
    <w:r w:rsidRPr="00823FC6">
      <w:rPr>
        <w:rFonts w:ascii="Calibri" w:hAnsi="Calibri"/>
        <w:color w:val="706F6F"/>
        <w:lang w:eastAsia="cs-CZ"/>
      </w:rPr>
      <w:pict>
        <v:line id="_x0000_s2049" style="position:absolute;z-index:251661312;mso-wrap-distance-left:0;mso-wrap-distance-right:0;mso-position-horizontal-relative:page" from="104.05pt,-4.95pt" to="515.65pt,-4.95pt" strokecolor="#5ca6c0" strokeweight=".77717mm">
          <w10:wrap type="topAndBottom" anchorx="page"/>
        </v:line>
      </w:pict>
    </w:r>
    <w:r w:rsidR="00821D07" w:rsidRPr="006C5BA2">
      <w:rPr>
        <w:rFonts w:ascii="Calibri" w:hAnsi="Calibri"/>
        <w:color w:val="706F6F"/>
        <w:sz w:val="15"/>
      </w:rPr>
      <w:t>I. P. Pavlova 185/6</w:t>
    </w:r>
    <w:r w:rsidR="00821D07" w:rsidRPr="006C5BA2">
      <w:rPr>
        <w:rFonts w:ascii="Calibri" w:hAnsi="Calibri"/>
        <w:color w:val="1D1D1B"/>
        <w:sz w:val="15"/>
      </w:rPr>
      <w:t xml:space="preserve"> </w:t>
    </w:r>
    <w:r w:rsidR="00821D07" w:rsidRPr="006C5BA2">
      <w:rPr>
        <w:rFonts w:ascii="Calibri" w:hAnsi="Calibri"/>
        <w:color w:val="1D1D1B"/>
        <w:sz w:val="15"/>
      </w:rPr>
      <w:tab/>
    </w:r>
    <w:r w:rsidR="00821D07" w:rsidRPr="006C5BA2">
      <w:rPr>
        <w:rFonts w:ascii="Calibri" w:hAnsi="Calibri"/>
        <w:b/>
        <w:color w:val="5CA6C0"/>
        <w:sz w:val="15"/>
      </w:rPr>
      <w:t xml:space="preserve">fax: </w:t>
    </w:r>
    <w:r w:rsidR="00821D07" w:rsidRPr="006C5BA2">
      <w:rPr>
        <w:rFonts w:ascii="Calibri" w:hAnsi="Calibri"/>
        <w:color w:val="706F6F"/>
        <w:sz w:val="15"/>
      </w:rPr>
      <w:t>+420 585 413 841</w:t>
    </w:r>
    <w:r w:rsidR="00821D07" w:rsidRPr="006C5BA2">
      <w:rPr>
        <w:rFonts w:ascii="Calibri" w:hAnsi="Calibri"/>
        <w:color w:val="1D1D1B"/>
        <w:sz w:val="15"/>
      </w:rPr>
      <w:tab/>
    </w:r>
    <w:r w:rsidR="00821D07" w:rsidRPr="006C5BA2">
      <w:rPr>
        <w:rFonts w:ascii="Calibri" w:hAnsi="Calibri"/>
        <w:b/>
        <w:color w:val="5CA6C0"/>
        <w:sz w:val="15"/>
      </w:rPr>
      <w:t>Bankovní spojení:</w:t>
    </w:r>
    <w:r w:rsidR="00821D07" w:rsidRPr="006C5BA2">
      <w:rPr>
        <w:rFonts w:ascii="Calibri" w:hAnsi="Calibri"/>
        <w:b/>
        <w:color w:val="5CA6C0"/>
        <w:sz w:val="15"/>
      </w:rPr>
      <w:tab/>
      <w:t xml:space="preserve">IČ: </w:t>
    </w:r>
    <w:r w:rsidR="00821D07" w:rsidRPr="006C5BA2">
      <w:rPr>
        <w:rFonts w:ascii="Calibri" w:hAnsi="Calibri"/>
        <w:color w:val="706F6F"/>
        <w:sz w:val="15"/>
      </w:rPr>
      <w:t>00098892</w:t>
    </w:r>
  </w:p>
  <w:p w:rsidR="00821D07" w:rsidRPr="006C5BA2" w:rsidRDefault="00821D07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821D07" w:rsidRPr="00FD042F" w:rsidRDefault="00821D07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proofErr w:type="gram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D07" w:rsidRDefault="00821D07" w:rsidP="00FD042F">
      <w:pPr>
        <w:spacing w:after="0" w:line="240" w:lineRule="auto"/>
      </w:pPr>
      <w:r>
        <w:separator/>
      </w:r>
    </w:p>
  </w:footnote>
  <w:footnote w:type="continuationSeparator" w:id="0">
    <w:p w:rsidR="00821D07" w:rsidRDefault="00821D07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D07" w:rsidRDefault="00821D07">
    <w:pPr>
      <w:pStyle w:val="Zhlav"/>
    </w:pPr>
  </w:p>
  <w:p w:rsidR="00821D07" w:rsidRDefault="00821D0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2DEC"/>
    <w:multiLevelType w:val="hybridMultilevel"/>
    <w:tmpl w:val="3CE8E892"/>
    <w:lvl w:ilvl="0" w:tplc="CC544E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50A5E"/>
    <w:multiLevelType w:val="hybridMultilevel"/>
    <w:tmpl w:val="3CE8E892"/>
    <w:lvl w:ilvl="0" w:tplc="CC544E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A38D4"/>
    <w:multiLevelType w:val="hybridMultilevel"/>
    <w:tmpl w:val="3CE8E892"/>
    <w:lvl w:ilvl="0" w:tplc="CC544E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D042F"/>
    <w:rsid w:val="001153EB"/>
    <w:rsid w:val="0013471D"/>
    <w:rsid w:val="001B5834"/>
    <w:rsid w:val="00223B6C"/>
    <w:rsid w:val="00245BEA"/>
    <w:rsid w:val="00304CDE"/>
    <w:rsid w:val="003D12AC"/>
    <w:rsid w:val="00401A71"/>
    <w:rsid w:val="004B28BB"/>
    <w:rsid w:val="004B68DC"/>
    <w:rsid w:val="00501F08"/>
    <w:rsid w:val="005C147E"/>
    <w:rsid w:val="00663062"/>
    <w:rsid w:val="006B359D"/>
    <w:rsid w:val="006C44C3"/>
    <w:rsid w:val="0071591E"/>
    <w:rsid w:val="007928FD"/>
    <w:rsid w:val="00800D3D"/>
    <w:rsid w:val="00821D07"/>
    <w:rsid w:val="00823FC6"/>
    <w:rsid w:val="008330B1"/>
    <w:rsid w:val="00944134"/>
    <w:rsid w:val="00AC7273"/>
    <w:rsid w:val="00B463C5"/>
    <w:rsid w:val="00BA3C92"/>
    <w:rsid w:val="00C75EC9"/>
    <w:rsid w:val="00C82129"/>
    <w:rsid w:val="00CB5559"/>
    <w:rsid w:val="00E56DD7"/>
    <w:rsid w:val="00F246F9"/>
    <w:rsid w:val="00FD042F"/>
    <w:rsid w:val="00FF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  <w:style w:type="paragraph" w:styleId="Odstavecseseznamem">
    <w:name w:val="List Paragraph"/>
    <w:basedOn w:val="Normln"/>
    <w:uiPriority w:val="34"/>
    <w:qFormat/>
    <w:rsid w:val="00E56DD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64561</cp:lastModifiedBy>
  <cp:revision>4</cp:revision>
  <cp:lastPrinted>2017-06-15T07:20:00Z</cp:lastPrinted>
  <dcterms:created xsi:type="dcterms:W3CDTF">2018-06-06T07:53:00Z</dcterms:created>
  <dcterms:modified xsi:type="dcterms:W3CDTF">2018-06-06T08:05:00Z</dcterms:modified>
</cp:coreProperties>
</file>