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BB" w:rsidRDefault="004E16D5" w:rsidP="00821D07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Analýza indikátorů</w:t>
      </w:r>
      <w:r w:rsidR="004B28BB" w:rsidRPr="00821D07">
        <w:rPr>
          <w:rFonts w:ascii="Arial" w:hAnsi="Arial" w:cs="Arial"/>
          <w:b/>
        </w:rPr>
        <w:t xml:space="preserve"> kvality </w:t>
      </w:r>
    </w:p>
    <w:p w:rsidR="00415C07" w:rsidRDefault="00013F90" w:rsidP="004E16D5">
      <w:pPr>
        <w:outlineLvl w:val="0"/>
        <w:rPr>
          <w:b/>
        </w:rPr>
      </w:pPr>
      <w:r w:rsidRPr="00013F90">
        <w:rPr>
          <w:b/>
          <w:noProof/>
          <w:lang w:eastAsia="cs-CZ"/>
        </w:rPr>
        <w:drawing>
          <wp:inline distT="0" distB="0" distL="0" distR="0">
            <wp:extent cx="9012807" cy="3925019"/>
            <wp:effectExtent l="19050" t="0" r="16893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3F90" w:rsidRDefault="00013F90" w:rsidP="004E16D5">
      <w:pPr>
        <w:outlineLvl w:val="0"/>
        <w:rPr>
          <w:b/>
        </w:rPr>
      </w:pPr>
    </w:p>
    <w:p w:rsidR="00013F90" w:rsidRDefault="00013F90" w:rsidP="004E16D5">
      <w:pPr>
        <w:outlineLvl w:val="0"/>
        <w:rPr>
          <w:b/>
        </w:rPr>
      </w:pPr>
    </w:p>
    <w:p w:rsidR="00013F90" w:rsidRDefault="00013F90" w:rsidP="004E16D5">
      <w:pPr>
        <w:outlineLvl w:val="0"/>
        <w:rPr>
          <w:b/>
        </w:rPr>
      </w:pPr>
      <w:r w:rsidRPr="00013F90">
        <w:rPr>
          <w:b/>
          <w:noProof/>
          <w:lang w:eastAsia="cs-CZ"/>
        </w:rPr>
        <w:lastRenderedPageBreak/>
        <w:drawing>
          <wp:inline distT="0" distB="0" distL="0" distR="0">
            <wp:extent cx="8428008" cy="4433977"/>
            <wp:effectExtent l="0" t="0" r="0" b="0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3F90" w:rsidRDefault="00013F90" w:rsidP="004E16D5">
      <w:pPr>
        <w:outlineLvl w:val="0"/>
        <w:rPr>
          <w:b/>
        </w:rPr>
      </w:pPr>
    </w:p>
    <w:p w:rsidR="00013F90" w:rsidRDefault="00013F90" w:rsidP="004E16D5">
      <w:pPr>
        <w:outlineLvl w:val="0"/>
        <w:rPr>
          <w:b/>
        </w:rPr>
      </w:pPr>
      <w:r w:rsidRPr="00013F90">
        <w:rPr>
          <w:b/>
          <w:noProof/>
          <w:lang w:eastAsia="cs-CZ"/>
        </w:rPr>
        <w:lastRenderedPageBreak/>
        <w:drawing>
          <wp:inline distT="0" distB="0" distL="0" distR="0">
            <wp:extent cx="8572860" cy="4321834"/>
            <wp:effectExtent l="19050" t="0" r="18690" b="2516"/>
            <wp:docPr id="5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3F90" w:rsidRDefault="00013F90" w:rsidP="004E16D5">
      <w:pPr>
        <w:outlineLvl w:val="0"/>
        <w:rPr>
          <w:b/>
        </w:rPr>
      </w:pPr>
    </w:p>
    <w:p w:rsidR="00013F90" w:rsidRDefault="00013F90" w:rsidP="004E16D5">
      <w:pPr>
        <w:outlineLvl w:val="0"/>
        <w:rPr>
          <w:b/>
        </w:rPr>
      </w:pPr>
      <w:r w:rsidRPr="00013F90">
        <w:rPr>
          <w:b/>
          <w:noProof/>
          <w:lang w:eastAsia="cs-CZ"/>
        </w:rPr>
        <w:lastRenderedPageBreak/>
        <w:drawing>
          <wp:inline distT="0" distB="0" distL="0" distR="0">
            <wp:extent cx="8624618" cy="4951563"/>
            <wp:effectExtent l="19050" t="0" r="24082" b="1437"/>
            <wp:docPr id="6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53EF" w:rsidRDefault="00A453EF" w:rsidP="004E16D5">
      <w:pPr>
        <w:outlineLvl w:val="0"/>
        <w:rPr>
          <w:b/>
        </w:rPr>
      </w:pPr>
      <w:r w:rsidRPr="00A453EF">
        <w:rPr>
          <w:b/>
          <w:noProof/>
          <w:lang w:eastAsia="cs-CZ"/>
        </w:rPr>
        <w:lastRenderedPageBreak/>
        <w:drawing>
          <wp:inline distT="0" distB="0" distL="0" distR="0">
            <wp:extent cx="9040483" cy="5029200"/>
            <wp:effectExtent l="0" t="0" r="0" b="0"/>
            <wp:docPr id="8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A453EF" w:rsidSect="00013F90">
      <w:headerReference w:type="default" r:id="rId11"/>
      <w:footerReference w:type="default" r:id="rId12"/>
      <w:pgSz w:w="16838" w:h="11906" w:orient="landscape"/>
      <w:pgMar w:top="1701" w:right="1418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90" w:rsidRDefault="00013F90" w:rsidP="00FD042F">
      <w:pPr>
        <w:spacing w:after="0" w:line="240" w:lineRule="auto"/>
      </w:pPr>
      <w:r>
        <w:separator/>
      </w:r>
    </w:p>
  </w:endnote>
  <w:endnote w:type="continuationSeparator" w:id="0">
    <w:p w:rsidR="00013F90" w:rsidRDefault="00013F9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90" w:rsidRPr="006C5BA2" w:rsidRDefault="00E02B1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E02B1D">
      <w:rPr>
        <w:rFonts w:ascii="Calibri" w:hAnsi="Calibri"/>
        <w:color w:val="706F6F"/>
        <w:lang w:eastAsia="cs-CZ"/>
      </w:rPr>
      <w:pict>
        <v:line id="_x0000_s2049" style="position:absolute;flip:y;z-index:251661312;mso-wrap-distance-left:0;mso-wrap-distance-right:0;mso-position-horizontal-relative:page" from="65.9pt,-8.35pt" to="789.3pt,-4.95pt" strokecolor="#5ca6c0" strokeweight=".77717mm">
          <w10:wrap type="topAndBottom" anchorx="page"/>
        </v:line>
      </w:pict>
    </w:r>
    <w:r w:rsidRPr="00E02B1D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E02B1D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="00013F90" w:rsidRPr="006C5BA2">
      <w:rPr>
        <w:rFonts w:ascii="Calibri" w:hAnsi="Calibri"/>
        <w:color w:val="706F6F"/>
        <w:sz w:val="15"/>
      </w:rPr>
      <w:t>I. P. Pavlova 185/6</w:t>
    </w:r>
    <w:r w:rsidR="00013F90" w:rsidRPr="006C5BA2">
      <w:rPr>
        <w:rFonts w:ascii="Calibri" w:hAnsi="Calibri"/>
        <w:color w:val="1D1D1B"/>
        <w:sz w:val="15"/>
      </w:rPr>
      <w:t xml:space="preserve"> </w:t>
    </w:r>
    <w:r w:rsidR="00013F90" w:rsidRPr="006C5BA2">
      <w:rPr>
        <w:rFonts w:ascii="Calibri" w:hAnsi="Calibri"/>
        <w:color w:val="1D1D1B"/>
        <w:sz w:val="15"/>
      </w:rPr>
      <w:tab/>
    </w:r>
    <w:r w:rsidR="00013F90" w:rsidRPr="006C5BA2">
      <w:rPr>
        <w:rFonts w:ascii="Calibri" w:hAnsi="Calibri"/>
        <w:b/>
        <w:color w:val="5CA6C0"/>
        <w:sz w:val="15"/>
      </w:rPr>
      <w:t xml:space="preserve">fax: </w:t>
    </w:r>
    <w:r w:rsidR="00013F90" w:rsidRPr="006C5BA2">
      <w:rPr>
        <w:rFonts w:ascii="Calibri" w:hAnsi="Calibri"/>
        <w:color w:val="706F6F"/>
        <w:sz w:val="15"/>
      </w:rPr>
      <w:t>+420 585 413 841</w:t>
    </w:r>
    <w:r w:rsidR="00013F90" w:rsidRPr="006C5BA2">
      <w:rPr>
        <w:rFonts w:ascii="Calibri" w:hAnsi="Calibri"/>
        <w:color w:val="1D1D1B"/>
        <w:sz w:val="15"/>
      </w:rPr>
      <w:tab/>
    </w:r>
    <w:r w:rsidR="00013F90" w:rsidRPr="006C5BA2">
      <w:rPr>
        <w:rFonts w:ascii="Calibri" w:hAnsi="Calibri"/>
        <w:b/>
        <w:color w:val="5CA6C0"/>
        <w:sz w:val="15"/>
      </w:rPr>
      <w:t>Bankovní spojení:</w:t>
    </w:r>
    <w:r w:rsidR="00013F90" w:rsidRPr="006C5BA2">
      <w:rPr>
        <w:rFonts w:ascii="Calibri" w:hAnsi="Calibri"/>
        <w:b/>
        <w:color w:val="5CA6C0"/>
        <w:sz w:val="15"/>
      </w:rPr>
      <w:tab/>
      <w:t xml:space="preserve">IČ: </w:t>
    </w:r>
    <w:r w:rsidR="00013F90" w:rsidRPr="006C5BA2">
      <w:rPr>
        <w:rFonts w:ascii="Calibri" w:hAnsi="Calibri"/>
        <w:color w:val="706F6F"/>
        <w:sz w:val="15"/>
      </w:rPr>
      <w:t>00098892</w:t>
    </w:r>
  </w:p>
  <w:p w:rsidR="00013F90" w:rsidRPr="006C5BA2" w:rsidRDefault="00013F9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13F90" w:rsidRPr="00FD042F" w:rsidRDefault="00013F9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90" w:rsidRDefault="00013F90" w:rsidP="00FD042F">
      <w:pPr>
        <w:spacing w:after="0" w:line="240" w:lineRule="auto"/>
      </w:pPr>
      <w:r>
        <w:separator/>
      </w:r>
    </w:p>
  </w:footnote>
  <w:footnote w:type="continuationSeparator" w:id="0">
    <w:p w:rsidR="00013F90" w:rsidRDefault="00013F9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90" w:rsidRDefault="00A453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72390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13F90" w:rsidRDefault="00013F90">
    <w:pPr>
      <w:pStyle w:val="Zhlav"/>
    </w:pPr>
  </w:p>
  <w:p w:rsidR="00A453EF" w:rsidRDefault="00A453EF">
    <w:pPr>
      <w:pStyle w:val="Zhlav"/>
    </w:pPr>
  </w:p>
  <w:p w:rsidR="00A453EF" w:rsidRDefault="00A453EF">
    <w:pPr>
      <w:pStyle w:val="Zhlav"/>
    </w:pPr>
  </w:p>
  <w:p w:rsidR="00A453EF" w:rsidRPr="00A453EF" w:rsidRDefault="00A453EF" w:rsidP="00A453EF">
    <w:pPr>
      <w:spacing w:before="240"/>
      <w:rPr>
        <w:rFonts w:ascii="Arial" w:hAnsi="Arial" w:cs="Arial"/>
        <w:b/>
        <w:color w:val="00529C"/>
      </w:rPr>
    </w:pPr>
    <w:r>
      <w:rPr>
        <w:rFonts w:ascii="Arial" w:hAnsi="Arial" w:cs="Arial"/>
        <w:b/>
        <w:color w:val="00529C"/>
      </w:rPr>
      <w:t xml:space="preserve">Novorozenecké oddělení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13F90"/>
    <w:rsid w:val="000435E4"/>
    <w:rsid w:val="000A11FC"/>
    <w:rsid w:val="0013471D"/>
    <w:rsid w:val="001B5834"/>
    <w:rsid w:val="00216F5A"/>
    <w:rsid w:val="00223B6C"/>
    <w:rsid w:val="00245BEA"/>
    <w:rsid w:val="00304CDE"/>
    <w:rsid w:val="003D12AC"/>
    <w:rsid w:val="00415C07"/>
    <w:rsid w:val="004B28BB"/>
    <w:rsid w:val="004B68DC"/>
    <w:rsid w:val="004E16D5"/>
    <w:rsid w:val="00501F08"/>
    <w:rsid w:val="005C147E"/>
    <w:rsid w:val="00663062"/>
    <w:rsid w:val="006B359D"/>
    <w:rsid w:val="006C44C3"/>
    <w:rsid w:val="0071591E"/>
    <w:rsid w:val="007928FD"/>
    <w:rsid w:val="007E67AF"/>
    <w:rsid w:val="00800D3D"/>
    <w:rsid w:val="00821D07"/>
    <w:rsid w:val="008330B1"/>
    <w:rsid w:val="00944134"/>
    <w:rsid w:val="00A453EF"/>
    <w:rsid w:val="00A87AA7"/>
    <w:rsid w:val="00AC7273"/>
    <w:rsid w:val="00BA3C92"/>
    <w:rsid w:val="00C72147"/>
    <w:rsid w:val="00C75EC9"/>
    <w:rsid w:val="00CB5559"/>
    <w:rsid w:val="00E02B1D"/>
    <w:rsid w:val="00ED7DDA"/>
    <w:rsid w:val="00EF4F41"/>
    <w:rsid w:val="00F246F9"/>
    <w:rsid w:val="00FA2B0D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4561\AppData\Local\Microsoft\Windows\Temporary%20Internet%20Files\Content.Outlook\G4F5299H\2017%20NOVO%20INDIK&#193;TORY%20KVALITY%20aktu&#225;ln&#23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4561\AppData\Local\Microsoft\Windows\Temporary%20Internet%20Files\Content.Outlook\G4F5299H\2017%20NOVO%20INDIK&#193;TORY%20KVALITY%20aktu&#225;ln&#23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4561\AppData\Local\Microsoft\Windows\Temporary%20Internet%20Files\Content.Outlook\G4F5299H\2017%20NOVO%20INDIK&#193;TORY%20KVALITY%20aktu&#225;ln&#23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4561\AppData\Local\Microsoft\Windows\Temporary%20Internet%20Files\Content.Outlook\G4F5299H\2017%20NOVO%20INDIK&#193;TORY%20KVALITY%20aktu&#225;ln&#23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4561\AppData\Local\Microsoft\Windows\Temporary%20Internet%20Files\Content.Outlook\G4F5299H\2017%20NOVO%20INDIK&#193;TORY%20KVALITY%20aktu&#225;ln&#2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chart>
    <c:title>
      <c:tx>
        <c:rich>
          <a:bodyPr/>
          <a:lstStyle/>
          <a:p>
            <a:pPr>
              <a:defRPr/>
            </a:pPr>
            <a:r>
              <a:rPr lang="cs-CZ"/>
              <a:t>VÝVOJ ÚMRTNOSTI FN OLOMOUC OD 1991</a:t>
            </a:r>
          </a:p>
        </c:rich>
      </c:tx>
      <c:layout>
        <c:manualLayout>
          <c:xMode val="edge"/>
          <c:yMode val="edge"/>
          <c:x val="0.36089294826661883"/>
          <c:y val="2.6305388297051122E-2"/>
        </c:manualLayout>
      </c:layout>
    </c:title>
    <c:plotArea>
      <c:layout>
        <c:manualLayout>
          <c:layoutTarget val="inner"/>
          <c:xMode val="edge"/>
          <c:yMode val="edge"/>
          <c:x val="5.8491534120061674E-2"/>
          <c:y val="0.12289685442575002"/>
          <c:w val="0.80246280143663296"/>
          <c:h val="0.71982443306510813"/>
        </c:manualLayout>
      </c:layout>
      <c:lineChart>
        <c:grouping val="standard"/>
        <c:ser>
          <c:idx val="0"/>
          <c:order val="0"/>
          <c:tx>
            <c:strRef>
              <c:f>'D:\Dokumenty\STATISTIKA - ÚMRTNOST A MORBIDITA\[klinika od 1991.xls]centrum souhrn od roku 91'!$A$9:$B$9</c:f>
              <c:strCache>
                <c:ptCount val="1"/>
                <c:pt idx="0">
                  <c:v>perinat. úmrtnost ‰</c:v>
                </c:pt>
              </c:strCache>
            </c:strRef>
          </c:tx>
          <c:dLbls>
            <c:dLbl>
              <c:idx val="18"/>
              <c:layout>
                <c:manualLayout>
                  <c:x val="1.6497334470848544E-3"/>
                  <c:y val="-1.70459917468336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Val val="1"/>
            </c:dLbl>
            <c:dLbl>
              <c:idx val="23"/>
              <c:layout>
                <c:manualLayout>
                  <c:x val="2.1210406150009402E-3"/>
                  <c:y val="1.04270974867957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Val val="1"/>
            </c:dLbl>
            <c:showVal val="1"/>
          </c:dLbls>
          <c:cat>
            <c:numRef>
              <c:f>'D:\Dokumenty\STATISTIKA - ÚMRTNOST A MORBIDITA\[klinika od 1991.xls]centrum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'D:\Dokumenty\STATISTIKA - ÚMRTNOST A MORBIDITA\[klinika od 1991.xls]centrum souhrn od roku 91'!$C$9:$AC$9</c:f>
              <c:numCache>
                <c:formatCode>General</c:formatCode>
                <c:ptCount val="27"/>
                <c:pt idx="0">
                  <c:v>20.04</c:v>
                </c:pt>
                <c:pt idx="1">
                  <c:v>18.18</c:v>
                </c:pt>
                <c:pt idx="2">
                  <c:v>22.14</c:v>
                </c:pt>
                <c:pt idx="3">
                  <c:v>19.5</c:v>
                </c:pt>
                <c:pt idx="4">
                  <c:v>15.7</c:v>
                </c:pt>
                <c:pt idx="5">
                  <c:v>12</c:v>
                </c:pt>
                <c:pt idx="6">
                  <c:v>7.1</c:v>
                </c:pt>
                <c:pt idx="7">
                  <c:v>6.06</c:v>
                </c:pt>
                <c:pt idx="8">
                  <c:v>5.8</c:v>
                </c:pt>
                <c:pt idx="9">
                  <c:v>5.9</c:v>
                </c:pt>
                <c:pt idx="10">
                  <c:v>8.8000000000000007</c:v>
                </c:pt>
                <c:pt idx="11">
                  <c:v>5.4</c:v>
                </c:pt>
                <c:pt idx="12">
                  <c:v>6.5</c:v>
                </c:pt>
                <c:pt idx="13">
                  <c:v>3.4499999999999997</c:v>
                </c:pt>
                <c:pt idx="14">
                  <c:v>5.6</c:v>
                </c:pt>
                <c:pt idx="15">
                  <c:v>4.8</c:v>
                </c:pt>
                <c:pt idx="16">
                  <c:v>7.3</c:v>
                </c:pt>
                <c:pt idx="17">
                  <c:v>2.8</c:v>
                </c:pt>
                <c:pt idx="18">
                  <c:v>4.5999999999999996</c:v>
                </c:pt>
                <c:pt idx="19">
                  <c:v>4.0999999999999996</c:v>
                </c:pt>
                <c:pt idx="20">
                  <c:v>4.3</c:v>
                </c:pt>
                <c:pt idx="21">
                  <c:v>6.1</c:v>
                </c:pt>
                <c:pt idx="22">
                  <c:v>6.3</c:v>
                </c:pt>
                <c:pt idx="23">
                  <c:v>4.5</c:v>
                </c:pt>
                <c:pt idx="24">
                  <c:v>6.4</c:v>
                </c:pt>
                <c:pt idx="25">
                  <c:v>7.3</c:v>
                </c:pt>
                <c:pt idx="26">
                  <c:v>3.1</c:v>
                </c:pt>
              </c:numCache>
            </c:numRef>
          </c:val>
        </c:ser>
        <c:ser>
          <c:idx val="1"/>
          <c:order val="1"/>
          <c:tx>
            <c:strRef>
              <c:f>'D:\Dokumenty\STATISTIKA - ÚMRTNOST A MORBIDITA\[klinika od 1991.xls]centrum souhrn od roku 91'!$A$11:$B$11</c:f>
              <c:strCache>
                <c:ptCount val="1"/>
                <c:pt idx="0">
                  <c:v>ČNÚ                  ‰</c:v>
                </c:pt>
              </c:strCache>
            </c:strRef>
          </c:tx>
          <c:cat>
            <c:numRef>
              <c:f>'D:\Dokumenty\STATISTIKA - ÚMRTNOST A MORBIDITA\[klinika od 1991.xls]centrum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'D:\Dokumenty\STATISTIKA - ÚMRTNOST A MORBIDITA\[klinika od 1991.xls]centrum souhrn od roku 91'!$C$11:$AC$11</c:f>
              <c:numCache>
                <c:formatCode>General</c:formatCode>
                <c:ptCount val="27"/>
                <c:pt idx="0">
                  <c:v>13</c:v>
                </c:pt>
                <c:pt idx="1">
                  <c:v>14.1</c:v>
                </c:pt>
                <c:pt idx="2">
                  <c:v>17.3</c:v>
                </c:pt>
                <c:pt idx="3">
                  <c:v>15.3</c:v>
                </c:pt>
                <c:pt idx="4">
                  <c:v>12.9</c:v>
                </c:pt>
                <c:pt idx="5">
                  <c:v>7.9</c:v>
                </c:pt>
                <c:pt idx="6">
                  <c:v>4.2</c:v>
                </c:pt>
                <c:pt idx="7">
                  <c:v>4</c:v>
                </c:pt>
                <c:pt idx="8">
                  <c:v>2.6</c:v>
                </c:pt>
                <c:pt idx="9">
                  <c:v>3.2</c:v>
                </c:pt>
                <c:pt idx="10">
                  <c:v>5.9</c:v>
                </c:pt>
                <c:pt idx="11">
                  <c:v>3.6</c:v>
                </c:pt>
                <c:pt idx="12">
                  <c:v>3.6</c:v>
                </c:pt>
                <c:pt idx="13">
                  <c:v>2.2999999999999998</c:v>
                </c:pt>
                <c:pt idx="14">
                  <c:v>1.7000000000000004</c:v>
                </c:pt>
                <c:pt idx="15">
                  <c:v>2.7</c:v>
                </c:pt>
                <c:pt idx="16">
                  <c:v>2.9</c:v>
                </c:pt>
                <c:pt idx="17">
                  <c:v>0.5</c:v>
                </c:pt>
                <c:pt idx="18">
                  <c:v>1.8</c:v>
                </c:pt>
                <c:pt idx="19">
                  <c:v>2.2999999999999998</c:v>
                </c:pt>
                <c:pt idx="20">
                  <c:v>3.3</c:v>
                </c:pt>
                <c:pt idx="21">
                  <c:v>1.9</c:v>
                </c:pt>
                <c:pt idx="22">
                  <c:v>3.2</c:v>
                </c:pt>
                <c:pt idx="23">
                  <c:v>1.2</c:v>
                </c:pt>
                <c:pt idx="24">
                  <c:v>1.3</c:v>
                </c:pt>
                <c:pt idx="25">
                  <c:v>2.4</c:v>
                </c:pt>
                <c:pt idx="26">
                  <c:v>2</c:v>
                </c:pt>
              </c:numCache>
            </c:numRef>
          </c:val>
        </c:ser>
        <c:ser>
          <c:idx val="2"/>
          <c:order val="2"/>
          <c:tx>
            <c:strRef>
              <c:f>'D:\Dokumenty\STATISTIKA - ÚMRTNOST A MORBIDITA\[klinika od 1991.xls]centrum souhrn od roku 91'!$A$13:$B$13</c:f>
              <c:strCache>
                <c:ptCount val="1"/>
                <c:pt idx="0">
                  <c:v>NÚ                    ‰</c:v>
                </c:pt>
              </c:strCache>
            </c:strRef>
          </c:tx>
          <c:cat>
            <c:numRef>
              <c:f>'D:\Dokumenty\STATISTIKA - ÚMRTNOST A MORBIDITA\[klinika od 1991.xls]centrum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'D:\Dokumenty\STATISTIKA - ÚMRTNOST A MORBIDITA\[klinika od 1991.xls]centrum souhrn od roku 91'!$C$13:$AC$13</c:f>
              <c:numCache>
                <c:formatCode>General</c:formatCode>
                <c:ptCount val="27"/>
                <c:pt idx="1">
                  <c:v>17.7</c:v>
                </c:pt>
                <c:pt idx="2">
                  <c:v>24.7</c:v>
                </c:pt>
                <c:pt idx="3">
                  <c:v>18.399999999999999</c:v>
                </c:pt>
                <c:pt idx="4">
                  <c:v>16.5</c:v>
                </c:pt>
                <c:pt idx="5">
                  <c:v>10</c:v>
                </c:pt>
                <c:pt idx="6">
                  <c:v>9.25</c:v>
                </c:pt>
                <c:pt idx="7">
                  <c:v>6.7</c:v>
                </c:pt>
                <c:pt idx="8">
                  <c:v>3.8</c:v>
                </c:pt>
                <c:pt idx="9">
                  <c:v>5.2</c:v>
                </c:pt>
                <c:pt idx="10">
                  <c:v>8.2000000000000011</c:v>
                </c:pt>
                <c:pt idx="11">
                  <c:v>4.2</c:v>
                </c:pt>
                <c:pt idx="12">
                  <c:v>5.3</c:v>
                </c:pt>
                <c:pt idx="13">
                  <c:v>5.0999999999999996</c:v>
                </c:pt>
                <c:pt idx="14">
                  <c:v>3.36</c:v>
                </c:pt>
                <c:pt idx="15">
                  <c:v>5.4</c:v>
                </c:pt>
                <c:pt idx="16">
                  <c:v>4.9000000000000004</c:v>
                </c:pt>
                <c:pt idx="17">
                  <c:v>2.2999999999999998</c:v>
                </c:pt>
                <c:pt idx="18">
                  <c:v>5.9</c:v>
                </c:pt>
                <c:pt idx="19">
                  <c:v>2.7</c:v>
                </c:pt>
                <c:pt idx="20">
                  <c:v>4.7</c:v>
                </c:pt>
                <c:pt idx="21">
                  <c:v>2.8</c:v>
                </c:pt>
                <c:pt idx="22">
                  <c:v>4.5</c:v>
                </c:pt>
                <c:pt idx="23">
                  <c:v>2</c:v>
                </c:pt>
                <c:pt idx="24">
                  <c:v>2.2000000000000002</c:v>
                </c:pt>
                <c:pt idx="25">
                  <c:v>3.2</c:v>
                </c:pt>
                <c:pt idx="26">
                  <c:v>3.1</c:v>
                </c:pt>
              </c:numCache>
            </c:numRef>
          </c:val>
        </c:ser>
        <c:marker val="1"/>
        <c:axId val="50387584"/>
        <c:axId val="134329088"/>
      </c:lineChart>
      <c:catAx>
        <c:axId val="50387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rok</a:t>
                </a:r>
              </a:p>
            </c:rich>
          </c:tx>
          <c:layout>
            <c:manualLayout>
              <c:xMode val="edge"/>
              <c:yMode val="edge"/>
              <c:x val="0.45334788852787988"/>
              <c:y val="0.88601187106513701"/>
            </c:manualLayout>
          </c:layout>
        </c:title>
        <c:numFmt formatCode="General" sourceLinked="1"/>
        <c:majorTickMark val="cross"/>
        <c:tickLblPos val="nextTo"/>
        <c:txPr>
          <a:bodyPr rot="0" vert="horz"/>
          <a:lstStyle/>
          <a:p>
            <a:pPr>
              <a:defRPr/>
            </a:pPr>
            <a:endParaRPr lang="cs-CZ"/>
          </a:p>
        </c:txPr>
        <c:crossAx val="134329088"/>
        <c:crosses val="autoZero"/>
        <c:lblAlgn val="ctr"/>
        <c:lblOffset val="100"/>
        <c:tickLblSkip val="1"/>
        <c:tickMarkSkip val="1"/>
      </c:catAx>
      <c:valAx>
        <c:axId val="1343290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‰</a:t>
                </a:r>
              </a:p>
            </c:rich>
          </c:tx>
          <c:layout>
            <c:manualLayout>
              <c:xMode val="edge"/>
              <c:yMode val="edge"/>
              <c:x val="2.4867162318410015E-2"/>
              <c:y val="0.47110476386530187"/>
            </c:manualLayout>
          </c:layout>
        </c:title>
        <c:numFmt formatCode="General" sourceLinked="1"/>
        <c:majorTickMark val="cross"/>
        <c:tickLblPos val="nextTo"/>
        <c:txPr>
          <a:bodyPr rot="0" vert="horz"/>
          <a:lstStyle/>
          <a:p>
            <a:pPr>
              <a:defRPr/>
            </a:pPr>
            <a:endParaRPr lang="cs-CZ"/>
          </a:p>
        </c:txPr>
        <c:crossAx val="5038758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57013963082342456"/>
          <c:y val="0.25980443621017962"/>
          <c:w val="0.12545802570412914"/>
          <c:h val="0.11591614773643512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 sz="1800"/>
              <a:t>ČASNÁ NEONATÁLNÍ ÚMRTNOST FN OLOMOUC OD 1991</a:t>
            </a:r>
          </a:p>
        </c:rich>
      </c:tx>
      <c:layout>
        <c:manualLayout>
          <c:xMode val="edge"/>
          <c:yMode val="edge"/>
          <c:x val="0.15512230173488206"/>
          <c:y val="4.613059562555239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4.2966991181541847E-2"/>
          <c:y val="0.17387327358074048"/>
          <c:w val="0.87254146594697779"/>
          <c:h val="0.77949813134009738"/>
        </c:manualLayout>
      </c:layout>
      <c:lineChart>
        <c:grouping val="standard"/>
        <c:ser>
          <c:idx val="2"/>
          <c:order val="0"/>
          <c:tx>
            <c:strRef>
              <c:f>'D:\Dokumenty\STATISTIKA - ÚMRTNOST A MORBIDITA\[klinika od 1991.xls]centrum souhrn od roku 91'!$A$11:$B$11</c:f>
              <c:strCache>
                <c:ptCount val="1"/>
                <c:pt idx="0">
                  <c:v>ČNÚ                  ‰</c:v>
                </c:pt>
              </c:strCache>
            </c:strRef>
          </c:tx>
          <c:spPr>
            <a:ln w="38100">
              <a:solidFill>
                <a:srgbClr val="00B050"/>
              </a:solidFill>
              <a:prstDash val="sysDash"/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numRef>
              <c:f>'D:\Dokumenty\STATISTIKA - ÚMRTNOST A MORBIDITA\[klinika od 1991.xls]centrum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'D:\Dokumenty\STATISTIKA - ÚMRTNOST A MORBIDITA\[klinika od 1991.xls]centrum souhrn od roku 91'!$C$11:$AC$11</c:f>
              <c:numCache>
                <c:formatCode>General</c:formatCode>
                <c:ptCount val="27"/>
                <c:pt idx="0">
                  <c:v>13</c:v>
                </c:pt>
                <c:pt idx="1">
                  <c:v>14.1</c:v>
                </c:pt>
                <c:pt idx="2">
                  <c:v>17.3</c:v>
                </c:pt>
                <c:pt idx="3">
                  <c:v>15.3</c:v>
                </c:pt>
                <c:pt idx="4">
                  <c:v>12.9</c:v>
                </c:pt>
                <c:pt idx="5">
                  <c:v>7.9</c:v>
                </c:pt>
                <c:pt idx="6">
                  <c:v>4.2</c:v>
                </c:pt>
                <c:pt idx="7">
                  <c:v>4</c:v>
                </c:pt>
                <c:pt idx="8">
                  <c:v>2.6</c:v>
                </c:pt>
                <c:pt idx="9">
                  <c:v>3.2</c:v>
                </c:pt>
                <c:pt idx="10">
                  <c:v>5.9</c:v>
                </c:pt>
                <c:pt idx="11">
                  <c:v>3.6</c:v>
                </c:pt>
                <c:pt idx="12">
                  <c:v>3.6</c:v>
                </c:pt>
                <c:pt idx="13">
                  <c:v>2.2999999999999998</c:v>
                </c:pt>
                <c:pt idx="14">
                  <c:v>1.7</c:v>
                </c:pt>
                <c:pt idx="15">
                  <c:v>2.7</c:v>
                </c:pt>
                <c:pt idx="16">
                  <c:v>2.9</c:v>
                </c:pt>
                <c:pt idx="17">
                  <c:v>0.5</c:v>
                </c:pt>
                <c:pt idx="18">
                  <c:v>1.8</c:v>
                </c:pt>
                <c:pt idx="19">
                  <c:v>2.2999999999999998</c:v>
                </c:pt>
                <c:pt idx="20">
                  <c:v>3.3</c:v>
                </c:pt>
                <c:pt idx="21">
                  <c:v>1.9000000000000001</c:v>
                </c:pt>
                <c:pt idx="22">
                  <c:v>3.2</c:v>
                </c:pt>
                <c:pt idx="23">
                  <c:v>1.2</c:v>
                </c:pt>
                <c:pt idx="24">
                  <c:v>1.3</c:v>
                </c:pt>
                <c:pt idx="25">
                  <c:v>2.4</c:v>
                </c:pt>
                <c:pt idx="26">
                  <c:v>2</c:v>
                </c:pt>
              </c:numCache>
            </c:numRef>
          </c:val>
        </c:ser>
        <c:ser>
          <c:idx val="0"/>
          <c:order val="1"/>
          <c:tx>
            <c:strRef>
              <c:f>'D:\Dokumenty\STATISTIKA - ÚMRTNOST A MORBIDITA\[klinika od 1991.xls]centrum souhrn od roku 91'!$A$12:$B$12</c:f>
              <c:strCache>
                <c:ptCount val="1"/>
                <c:pt idx="0">
                  <c:v>ČNÚ bez VVV    ‰</c:v>
                </c:pt>
              </c:strCache>
            </c:strRef>
          </c:tx>
          <c:cat>
            <c:numRef>
              <c:f>'D:\Dokumenty\STATISTIKA - ÚMRTNOST A MORBIDITA\[klinika od 1991.xls]centrum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'D:\Dokumenty\STATISTIKA - ÚMRTNOST A MORBIDITA\[klinika od 1991.xls]centrum souhrn od roku 91'!$C$12:$AC$12</c:f>
              <c:numCache>
                <c:formatCode>General</c:formatCode>
                <c:ptCount val="27"/>
                <c:pt idx="2">
                  <c:v>14</c:v>
                </c:pt>
                <c:pt idx="3">
                  <c:v>12.9</c:v>
                </c:pt>
                <c:pt idx="4">
                  <c:v>9.3700000000000028</c:v>
                </c:pt>
                <c:pt idx="5">
                  <c:v>6.4300000000000015</c:v>
                </c:pt>
                <c:pt idx="6">
                  <c:v>2.1</c:v>
                </c:pt>
                <c:pt idx="7">
                  <c:v>3.3</c:v>
                </c:pt>
                <c:pt idx="8">
                  <c:v>1.8</c:v>
                </c:pt>
                <c:pt idx="9">
                  <c:v>2.6</c:v>
                </c:pt>
                <c:pt idx="10">
                  <c:v>5.3</c:v>
                </c:pt>
                <c:pt idx="11">
                  <c:v>2.4</c:v>
                </c:pt>
                <c:pt idx="12">
                  <c:v>1.8</c:v>
                </c:pt>
                <c:pt idx="13">
                  <c:v>1.7</c:v>
                </c:pt>
                <c:pt idx="14">
                  <c:v>1.1000000000000001</c:v>
                </c:pt>
                <c:pt idx="15">
                  <c:v>2.1</c:v>
                </c:pt>
                <c:pt idx="16">
                  <c:v>2.4</c:v>
                </c:pt>
                <c:pt idx="17">
                  <c:v>0.5</c:v>
                </c:pt>
                <c:pt idx="18">
                  <c:v>0.9</c:v>
                </c:pt>
                <c:pt idx="19">
                  <c:v>1.4</c:v>
                </c:pt>
                <c:pt idx="20">
                  <c:v>2.8</c:v>
                </c:pt>
                <c:pt idx="21">
                  <c:v>1.9000000000000001</c:v>
                </c:pt>
                <c:pt idx="22">
                  <c:v>2.2999999999999998</c:v>
                </c:pt>
                <c:pt idx="23">
                  <c:v>1.2</c:v>
                </c:pt>
                <c:pt idx="24">
                  <c:v>1.3</c:v>
                </c:pt>
                <c:pt idx="25">
                  <c:v>2.4</c:v>
                </c:pt>
                <c:pt idx="26">
                  <c:v>2</c:v>
                </c:pt>
              </c:numCache>
            </c:numRef>
          </c:val>
        </c:ser>
        <c:marker val="1"/>
        <c:axId val="46884736"/>
        <c:axId val="46886272"/>
      </c:lineChart>
      <c:catAx>
        <c:axId val="468847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6886272"/>
        <c:crosses val="autoZero"/>
        <c:auto val="1"/>
        <c:lblAlgn val="ctr"/>
        <c:lblOffset val="100"/>
        <c:tickLblSkip val="2"/>
        <c:tickMarkSkip val="1"/>
      </c:catAx>
      <c:valAx>
        <c:axId val="468862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promile</a:t>
                </a:r>
              </a:p>
            </c:rich>
          </c:tx>
          <c:layout>
            <c:manualLayout>
              <c:xMode val="edge"/>
              <c:yMode val="edge"/>
              <c:x val="2.0618589342998726E-2"/>
              <c:y val="0.485099792213473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688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206407967339383"/>
          <c:y val="0.32786367633390989"/>
          <c:w val="0.16374244886055933"/>
          <c:h val="7.316683070866142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Incidence novorozenců NPH a VNPH</a:t>
            </a:r>
          </a:p>
        </c:rich>
      </c:tx>
      <c:layout>
        <c:manualLayout>
          <c:xMode val="edge"/>
          <c:yMode val="edge"/>
          <c:x val="0.30080843668126434"/>
          <c:y val="2.7463667535792002E-2"/>
        </c:manualLayout>
      </c:layout>
    </c:title>
    <c:plotArea>
      <c:layout>
        <c:manualLayout>
          <c:layoutTarget val="inner"/>
          <c:xMode val="edge"/>
          <c:yMode val="edge"/>
          <c:x val="5.2461372619475387E-2"/>
          <c:y val="0.26350461133069891"/>
          <c:w val="0.69205892921307965"/>
          <c:h val="0.61660079051383576"/>
        </c:manualLayout>
      </c:layout>
      <c:areaChart>
        <c:grouping val="standard"/>
        <c:ser>
          <c:idx val="0"/>
          <c:order val="0"/>
          <c:tx>
            <c:strRef>
              <c:f>'D:\Dokumenty\STATISTIKA - ÚMRTNOST A MORBIDITA\[klinika od 1991.xls]centrum souhrn od roku 91'!$A$5:$B$5</c:f>
              <c:strCache>
                <c:ptCount val="1"/>
                <c:pt idx="0">
                  <c:v>           pod 2500 g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1.5954572664473563E-2"/>
                  <c:y val="-0.1361476816043850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2.7849405350632555E-3"/>
                  <c:y val="-9.517371764869968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layout>
                <c:manualLayout>
                  <c:x val="-2.6678129595697096E-3"/>
                  <c:y val="-0.243675919837773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7.2875286825787129E-3"/>
                  <c:y val="-0.3144536348840266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18"/>
              <c:delete val="1"/>
            </c:dLbl>
            <c:dLbl>
              <c:idx val="19"/>
              <c:layout>
                <c:manualLayout>
                  <c:x val="-4.346555934079073E-3"/>
                  <c:y val="-0.2169646674872153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0"/>
              <c:layout>
                <c:manualLayout>
                  <c:x val="1.4124268828247799E-2"/>
                  <c:y val="-0.2105971963428240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1"/>
              <c:layout>
                <c:manualLayout>
                  <c:x val="1.1687704534829363E-2"/>
                  <c:y val="-0.2035623409669215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2"/>
              <c:layout>
                <c:manualLayout>
                  <c:x val="3.5063113604488125E-3"/>
                  <c:y val="-0.2989821882951662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3"/>
              <c:layout>
                <c:manualLayout>
                  <c:x val="2.3375409069658717E-3"/>
                  <c:y val="-0.1993214588634437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4"/>
              <c:layout>
                <c:manualLayout>
                  <c:x val="-1.1687704534829361E-3"/>
                  <c:y val="-0.3138252756573373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5"/>
              <c:layout>
                <c:manualLayout>
                  <c:x val="1.6732911302582729E-2"/>
                  <c:y val="-0.2594805367953824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dLbl>
              <c:idx val="26"/>
              <c:layout>
                <c:manualLayout>
                  <c:x val="-2.1563342318059377E-2"/>
                  <c:y val="-0.2090517241379312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Val val="1"/>
            </c:dLbl>
            <c:showVal val="1"/>
          </c:dLbls>
          <c:cat>
            <c:numRef>
              <c:f>'D:\Dokumenty\STATISTIKA - ÚMRTNOST A MORBIDITA\[klinika od 1991.xls]centrum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'D:\Dokumenty\STATISTIKA - ÚMRTNOST A MORBIDITA\[klinika od 1991.xls]centrum souhrn od roku 91'!$C$5:$AC$5</c:f>
              <c:numCache>
                <c:formatCode>General</c:formatCode>
                <c:ptCount val="27"/>
                <c:pt idx="0">
                  <c:v>178</c:v>
                </c:pt>
                <c:pt idx="1">
                  <c:v>201</c:v>
                </c:pt>
                <c:pt idx="2">
                  <c:v>201</c:v>
                </c:pt>
                <c:pt idx="3">
                  <c:v>171</c:v>
                </c:pt>
                <c:pt idx="4">
                  <c:v>153</c:v>
                </c:pt>
                <c:pt idx="5">
                  <c:v>164</c:v>
                </c:pt>
                <c:pt idx="6">
                  <c:v>142</c:v>
                </c:pt>
                <c:pt idx="7">
                  <c:v>140</c:v>
                </c:pt>
                <c:pt idx="8">
                  <c:v>160</c:v>
                </c:pt>
                <c:pt idx="9">
                  <c:v>166</c:v>
                </c:pt>
                <c:pt idx="10">
                  <c:v>199</c:v>
                </c:pt>
                <c:pt idx="11">
                  <c:v>192</c:v>
                </c:pt>
                <c:pt idx="12">
                  <c:v>184</c:v>
                </c:pt>
                <c:pt idx="13">
                  <c:v>229</c:v>
                </c:pt>
                <c:pt idx="14">
                  <c:v>185</c:v>
                </c:pt>
                <c:pt idx="15">
                  <c:v>212</c:v>
                </c:pt>
                <c:pt idx="16">
                  <c:v>231</c:v>
                </c:pt>
                <c:pt idx="17">
                  <c:v>291</c:v>
                </c:pt>
                <c:pt idx="18">
                  <c:v>287</c:v>
                </c:pt>
                <c:pt idx="19">
                  <c:v>288</c:v>
                </c:pt>
                <c:pt idx="20">
                  <c:v>265</c:v>
                </c:pt>
                <c:pt idx="21">
                  <c:v>281</c:v>
                </c:pt>
                <c:pt idx="22">
                  <c:v>299</c:v>
                </c:pt>
                <c:pt idx="23">
                  <c:v>276</c:v>
                </c:pt>
                <c:pt idx="24">
                  <c:v>319</c:v>
                </c:pt>
                <c:pt idx="25">
                  <c:v>335</c:v>
                </c:pt>
                <c:pt idx="26">
                  <c:v>307</c:v>
                </c:pt>
              </c:numCache>
            </c:numRef>
          </c:val>
        </c:ser>
        <c:ser>
          <c:idx val="1"/>
          <c:order val="1"/>
          <c:tx>
            <c:strRef>
              <c:f>'D:\Dokumenty\STATISTIKA - ÚMRTNOST A MORBIDITA\[klinika od 1991.xls]centrum souhrn od roku 91'!$A$7:$B$7</c:f>
              <c:strCache>
                <c:ptCount val="1"/>
                <c:pt idx="0">
                  <c:v>           pod 1500 g</c:v>
                </c:pt>
              </c:strCache>
            </c:strRef>
          </c:tx>
          <c:dLbls>
            <c:showVal val="1"/>
          </c:dLbls>
          <c:cat>
            <c:numRef>
              <c:f>'D:\Dokumenty\STATISTIKA - ÚMRTNOST A MORBIDITA\[klinika od 1991.xls]centrum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'D:\Dokumenty\STATISTIKA - ÚMRTNOST A MORBIDITA\[klinika od 1991.xls]centrum souhrn od roku 91'!$C$7:$AC$7</c:f>
              <c:numCache>
                <c:formatCode>General</c:formatCode>
                <c:ptCount val="27"/>
                <c:pt idx="0">
                  <c:v>45</c:v>
                </c:pt>
                <c:pt idx="1">
                  <c:v>51</c:v>
                </c:pt>
                <c:pt idx="2">
                  <c:v>50</c:v>
                </c:pt>
                <c:pt idx="3">
                  <c:v>55</c:v>
                </c:pt>
                <c:pt idx="4">
                  <c:v>47</c:v>
                </c:pt>
                <c:pt idx="5">
                  <c:v>57</c:v>
                </c:pt>
                <c:pt idx="6">
                  <c:v>38</c:v>
                </c:pt>
                <c:pt idx="7">
                  <c:v>34</c:v>
                </c:pt>
                <c:pt idx="8">
                  <c:v>43</c:v>
                </c:pt>
                <c:pt idx="9">
                  <c:v>48</c:v>
                </c:pt>
                <c:pt idx="10">
                  <c:v>59</c:v>
                </c:pt>
                <c:pt idx="11">
                  <c:v>50</c:v>
                </c:pt>
                <c:pt idx="12">
                  <c:v>36</c:v>
                </c:pt>
                <c:pt idx="13">
                  <c:v>58</c:v>
                </c:pt>
                <c:pt idx="14">
                  <c:v>49</c:v>
                </c:pt>
                <c:pt idx="15">
                  <c:v>56</c:v>
                </c:pt>
                <c:pt idx="16">
                  <c:v>49</c:v>
                </c:pt>
                <c:pt idx="17">
                  <c:v>53</c:v>
                </c:pt>
                <c:pt idx="18">
                  <c:v>67</c:v>
                </c:pt>
                <c:pt idx="19">
                  <c:v>68</c:v>
                </c:pt>
                <c:pt idx="20">
                  <c:v>71</c:v>
                </c:pt>
                <c:pt idx="21">
                  <c:v>64</c:v>
                </c:pt>
                <c:pt idx="22">
                  <c:v>72</c:v>
                </c:pt>
                <c:pt idx="23">
                  <c:v>77</c:v>
                </c:pt>
                <c:pt idx="24">
                  <c:v>87</c:v>
                </c:pt>
                <c:pt idx="25">
                  <c:v>73</c:v>
                </c:pt>
                <c:pt idx="26">
                  <c:v>64</c:v>
                </c:pt>
              </c:numCache>
            </c:numRef>
          </c:val>
        </c:ser>
        <c:axId val="47167360"/>
        <c:axId val="47181824"/>
      </c:areaChart>
      <c:catAx>
        <c:axId val="471673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rok</a:t>
                </a:r>
              </a:p>
            </c:rich>
          </c:tx>
          <c:layout>
            <c:manualLayout>
              <c:xMode val="edge"/>
              <c:yMode val="edge"/>
              <c:x val="0.43100895406942114"/>
              <c:y val="0.91276247800161658"/>
            </c:manualLayout>
          </c:layout>
        </c:title>
        <c:numFmt formatCode="General" sourceLinked="1"/>
        <c:tickLblPos val="nextTo"/>
        <c:txPr>
          <a:bodyPr rot="-2700000" vert="horz"/>
          <a:lstStyle/>
          <a:p>
            <a:pPr>
              <a:defRPr/>
            </a:pPr>
            <a:endParaRPr lang="cs-CZ"/>
          </a:p>
        </c:txPr>
        <c:crossAx val="47181824"/>
        <c:crosses val="autoZero"/>
        <c:auto val="1"/>
        <c:lblAlgn val="ctr"/>
        <c:lblOffset val="100"/>
        <c:tickLblSkip val="2"/>
        <c:tickMarkSkip val="1"/>
      </c:catAx>
      <c:valAx>
        <c:axId val="471818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n</a:t>
                </a:r>
              </a:p>
            </c:rich>
          </c:tx>
          <c:layout>
            <c:manualLayout>
              <c:xMode val="edge"/>
              <c:yMode val="edge"/>
              <c:x val="1.616279097188323E-2"/>
              <c:y val="0.4620354827969403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cs-CZ"/>
          </a:p>
        </c:txPr>
        <c:crossAx val="471673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0420303142708505"/>
          <c:y val="0.42339408562397624"/>
          <c:w val="0.13845659441539934"/>
          <c:h val="7.9441684286992983E-2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roundedCorners val="1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 sz="1600"/>
              <a:t>PORODNOST VE FN OLOMOUC OD 1991</a:t>
            </a:r>
          </a:p>
        </c:rich>
      </c:tx>
      <c:layout>
        <c:manualLayout>
          <c:xMode val="edge"/>
          <c:yMode val="edge"/>
          <c:x val="0.31015283823671097"/>
          <c:y val="2.757054667641157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6315789473686"/>
          <c:y val="0.1697649947386882"/>
          <c:w val="0.87719298245614064"/>
          <c:h val="0.70712030866362763"/>
        </c:manualLayout>
      </c:layout>
      <c:lineChart>
        <c:grouping val="standard"/>
        <c:ser>
          <c:idx val="0"/>
          <c:order val="0"/>
          <c:tx>
            <c:strRef>
              <c:f>'D:\Dokumenty\STATISTIKA - ÚMRTNOST A MORBIDITA\[klinika od 1991.xls]centrum souhrn od roku 91'!$A$4:$B$4</c:f>
              <c:strCache>
                <c:ptCount val="1"/>
                <c:pt idx="0">
                  <c:v>počet narozených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8989410864933123E-2"/>
                  <c:y val="-9.260439967477028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9861474218422142E-2"/>
                  <c:y val="7.146194968159715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9495113613155717E-2"/>
                  <c:y val="-9.302385547126586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367334610476125E-2"/>
                  <c:y val="7.717760369970087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9919089517170963E-2"/>
                  <c:y val="-8.080097491152123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5212862878025122E-2"/>
                  <c:y val="7.4736009811606746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4887541388780002E-2"/>
                  <c:y val="-7.789903150855360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0140392762891046E-2"/>
                  <c:y val="6.6510789997150488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9814954144367483E-2"/>
                  <c:y val="-9.229307572990805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7217394671325636E-2"/>
                  <c:y val="7.1013937502503177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6973800026287475E-2"/>
                  <c:y val="-8.014498438872723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6566517434278285E-2"/>
                  <c:y val="6.5961091317499082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3.6282117931776048E-2"/>
                  <c:y val="-8.4014061351465122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3.5956679313252284E-2"/>
                  <c:y val="8.3613540131874289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5.2366110672633526E-2"/>
                  <c:y val="-6.5274190697793499E-2"/>
                </c:manualLayout>
              </c:layout>
              <c:dLblPos val="r"/>
              <c:showVal val="1"/>
            </c:dLbl>
            <c:dLbl>
              <c:idx val="15"/>
              <c:layout>
                <c:manualLayout>
                  <c:x val="-3.6421577204010465E-2"/>
                  <c:y val="6.2932404140471729E-2"/>
                </c:manualLayout>
              </c:layout>
              <c:dLblPos val="r"/>
              <c:showVal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4.0233331961070991E-2"/>
                  <c:y val="7.7647535858974118E-2"/>
                </c:manualLayout>
              </c:layout>
              <c:dLblPos val="r"/>
              <c:showVal val="1"/>
            </c:dLbl>
            <c:dLbl>
              <c:idx val="18"/>
              <c:layout>
                <c:manualLayout>
                  <c:x val="-4.8833274460041931E-2"/>
                  <c:y val="-7.2631942536659611E-2"/>
                </c:manualLayout>
              </c:layout>
              <c:dLblPos val="r"/>
              <c:showVal val="1"/>
            </c:dLbl>
            <c:dLbl>
              <c:idx val="19"/>
              <c:layout>
                <c:manualLayout>
                  <c:x val="3.9280900892501606E-3"/>
                  <c:y val="7.4138600103271543E-2"/>
                </c:manualLayout>
              </c:layout>
              <c:dLblPos val="r"/>
              <c:showVal val="1"/>
            </c:dLbl>
            <c:dLbl>
              <c:idx val="20"/>
              <c:layout>
                <c:manualLayout>
                  <c:x val="-4.2604107230359387E-2"/>
                  <c:y val="-7.0120717639702582E-2"/>
                </c:manualLayout>
              </c:layout>
              <c:dLblPos val="r"/>
              <c:showVal val="1"/>
            </c:dLbl>
            <c:dLbl>
              <c:idx val="21"/>
              <c:layout>
                <c:manualLayout>
                  <c:x val="-3.2307557926699055E-3"/>
                  <c:y val="5.485252987904491E-2"/>
                </c:manualLayout>
              </c:layout>
              <c:dLblPos val="r"/>
              <c:showVal val="1"/>
            </c:dLbl>
            <c:dLbl>
              <c:idx val="22"/>
              <c:layout>
                <c:manualLayout>
                  <c:x val="-3.4143741132901792E-2"/>
                  <c:y val="-3.0158669633774182E-2"/>
                </c:manualLayout>
              </c:layout>
              <c:dLblPos val="r"/>
              <c:showVal val="1"/>
            </c:dLbl>
            <c:dLbl>
              <c:idx val="23"/>
              <c:layout>
                <c:manualLayout>
                  <c:x val="-1.1973347166647177E-2"/>
                  <c:y val="-5.0148260501592157E-2"/>
                </c:manualLayout>
              </c:layout>
              <c:dLblPos val="r"/>
              <c:showVal val="1"/>
            </c:dLbl>
            <c:dLbl>
              <c:idx val="25"/>
              <c:layout>
                <c:manualLayout>
                  <c:x val="-2.9662704842650957E-2"/>
                  <c:y val="-4.4835168799776316E-2"/>
                </c:manualLayout>
              </c:layout>
              <c:dLblPos val="r"/>
              <c:showVal val="1"/>
            </c:dLbl>
            <c:dLbl>
              <c:idx val="26"/>
              <c:layout>
                <c:manualLayout>
                  <c:x val="-1.087615664667345E-16"/>
                  <c:y val="-6.8728522336769765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FF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Val val="1"/>
          </c:dLbls>
          <c:cat>
            <c:numRef>
              <c:f>'D:\Dokumenty\STATISTIKA - ÚMRTNOST A MORBIDITA\[klinika od 1991.xls]centrum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'D:\Dokumenty\STATISTIKA - ÚMRTNOST A MORBIDITA\[klinika od 1991.xls]centrum souhrn od roku 91'!$C$4:$AC$4</c:f>
              <c:numCache>
                <c:formatCode>General</c:formatCode>
                <c:ptCount val="27"/>
                <c:pt idx="0">
                  <c:v>1846</c:v>
                </c:pt>
                <c:pt idx="1">
                  <c:v>1705</c:v>
                </c:pt>
                <c:pt idx="2">
                  <c:v>1716</c:v>
                </c:pt>
                <c:pt idx="3">
                  <c:v>1636</c:v>
                </c:pt>
                <c:pt idx="4">
                  <c:v>1396</c:v>
                </c:pt>
                <c:pt idx="5">
                  <c:v>1405</c:v>
                </c:pt>
                <c:pt idx="6">
                  <c:v>1408</c:v>
                </c:pt>
                <c:pt idx="7">
                  <c:v>1485</c:v>
                </c:pt>
                <c:pt idx="8">
                  <c:v>1548</c:v>
                </c:pt>
                <c:pt idx="9">
                  <c:v>1525</c:v>
                </c:pt>
                <c:pt idx="10">
                  <c:v>1698</c:v>
                </c:pt>
                <c:pt idx="11">
                  <c:v>1668</c:v>
                </c:pt>
                <c:pt idx="12">
                  <c:v>1682</c:v>
                </c:pt>
                <c:pt idx="13">
                  <c:v>1741</c:v>
                </c:pt>
                <c:pt idx="14">
                  <c:v>1788</c:v>
                </c:pt>
                <c:pt idx="15">
                  <c:v>1855</c:v>
                </c:pt>
                <c:pt idx="16">
                  <c:v>2042</c:v>
                </c:pt>
                <c:pt idx="17">
                  <c:v>2094</c:v>
                </c:pt>
                <c:pt idx="18">
                  <c:v>2178</c:v>
                </c:pt>
                <c:pt idx="19">
                  <c:v>2165</c:v>
                </c:pt>
                <c:pt idx="20">
                  <c:v>2110</c:v>
                </c:pt>
                <c:pt idx="21">
                  <c:v>2128</c:v>
                </c:pt>
                <c:pt idx="22">
                  <c:v>2204</c:v>
                </c:pt>
                <c:pt idx="23">
                  <c:v>2442</c:v>
                </c:pt>
                <c:pt idx="24">
                  <c:v>2317</c:v>
                </c:pt>
                <c:pt idx="25">
                  <c:v>2465</c:v>
                </c:pt>
                <c:pt idx="26">
                  <c:v>2545</c:v>
                </c:pt>
              </c:numCache>
            </c:numRef>
          </c:val>
        </c:ser>
        <c:marker val="1"/>
        <c:axId val="47227264"/>
        <c:axId val="47228800"/>
      </c:lineChart>
      <c:dateAx>
        <c:axId val="47227264"/>
        <c:scaling>
          <c:orientation val="minMax"/>
        </c:scaling>
        <c:axPos val="b"/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7228800"/>
        <c:crosses val="autoZero"/>
        <c:lblOffset val="100"/>
        <c:baseTimeUnit val="days"/>
        <c:majorUnit val="1"/>
        <c:majorTimeUnit val="days"/>
        <c:minorUnit val="1"/>
        <c:minorTimeUnit val="days"/>
      </c:dateAx>
      <c:valAx>
        <c:axId val="472288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rok</a:t>
                </a:r>
              </a:p>
            </c:rich>
          </c:tx>
          <c:layout>
            <c:manualLayout>
              <c:xMode val="edge"/>
              <c:yMode val="edge"/>
              <c:x val="1.7850455011254863E-2"/>
              <c:y val="0.4893749051946457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7227264"/>
        <c:crosses val="autoZero"/>
        <c:crossBetween val="between"/>
        <c:minorUnit val="10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 sz="1400"/>
              <a:t>NEONATÁLNÍ ÚMRTNOST FN OLOMOUC OD 1992</a:t>
            </a:r>
          </a:p>
        </c:rich>
      </c:tx>
      <c:layout>
        <c:manualLayout>
          <c:xMode val="edge"/>
          <c:yMode val="edge"/>
          <c:x val="0.27501793875393604"/>
          <c:y val="4.123260160661736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747344303270178"/>
          <c:y val="0.14540558734432882"/>
          <c:w val="0.83232659862528635"/>
          <c:h val="0.79030629417704457"/>
        </c:manualLayout>
      </c:layout>
      <c:lineChart>
        <c:grouping val="standard"/>
        <c:ser>
          <c:idx val="0"/>
          <c:order val="0"/>
          <c:tx>
            <c:strRef>
              <c:f>'[1]centrum souhrn od roku 91'!$A$13:$B$13</c:f>
              <c:strCache>
                <c:ptCount val="1"/>
                <c:pt idx="0">
                  <c:v>NÚ                    ‰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3333CC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Val val="1"/>
          </c:dLbls>
          <c:cat>
            <c:numRef>
              <c:f>'[1]centrum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'[1]centrum souhrn od roku 91'!$C$13:$AC$13</c:f>
              <c:numCache>
                <c:formatCode>General</c:formatCode>
                <c:ptCount val="27"/>
                <c:pt idx="1">
                  <c:v>17.7</c:v>
                </c:pt>
                <c:pt idx="2">
                  <c:v>24.7</c:v>
                </c:pt>
                <c:pt idx="3">
                  <c:v>18.399999999999999</c:v>
                </c:pt>
                <c:pt idx="4">
                  <c:v>16.5</c:v>
                </c:pt>
                <c:pt idx="5">
                  <c:v>10</c:v>
                </c:pt>
                <c:pt idx="6">
                  <c:v>9.25</c:v>
                </c:pt>
                <c:pt idx="7">
                  <c:v>6.7</c:v>
                </c:pt>
                <c:pt idx="8">
                  <c:v>3.8</c:v>
                </c:pt>
                <c:pt idx="9">
                  <c:v>5.2</c:v>
                </c:pt>
                <c:pt idx="10">
                  <c:v>8.2000000000000011</c:v>
                </c:pt>
                <c:pt idx="11">
                  <c:v>4.2</c:v>
                </c:pt>
                <c:pt idx="12">
                  <c:v>5.3</c:v>
                </c:pt>
                <c:pt idx="13">
                  <c:v>5.0999999999999996</c:v>
                </c:pt>
                <c:pt idx="14">
                  <c:v>3.36</c:v>
                </c:pt>
                <c:pt idx="15">
                  <c:v>5.4</c:v>
                </c:pt>
                <c:pt idx="16">
                  <c:v>4.9000000000000004</c:v>
                </c:pt>
                <c:pt idx="17">
                  <c:v>2.2999999999999998</c:v>
                </c:pt>
                <c:pt idx="18">
                  <c:v>5.9</c:v>
                </c:pt>
                <c:pt idx="19">
                  <c:v>2.7</c:v>
                </c:pt>
                <c:pt idx="20">
                  <c:v>4.7</c:v>
                </c:pt>
                <c:pt idx="21">
                  <c:v>2.8</c:v>
                </c:pt>
                <c:pt idx="22">
                  <c:v>4.5</c:v>
                </c:pt>
                <c:pt idx="23">
                  <c:v>2</c:v>
                </c:pt>
                <c:pt idx="24">
                  <c:v>2.2000000000000002</c:v>
                </c:pt>
                <c:pt idx="25">
                  <c:v>3.2</c:v>
                </c:pt>
                <c:pt idx="26">
                  <c:v>3.1</c:v>
                </c:pt>
              </c:numCache>
            </c:numRef>
          </c:val>
        </c:ser>
        <c:ser>
          <c:idx val="1"/>
          <c:order val="1"/>
          <c:tx>
            <c:strRef>
              <c:f>'[1]centrum souhrn od roku 91'!$A$14:$B$14</c:f>
              <c:strCache>
                <c:ptCount val="1"/>
                <c:pt idx="0">
                  <c:v>NÚ bez VVV      ‰</c:v>
                </c:pt>
              </c:strCache>
            </c:strRef>
          </c:tx>
          <c:cat>
            <c:numRef>
              <c:f>'[1]centrum souhrn od roku 91'!$C$3:$AC$3</c:f>
              <c:numCache>
                <c:formatCode>General</c:formatCode>
                <c:ptCount val="27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</c:numCache>
            </c:numRef>
          </c:cat>
          <c:val>
            <c:numRef>
              <c:f>'[1]centrum souhrn od roku 91'!$C$14:$AC$14</c:f>
              <c:numCache>
                <c:formatCode>General</c:formatCode>
                <c:ptCount val="27"/>
                <c:pt idx="2">
                  <c:v>21.1</c:v>
                </c:pt>
                <c:pt idx="3">
                  <c:v>16</c:v>
                </c:pt>
                <c:pt idx="4">
                  <c:v>11.4</c:v>
                </c:pt>
                <c:pt idx="5">
                  <c:v>7.8599999999999985</c:v>
                </c:pt>
                <c:pt idx="6">
                  <c:v>6.4</c:v>
                </c:pt>
                <c:pt idx="7">
                  <c:v>6</c:v>
                </c:pt>
                <c:pt idx="8">
                  <c:v>3.1</c:v>
                </c:pt>
                <c:pt idx="9">
                  <c:v>3.9</c:v>
                </c:pt>
                <c:pt idx="10">
                  <c:v>7.7</c:v>
                </c:pt>
                <c:pt idx="11">
                  <c:v>2.4</c:v>
                </c:pt>
                <c:pt idx="12">
                  <c:v>4.0999999999999996</c:v>
                </c:pt>
                <c:pt idx="13">
                  <c:v>3.5</c:v>
                </c:pt>
                <c:pt idx="14">
                  <c:v>2.2000000000000002</c:v>
                </c:pt>
                <c:pt idx="15">
                  <c:v>4.3</c:v>
                </c:pt>
                <c:pt idx="16">
                  <c:v>4.4000000000000004</c:v>
                </c:pt>
                <c:pt idx="17">
                  <c:v>2.9</c:v>
                </c:pt>
                <c:pt idx="18">
                  <c:v>4.5999999999999996</c:v>
                </c:pt>
                <c:pt idx="19">
                  <c:v>1.4</c:v>
                </c:pt>
                <c:pt idx="20">
                  <c:v>4.3</c:v>
                </c:pt>
                <c:pt idx="21">
                  <c:v>2.8</c:v>
                </c:pt>
                <c:pt idx="22">
                  <c:v>3.6</c:v>
                </c:pt>
                <c:pt idx="23">
                  <c:v>1.6</c:v>
                </c:pt>
                <c:pt idx="24">
                  <c:v>2.2000000000000002</c:v>
                </c:pt>
                <c:pt idx="25">
                  <c:v>3.2</c:v>
                </c:pt>
                <c:pt idx="26">
                  <c:v>3.1</c:v>
                </c:pt>
              </c:numCache>
            </c:numRef>
          </c:val>
        </c:ser>
        <c:marker val="1"/>
        <c:axId val="47278720"/>
        <c:axId val="47284608"/>
      </c:lineChart>
      <c:catAx>
        <c:axId val="472787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7284608"/>
        <c:crosses val="autoZero"/>
        <c:auto val="1"/>
        <c:lblAlgn val="ctr"/>
        <c:lblOffset val="100"/>
        <c:tickLblSkip val="1"/>
        <c:tickMarkSkip val="1"/>
      </c:catAx>
      <c:valAx>
        <c:axId val="472846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promile</a:t>
                </a:r>
              </a:p>
            </c:rich>
          </c:tx>
          <c:layout>
            <c:manualLayout>
              <c:xMode val="edge"/>
              <c:yMode val="edge"/>
              <c:x val="1.2499957113203978E-2"/>
              <c:y val="0.4831649601112119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727872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047435560411889"/>
          <c:y val="0.41278033879888171"/>
          <c:w val="0.20526329633632451"/>
          <c:h val="0.113220669550693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2</cp:revision>
  <cp:lastPrinted>2017-06-15T07:20:00Z</cp:lastPrinted>
  <dcterms:created xsi:type="dcterms:W3CDTF">2018-05-24T10:49:00Z</dcterms:created>
  <dcterms:modified xsi:type="dcterms:W3CDTF">2018-05-24T10:49:00Z</dcterms:modified>
</cp:coreProperties>
</file>