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4" w:rsidRDefault="006919C4" w:rsidP="0065132D">
      <w:pPr>
        <w:jc w:val="center"/>
      </w:pPr>
    </w:p>
    <w:p w:rsidR="006919C4" w:rsidRDefault="006919C4" w:rsidP="0065132D">
      <w:pPr>
        <w:jc w:val="center"/>
      </w:pPr>
    </w:p>
    <w:p w:rsidR="006919C4" w:rsidRPr="00CC24DF" w:rsidRDefault="006919C4" w:rsidP="006919C4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Sledování indikátorů kvality </w:t>
      </w:r>
    </w:p>
    <w:p w:rsidR="006919C4" w:rsidRPr="00CC24DF" w:rsidRDefault="006919C4" w:rsidP="006919C4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TEP</w:t>
      </w:r>
    </w:p>
    <w:p w:rsidR="006919C4" w:rsidRPr="00CC24DF" w:rsidRDefault="006919C4" w:rsidP="006919C4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Ortopedická klinika F</w:t>
      </w:r>
      <w:r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akultní nemocnice</w:t>
      </w: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 Olomouc</w:t>
      </w:r>
      <w:r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br/>
      </w: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prof. MUDr. Jiří Gallo, Ph.D.</w:t>
      </w:r>
    </w:p>
    <w:p w:rsidR="006919C4" w:rsidRDefault="006919C4" w:rsidP="006919C4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Zpracoval</w:t>
      </w:r>
      <w:r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:</w:t>
      </w: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 MUDr. Jan Špička, Ph.D.</w:t>
      </w:r>
    </w:p>
    <w:tbl>
      <w:tblPr>
        <w:tblStyle w:val="Mkatabulky"/>
        <w:tblW w:w="0" w:type="auto"/>
        <w:tblLook w:val="04A0"/>
      </w:tblPr>
      <w:tblGrid>
        <w:gridCol w:w="4928"/>
        <w:gridCol w:w="1428"/>
        <w:gridCol w:w="1428"/>
        <w:gridCol w:w="1428"/>
      </w:tblGrid>
      <w:tr w:rsidR="00FE7FC8" w:rsidRPr="00D95F56" w:rsidTr="007B05AB">
        <w:trPr>
          <w:trHeight w:val="400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FE7FC8" w:rsidRPr="00FE7FC8" w:rsidRDefault="00FE7FC8" w:rsidP="00C05A92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FE7FC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Tab. 1 Počet jednotlivých </w:t>
            </w:r>
            <w:proofErr w:type="spellStart"/>
            <w:r w:rsidRPr="00FE7FC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endoprotetických</w:t>
            </w:r>
            <w:proofErr w:type="spellEnd"/>
            <w:r w:rsidRPr="00FE7FC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výkonů </w:t>
            </w:r>
          </w:p>
        </w:tc>
      </w:tr>
      <w:tr w:rsidR="006919C4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6919C4" w:rsidRPr="00D95F56" w:rsidRDefault="006919C4" w:rsidP="007B05AB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indikátor kvality</w:t>
            </w:r>
            <w: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↓                                       </w:t>
            </w:r>
            <w:r w:rsid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rok →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919C4" w:rsidRPr="00D95F56" w:rsidRDefault="006919C4" w:rsidP="006919C4">
            <w:pPr>
              <w:tabs>
                <w:tab w:val="left" w:pos="972"/>
              </w:tabs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919C4" w:rsidRPr="00D95F56" w:rsidRDefault="006919C4" w:rsidP="006919C4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919C4" w:rsidRPr="00D95F56" w:rsidRDefault="006919C4" w:rsidP="006919C4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2014</w:t>
            </w:r>
          </w:p>
        </w:tc>
      </w:tr>
      <w:tr w:rsidR="00821045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CKP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50 (6,3%)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62 (8,4%)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50 (6,5%)</w:t>
            </w:r>
          </w:p>
        </w:tc>
      </w:tr>
      <w:tr w:rsidR="00821045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TEP kyčle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369 (46,1%)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358 (48,6%)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342 (44,8%)</w:t>
            </w:r>
          </w:p>
        </w:tc>
      </w:tr>
      <w:tr w:rsidR="00821045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TEP kolen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313 (39,1%)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257 (34,9%)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282(36,9%)</w:t>
            </w:r>
          </w:p>
        </w:tc>
      </w:tr>
      <w:tr w:rsidR="00821045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proofErr w:type="spellStart"/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Reimplantace</w:t>
            </w:r>
            <w:proofErr w:type="spellEnd"/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TEP kyčlí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56 (7%)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40 (5,4%)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71 (9,3%)</w:t>
            </w:r>
          </w:p>
        </w:tc>
      </w:tr>
      <w:tr w:rsidR="00821045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Reimplantace TEP kolen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12 (1,5%)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19 (2,6%)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19 (2,5%)</w:t>
            </w:r>
          </w:p>
        </w:tc>
      </w:tr>
      <w:tr w:rsidR="00821045" w:rsidRPr="00821045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800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736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1045" w:rsidRPr="00821045" w:rsidRDefault="00821045" w:rsidP="00821045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821045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764</w:t>
            </w:r>
          </w:p>
        </w:tc>
      </w:tr>
    </w:tbl>
    <w:p w:rsidR="00821045" w:rsidRPr="00032564" w:rsidRDefault="00821045">
      <w:pPr>
        <w:rPr>
          <w:sz w:val="6"/>
          <w:szCs w:val="6"/>
        </w:rPr>
      </w:pPr>
    </w:p>
    <w:tbl>
      <w:tblPr>
        <w:tblStyle w:val="Mkatabulky"/>
        <w:tblW w:w="0" w:type="auto"/>
        <w:tblLook w:val="04A0"/>
      </w:tblPr>
      <w:tblGrid>
        <w:gridCol w:w="4928"/>
        <w:gridCol w:w="1428"/>
        <w:gridCol w:w="1428"/>
        <w:gridCol w:w="1428"/>
      </w:tblGrid>
      <w:tr w:rsidR="007B05AB" w:rsidRPr="00D95F56" w:rsidTr="007B05AB">
        <w:trPr>
          <w:trHeight w:val="400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7B05AB" w:rsidRPr="007B05AB" w:rsidRDefault="007B05AB" w:rsidP="00F47E26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proofErr w:type="spellStart"/>
            <w:r w:rsidRP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Tab</w:t>
            </w:r>
            <w:proofErr w:type="spellEnd"/>
            <w:r w:rsidRP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2: Poměr </w:t>
            </w:r>
            <w:proofErr w:type="spellStart"/>
            <w:r w:rsidRP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primoimplantací</w:t>
            </w:r>
            <w:proofErr w:type="spellEnd"/>
            <w:r w:rsidRP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a revizních </w:t>
            </w:r>
            <w:proofErr w:type="spellStart"/>
            <w:r w:rsidRP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endoprotetických</w:t>
            </w:r>
            <w:proofErr w:type="spellEnd"/>
            <w:r w:rsidRPr="007B05AB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výkonů </w:t>
            </w:r>
          </w:p>
        </w:tc>
      </w:tr>
      <w:tr w:rsidR="007B05AB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7B05AB" w:rsidRPr="00D95F56" w:rsidRDefault="007B05AB" w:rsidP="00777C1F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indikátor kvality</w:t>
            </w:r>
            <w: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↓                                       rok →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D95F56" w:rsidRDefault="007B05AB" w:rsidP="00777C1F">
            <w:pPr>
              <w:tabs>
                <w:tab w:val="left" w:pos="972"/>
              </w:tabs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D95F56" w:rsidRDefault="007B05AB" w:rsidP="00777C1F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D95F56" w:rsidRDefault="007B05AB" w:rsidP="00777C1F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2014</w:t>
            </w:r>
          </w:p>
        </w:tc>
      </w:tr>
      <w:tr w:rsidR="007B05AB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proofErr w:type="spellStart"/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Primoimplantace</w:t>
            </w:r>
            <w:proofErr w:type="spellEnd"/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TEP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682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615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624</w:t>
            </w:r>
          </w:p>
        </w:tc>
      </w:tr>
      <w:tr w:rsidR="007B05AB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proofErr w:type="spellStart"/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Reimplantace</w:t>
            </w:r>
            <w:proofErr w:type="spellEnd"/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TEP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68 (9,1%)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59 (8,7%)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90 (12,6%)</w:t>
            </w:r>
          </w:p>
        </w:tc>
      </w:tr>
      <w:tr w:rsidR="007B05AB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750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674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B05AB" w:rsidRPr="007B05AB" w:rsidRDefault="007B05AB" w:rsidP="007B05AB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7B05AB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714</w:t>
            </w:r>
          </w:p>
        </w:tc>
      </w:tr>
    </w:tbl>
    <w:p w:rsidR="00611158" w:rsidRPr="00032564" w:rsidRDefault="00611158">
      <w:pPr>
        <w:rPr>
          <w:sz w:val="6"/>
          <w:szCs w:val="6"/>
        </w:rPr>
      </w:pPr>
    </w:p>
    <w:tbl>
      <w:tblPr>
        <w:tblStyle w:val="Mkatabulky"/>
        <w:tblW w:w="0" w:type="auto"/>
        <w:tblLook w:val="04A0"/>
      </w:tblPr>
      <w:tblGrid>
        <w:gridCol w:w="4928"/>
        <w:gridCol w:w="1428"/>
        <w:gridCol w:w="1428"/>
        <w:gridCol w:w="1428"/>
      </w:tblGrid>
      <w:tr w:rsidR="00611158" w:rsidTr="00C95692">
        <w:trPr>
          <w:trHeight w:val="400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611158" w:rsidRPr="00611158" w:rsidRDefault="00611158" w:rsidP="00F47E26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proofErr w:type="spellStart"/>
            <w:r w:rsidRPr="0061115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Tab</w:t>
            </w:r>
            <w:proofErr w:type="spellEnd"/>
            <w:r w:rsidRPr="0061115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3: Poměr </w:t>
            </w:r>
            <w:proofErr w:type="spellStart"/>
            <w:r w:rsidRPr="0061115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primoimplantací</w:t>
            </w:r>
            <w:proofErr w:type="spellEnd"/>
            <w:r w:rsidRPr="00611158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TEP kyčlí a kolen </w:t>
            </w:r>
          </w:p>
        </w:tc>
      </w:tr>
      <w:tr w:rsidR="00611158" w:rsidTr="007B05AB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611158" w:rsidRPr="00D95F56" w:rsidRDefault="00611158" w:rsidP="00777C1F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indikátor kvality</w:t>
            </w:r>
            <w: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↓                                       rok →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D95F56" w:rsidRDefault="00611158" w:rsidP="00777C1F">
            <w:pPr>
              <w:tabs>
                <w:tab w:val="left" w:pos="972"/>
              </w:tabs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D95F56" w:rsidRDefault="00611158" w:rsidP="00777C1F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D95F56" w:rsidRDefault="00611158" w:rsidP="00777C1F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2014</w:t>
            </w:r>
          </w:p>
        </w:tc>
      </w:tr>
      <w:tr w:rsidR="00611158" w:rsidTr="00611158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TEP kyčlí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369 (54,1%)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358 (58,2%)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342 (54,8%)</w:t>
            </w:r>
          </w:p>
        </w:tc>
      </w:tr>
      <w:tr w:rsidR="00611158" w:rsidTr="00611158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TEP kolen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313 (45,9%)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257 (41,8%)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282 (45,2%)</w:t>
            </w:r>
          </w:p>
        </w:tc>
      </w:tr>
      <w:tr w:rsidR="00611158" w:rsidTr="00611158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682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615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1158" w:rsidRPr="00611158" w:rsidRDefault="00611158" w:rsidP="00611158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611158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624</w:t>
            </w:r>
          </w:p>
        </w:tc>
      </w:tr>
    </w:tbl>
    <w:p w:rsidR="0065132D" w:rsidRPr="00032564" w:rsidRDefault="0065132D" w:rsidP="0065132D">
      <w:pPr>
        <w:rPr>
          <w:sz w:val="6"/>
          <w:szCs w:val="6"/>
        </w:rPr>
      </w:pPr>
    </w:p>
    <w:tbl>
      <w:tblPr>
        <w:tblStyle w:val="Mkatabulky"/>
        <w:tblW w:w="0" w:type="auto"/>
        <w:tblLook w:val="04A0"/>
      </w:tblPr>
      <w:tblGrid>
        <w:gridCol w:w="4928"/>
        <w:gridCol w:w="1428"/>
        <w:gridCol w:w="1428"/>
        <w:gridCol w:w="1428"/>
      </w:tblGrid>
      <w:tr w:rsidR="00F47E26" w:rsidTr="00777C1F">
        <w:trPr>
          <w:trHeight w:val="400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F47E26" w:rsidRPr="00611158" w:rsidRDefault="00A05AEE" w:rsidP="00A05AEE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Tab. 4: Počet jednotlivých typů TEP kyčle podle fixace </w:t>
            </w:r>
          </w:p>
        </w:tc>
      </w:tr>
      <w:tr w:rsidR="00F47E26" w:rsidTr="00777C1F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F47E26" w:rsidRPr="00D95F56" w:rsidRDefault="00F47E26" w:rsidP="00777C1F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indikátor kvality</w:t>
            </w:r>
            <w: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↓                                       rok →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47E26" w:rsidRPr="00D95F56" w:rsidRDefault="00F47E26" w:rsidP="00777C1F">
            <w:pPr>
              <w:tabs>
                <w:tab w:val="left" w:pos="972"/>
              </w:tabs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47E26" w:rsidRPr="00D95F56" w:rsidRDefault="00F47E26" w:rsidP="00777C1F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47E26" w:rsidRPr="00D95F56" w:rsidRDefault="00F47E26" w:rsidP="00777C1F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2014</w:t>
            </w:r>
          </w:p>
        </w:tc>
      </w:tr>
      <w:tr w:rsidR="00A05AEE" w:rsidTr="00A05AEE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cementované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144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184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138</w:t>
            </w:r>
          </w:p>
        </w:tc>
      </w:tr>
      <w:tr w:rsidR="00A05AEE" w:rsidTr="00A05AEE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hybridní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56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41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26</w:t>
            </w:r>
          </w:p>
        </w:tc>
      </w:tr>
      <w:tr w:rsidR="00A05AEE" w:rsidTr="00A05AEE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necementované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169 (45,8%)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133 (37,2%)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178 (52,1%)</w:t>
            </w:r>
          </w:p>
        </w:tc>
      </w:tr>
      <w:tr w:rsidR="00A05AEE" w:rsidTr="00A05AEE">
        <w:trPr>
          <w:trHeight w:val="400"/>
        </w:trPr>
        <w:tc>
          <w:tcPr>
            <w:tcW w:w="49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369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358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5AEE" w:rsidRPr="00A05AEE" w:rsidRDefault="00A05AEE" w:rsidP="00A05AEE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A05AEE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342</w:t>
            </w:r>
          </w:p>
        </w:tc>
      </w:tr>
    </w:tbl>
    <w:p w:rsidR="00611158" w:rsidRDefault="00611158" w:rsidP="0065132D"/>
    <w:p w:rsidR="00A622D5" w:rsidRDefault="00A622D5" w:rsidP="004B1C4A">
      <w:pPr>
        <w:spacing w:after="0" w:line="240" w:lineRule="auto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</w:p>
    <w:p w:rsidR="00A622D5" w:rsidRDefault="00A622D5" w:rsidP="004B1C4A">
      <w:pPr>
        <w:spacing w:after="0" w:line="240" w:lineRule="auto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</w:p>
    <w:p w:rsidR="00A622D5" w:rsidRDefault="00A622D5" w:rsidP="004B1C4A">
      <w:pPr>
        <w:spacing w:after="0" w:line="240" w:lineRule="auto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</w:p>
    <w:p w:rsidR="008540DE" w:rsidRDefault="008540DE" w:rsidP="004B1C4A">
      <w:pPr>
        <w:spacing w:after="0" w:line="240" w:lineRule="auto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4B1C4A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Sledování komplikací po endoprotézách kyčle a kolena jako indikátoru kvality:</w:t>
      </w:r>
    </w:p>
    <w:p w:rsidR="004B1C4A" w:rsidRPr="004B1C4A" w:rsidRDefault="004B1C4A" w:rsidP="004B1C4A">
      <w:pPr>
        <w:spacing w:after="0" w:line="240" w:lineRule="auto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</w:p>
    <w:p w:rsidR="00F1205D" w:rsidRDefault="00F1205D" w:rsidP="008540DE">
      <w:pPr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</w:pPr>
    </w:p>
    <w:p w:rsidR="008540DE" w:rsidRDefault="008540DE" w:rsidP="008540DE"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1/ Výskyt luxace endoprotézy kyčle:</w:t>
      </w:r>
      <w:r w:rsidRPr="00A14656">
        <w:t xml:space="preserve"> </w:t>
      </w:r>
      <w:r w:rsidRPr="00192C47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8 (1,7%)</w:t>
      </w:r>
    </w:p>
    <w:p w:rsidR="00F1205D" w:rsidRDefault="00F1205D" w:rsidP="008540DE">
      <w:pPr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</w:pPr>
    </w:p>
    <w:p w:rsidR="008540DE" w:rsidRPr="00A14656" w:rsidRDefault="008540DE" w:rsidP="008540DE"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2/ Výskyt sekrece</w:t>
      </w:r>
      <w:r w:rsidRPr="00A14656">
        <w:t xml:space="preserve"> </w:t>
      </w:r>
      <w:r w:rsidRPr="00647E96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z rány nebo po RD </w:t>
      </w:r>
      <w:r w:rsidRPr="00647E96">
        <w:rPr>
          <w:rFonts w:ascii="Arial" w:eastAsia="Times New Roman" w:hAnsi="Arial" w:cs="Arial"/>
          <w:color w:val="00529C"/>
          <w:sz w:val="21"/>
          <w:szCs w:val="21"/>
          <w:u w:val="single"/>
          <w:lang w:eastAsia="cs-CZ"/>
        </w:rPr>
        <w:t>po 4. pooperačním dni:</w:t>
      </w:r>
      <w:r w:rsidRPr="00647E96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 primo- TEP kyčle: 6%, TEP kolena 3,9%,     reimplantace: kyčle 12,7%, kolena v 5,3 %</w:t>
      </w:r>
    </w:p>
    <w:p w:rsidR="00F1205D" w:rsidRDefault="00F1205D" w:rsidP="008540DE">
      <w:pPr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</w:pPr>
    </w:p>
    <w:p w:rsidR="008540DE" w:rsidRDefault="008540DE" w:rsidP="008540DE"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3/</w:t>
      </w:r>
      <w:r>
        <w:t xml:space="preserve"> </w:t>
      </w:r>
      <w:r w:rsidRPr="00192C47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Provedení revize pro</w:t>
      </w:r>
      <w:r w:rsidRPr="00A14656">
        <w:t xml:space="preserve"> </w:t>
      </w:r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poruchu hojení rány</w:t>
      </w:r>
      <w:r w:rsidRPr="00A14656">
        <w:rPr>
          <w:b/>
          <w:bCs/>
          <w:u w:val="single"/>
        </w:rPr>
        <w:t xml:space="preserve"> </w:t>
      </w:r>
      <w:r w:rsidRPr="00192C47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(bez průkazu následné infekce po TEP): 0,2%</w:t>
      </w:r>
      <w:r w:rsidRPr="00A14656">
        <w:t xml:space="preserve"> </w:t>
      </w:r>
      <w:r w:rsidRPr="00192C47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pacientů</w:t>
      </w:r>
    </w:p>
    <w:p w:rsidR="00F1205D" w:rsidRDefault="00F1205D" w:rsidP="007D6599">
      <w:pPr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</w:pPr>
    </w:p>
    <w:p w:rsidR="007D6599" w:rsidRDefault="008540DE" w:rsidP="007D6599"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4</w:t>
      </w:r>
      <w:r w:rsidR="0065132D"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 xml:space="preserve">/ </w:t>
      </w:r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 xml:space="preserve">Výskyt </w:t>
      </w:r>
      <w:r w:rsidR="0065132D"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Infekce:</w:t>
      </w:r>
      <w:r w:rsidR="007D6599" w:rsidRPr="007D6599">
        <w:t xml:space="preserve"> </w:t>
      </w:r>
    </w:p>
    <w:p w:rsidR="007D6599" w:rsidRPr="007D6599" w:rsidRDefault="007D6599" w:rsidP="007D6599">
      <w:pPr>
        <w:spacing w:after="0"/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7D6599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Tab. 5. Výskyt jednotlivých typů infekcí TEP v r. 2014</w:t>
      </w:r>
    </w:p>
    <w:tbl>
      <w:tblPr>
        <w:tblStyle w:val="Mkatabulky"/>
        <w:tblW w:w="0" w:type="auto"/>
        <w:tblLook w:val="04A0"/>
      </w:tblPr>
      <w:tblGrid>
        <w:gridCol w:w="2376"/>
        <w:gridCol w:w="1382"/>
        <w:gridCol w:w="1382"/>
        <w:gridCol w:w="1383"/>
        <w:gridCol w:w="1382"/>
        <w:gridCol w:w="1383"/>
      </w:tblGrid>
      <w:tr w:rsidR="0065132D" w:rsidTr="00192C47">
        <w:trPr>
          <w:trHeight w:val="5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Infekce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TEP kyčle + CKP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TEP kolen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Revize TEP kyčlí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Revize TEP kolen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Celkem</w:t>
            </w:r>
          </w:p>
        </w:tc>
      </w:tr>
      <w:tr w:rsidR="0065132D" w:rsidTr="007D6599">
        <w:trPr>
          <w:trHeight w:val="61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Akutní (typ I)</w:t>
            </w:r>
          </w:p>
        </w:tc>
        <w:tc>
          <w:tcPr>
            <w:tcW w:w="1382" w:type="dxa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0,77% (3/392)</w:t>
            </w:r>
          </w:p>
        </w:tc>
        <w:tc>
          <w:tcPr>
            <w:tcW w:w="1382" w:type="dxa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1,77% (5/282)</w:t>
            </w:r>
          </w:p>
        </w:tc>
        <w:tc>
          <w:tcPr>
            <w:tcW w:w="1383" w:type="dxa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1,45% (1/71)</w:t>
            </w:r>
          </w:p>
        </w:tc>
        <w:tc>
          <w:tcPr>
            <w:tcW w:w="1382" w:type="dxa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0%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(0/19)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1,2%</w:t>
            </w:r>
          </w:p>
        </w:tc>
      </w:tr>
      <w:tr w:rsidR="0065132D" w:rsidTr="007D6599">
        <w:trPr>
          <w:trHeight w:val="61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Hematogenní, chronická (typ </w:t>
            </w:r>
            <w:proofErr w:type="gramStart"/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II,III</w:t>
            </w:r>
            <w:proofErr w:type="gramEnd"/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1382" w:type="dxa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1%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(4/392)</w:t>
            </w:r>
          </w:p>
        </w:tc>
        <w:tc>
          <w:tcPr>
            <w:tcW w:w="1382" w:type="dxa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0,35% (1/282)</w:t>
            </w:r>
          </w:p>
        </w:tc>
        <w:tc>
          <w:tcPr>
            <w:tcW w:w="1383" w:type="dxa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1,4%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(1/71)</w:t>
            </w:r>
          </w:p>
        </w:tc>
        <w:tc>
          <w:tcPr>
            <w:tcW w:w="1382" w:type="dxa"/>
            <w:vAlign w:val="center"/>
          </w:tcPr>
          <w:p w:rsidR="00EC4DFF" w:rsidRDefault="0065132D" w:rsidP="00EC4DFF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5,3% </w:t>
            </w:r>
          </w:p>
          <w:p w:rsidR="0065132D" w:rsidRPr="00192C47" w:rsidRDefault="0065132D" w:rsidP="00EC4DFF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(1/19)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1,0%</w:t>
            </w:r>
          </w:p>
        </w:tc>
      </w:tr>
      <w:tr w:rsidR="0065132D" w:rsidTr="007D6599">
        <w:trPr>
          <w:trHeight w:val="61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5132D" w:rsidRPr="00192C47" w:rsidRDefault="0065132D" w:rsidP="00192C47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+ pooperační (typ IV)</w:t>
            </w:r>
          </w:p>
        </w:tc>
        <w:tc>
          <w:tcPr>
            <w:tcW w:w="1382" w:type="dxa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-</w:t>
            </w:r>
          </w:p>
        </w:tc>
        <w:tc>
          <w:tcPr>
            <w:tcW w:w="1382" w:type="dxa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-</w:t>
            </w:r>
          </w:p>
        </w:tc>
        <w:tc>
          <w:tcPr>
            <w:tcW w:w="1383" w:type="dxa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9,9%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(7/71)</w:t>
            </w:r>
          </w:p>
        </w:tc>
        <w:tc>
          <w:tcPr>
            <w:tcW w:w="1382" w:type="dxa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0%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(0/19)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7,78%</w:t>
            </w:r>
          </w:p>
        </w:tc>
      </w:tr>
      <w:tr w:rsidR="0065132D" w:rsidTr="007D6599">
        <w:trPr>
          <w:trHeight w:val="61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1,77% (7/392)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2,12% (6/282)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2,7%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(2/71)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EC4DFF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5,2% </w:t>
            </w:r>
          </w:p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(1/19)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65132D" w:rsidRPr="00192C47" w:rsidRDefault="0065132D" w:rsidP="00192C47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192C47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2,1%</w:t>
            </w:r>
          </w:p>
        </w:tc>
      </w:tr>
    </w:tbl>
    <w:p w:rsidR="00F1205D" w:rsidRDefault="00F1205D" w:rsidP="0065132D">
      <w:pPr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</w:pPr>
    </w:p>
    <w:p w:rsidR="00F1205D" w:rsidRDefault="008540DE" w:rsidP="00F1205D">
      <w:r w:rsidRPr="004B1C4A">
        <w:rPr>
          <w:rFonts w:ascii="Arial" w:eastAsia="Times New Roman" w:hAnsi="Arial" w:cs="Arial"/>
          <w:b/>
          <w:color w:val="00529C"/>
          <w:sz w:val="21"/>
          <w:szCs w:val="21"/>
          <w:u w:val="single"/>
          <w:lang w:eastAsia="cs-CZ"/>
        </w:rPr>
        <w:t>5/ Výskyt hematomu v operované oblasti:</w:t>
      </w:r>
      <w:r w:rsidR="00F1205D" w:rsidRPr="00F1205D">
        <w:t xml:space="preserve"> </w:t>
      </w:r>
    </w:p>
    <w:p w:rsidR="00F1205D" w:rsidRPr="00F1205D" w:rsidRDefault="00F1205D" w:rsidP="00F1205D">
      <w:pPr>
        <w:spacing w:after="0"/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Graf 1.: Přítomnost výskytu hematomu u </w:t>
      </w:r>
      <w:proofErr w:type="spellStart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primoimplantací</w:t>
      </w:r>
      <w:proofErr w:type="spellEnd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 TEP kyčle</w:t>
      </w:r>
    </w:p>
    <w:p w:rsidR="0065132D" w:rsidRDefault="0065132D" w:rsidP="0065132D">
      <w:r w:rsidRPr="00AE0795">
        <w:rPr>
          <w:noProof/>
          <w:lang w:eastAsia="cs-CZ"/>
        </w:rPr>
        <w:drawing>
          <wp:inline distT="0" distB="0" distL="0" distR="0">
            <wp:extent cx="4629150" cy="2103120"/>
            <wp:effectExtent l="19050" t="0" r="19050" b="0"/>
            <wp:docPr id="8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132D" w:rsidRDefault="0065132D" w:rsidP="0065132D"/>
    <w:p w:rsidR="00F1205D" w:rsidRDefault="00F1205D" w:rsidP="0065132D"/>
    <w:p w:rsidR="00F1205D" w:rsidRDefault="00F1205D" w:rsidP="00F1205D">
      <w:pPr>
        <w:spacing w:after="0"/>
      </w:pPr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lastRenderedPageBreak/>
        <w:t xml:space="preserve">Graf 2.: Přítomnost výskytu hematomu u </w:t>
      </w:r>
      <w:proofErr w:type="spellStart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primoimplantací</w:t>
      </w:r>
      <w:proofErr w:type="spellEnd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 TEP kolena</w:t>
      </w:r>
    </w:p>
    <w:p w:rsidR="0065132D" w:rsidRDefault="0065132D" w:rsidP="0065132D">
      <w:r w:rsidRPr="00EA7E3F">
        <w:rPr>
          <w:noProof/>
          <w:lang w:eastAsia="cs-CZ"/>
        </w:rPr>
        <w:drawing>
          <wp:inline distT="0" distB="0" distL="0" distR="0">
            <wp:extent cx="4587240" cy="2324100"/>
            <wp:effectExtent l="19050" t="0" r="2286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205D" w:rsidRDefault="00F1205D" w:rsidP="00F1205D">
      <w:pPr>
        <w:spacing w:after="0"/>
      </w:pPr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Graf 3.: Přítomnost výskytu hematomu u </w:t>
      </w:r>
      <w:proofErr w:type="spellStart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reimplantací</w:t>
      </w:r>
      <w:proofErr w:type="spellEnd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  TEP kyčle</w:t>
      </w:r>
    </w:p>
    <w:p w:rsidR="0065132D" w:rsidRDefault="0065132D" w:rsidP="00F1205D">
      <w:r w:rsidRPr="00C26E7A">
        <w:rPr>
          <w:noProof/>
          <w:lang w:eastAsia="cs-CZ"/>
        </w:rPr>
        <w:drawing>
          <wp:inline distT="0" distB="0" distL="0" distR="0">
            <wp:extent cx="4587240" cy="2453640"/>
            <wp:effectExtent l="19050" t="0" r="22860" b="381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05D" w:rsidRPr="00F1205D" w:rsidRDefault="00F1205D" w:rsidP="00F1205D">
      <w:pPr>
        <w:spacing w:after="0"/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Graf 4.: Přítomnost výskytu hematomu u </w:t>
      </w:r>
      <w:proofErr w:type="spellStart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reimplantací</w:t>
      </w:r>
      <w:proofErr w:type="spellEnd"/>
      <w:r w:rsidRPr="00F1205D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  TEP kolena</w:t>
      </w:r>
    </w:p>
    <w:p w:rsidR="0065132D" w:rsidRDefault="0065132D" w:rsidP="00F1205D">
      <w:r w:rsidRPr="00F5449C">
        <w:rPr>
          <w:noProof/>
          <w:lang w:eastAsia="cs-CZ"/>
        </w:rPr>
        <w:drawing>
          <wp:inline distT="0" distB="0" distL="0" distR="0">
            <wp:extent cx="4583430" cy="2598420"/>
            <wp:effectExtent l="19050" t="0" r="2667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132D" w:rsidRDefault="0065132D" w:rsidP="0065132D">
      <w:pPr>
        <w:jc w:val="center"/>
      </w:pPr>
    </w:p>
    <w:sectPr w:rsidR="0065132D" w:rsidSect="00F1205D">
      <w:headerReference w:type="default" r:id="rId11"/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C4" w:rsidRDefault="006919C4" w:rsidP="006919C4">
      <w:pPr>
        <w:spacing w:after="0" w:line="240" w:lineRule="auto"/>
      </w:pPr>
      <w:r>
        <w:separator/>
      </w:r>
    </w:p>
  </w:endnote>
  <w:endnote w:type="continuationSeparator" w:id="0">
    <w:p w:rsidR="006919C4" w:rsidRDefault="006919C4" w:rsidP="0069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365F91" w:themeColor="accent1" w:themeShade="BF"/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919C4" w:rsidRPr="006919C4" w:rsidRDefault="006919C4" w:rsidP="006919C4">
        <w:pPr>
          <w:jc w:val="center"/>
          <w:rPr>
            <w:rFonts w:ascii="Arial" w:hAnsi="Arial" w:cs="Arial"/>
            <w:color w:val="365F91" w:themeColor="accent1" w:themeShade="BF"/>
            <w:sz w:val="20"/>
            <w:szCs w:val="20"/>
          </w:rPr>
        </w:pP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t xml:space="preserve">strana </w:t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begin"/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instrText xml:space="preserve"> PAGE </w:instrText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separate"/>
        </w:r>
        <w:r w:rsidR="00A622D5"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t>2</w:t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end"/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t>/</w:t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begin"/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instrText xml:space="preserve"> NUMPAGES  </w:instrText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separate"/>
        </w:r>
        <w:r w:rsidR="00A622D5"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t>3</w:t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C4" w:rsidRDefault="006919C4" w:rsidP="006919C4">
      <w:pPr>
        <w:spacing w:after="0" w:line="240" w:lineRule="auto"/>
      </w:pPr>
      <w:r>
        <w:separator/>
      </w:r>
    </w:p>
  </w:footnote>
  <w:footnote w:type="continuationSeparator" w:id="0">
    <w:p w:rsidR="006919C4" w:rsidRDefault="006919C4" w:rsidP="0069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C4" w:rsidRDefault="006919C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13pt;margin-top:-39.2pt;width:189pt;height:1in;z-index:-25165824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  <w:p w:rsidR="006919C4" w:rsidRDefault="006919C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132D"/>
    <w:rsid w:val="00032564"/>
    <w:rsid w:val="0012422F"/>
    <w:rsid w:val="00192C47"/>
    <w:rsid w:val="002F426D"/>
    <w:rsid w:val="004923E9"/>
    <w:rsid w:val="004B1C4A"/>
    <w:rsid w:val="00611158"/>
    <w:rsid w:val="00647E96"/>
    <w:rsid w:val="0065132D"/>
    <w:rsid w:val="006919C4"/>
    <w:rsid w:val="007B05AB"/>
    <w:rsid w:val="007D6599"/>
    <w:rsid w:val="00821045"/>
    <w:rsid w:val="008540DE"/>
    <w:rsid w:val="009D6FC1"/>
    <w:rsid w:val="00A05AEE"/>
    <w:rsid w:val="00A622D5"/>
    <w:rsid w:val="00C05A92"/>
    <w:rsid w:val="00C17283"/>
    <w:rsid w:val="00EC4DFF"/>
    <w:rsid w:val="00F1205D"/>
    <w:rsid w:val="00F25A66"/>
    <w:rsid w:val="00F47E26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3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9C4"/>
  </w:style>
  <w:style w:type="paragraph" w:styleId="Zpat">
    <w:name w:val="footer"/>
    <w:basedOn w:val="Normln"/>
    <w:link w:val="ZpatChar"/>
    <w:uiPriority w:val="99"/>
    <w:semiHidden/>
    <w:unhideWhenUsed/>
    <w:rsid w:val="0069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1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Z&#225;loha\Registr%20pro%20l&#233;ka&#345;e%20-%20v&#253;b&#283;r%20-%20Dr.&#352;pi&#269;k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Honza\Desktop\Registr+pro+le&#769;kar&#780;e+-+vy&#769;be&#780;r+-+Dr.Vec&#780;er&#780;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I:\Reimplantace%202014%20-%20excel%20-%20v&#253;b&#283;r%20pro%20H&#352;%20new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I:\Reimplantace%202014%20-%20excel%20-%20v&#253;b&#283;r%20pro%20H&#352;%20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42"/>
  <c:pivotSource>
    <c:name>[Registr pro lékaře - výběr - Dr.Špička.xlsx]List14!Kontingenční tabulka 11</c:name>
    <c:fmtId val="-1"/>
  </c:pivotSource>
  <c:chart>
    <c:autoTitleDeleted val="1"/>
    <c:pivotFmts>
      <c:pivotFmt>
        <c:idx val="0"/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Percent val="1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Percent val="1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Percent val="1"/>
        </c:dLbl>
      </c:pivotFmt>
    </c:pivotFmts>
    <c:plotArea>
      <c:layout>
        <c:manualLayout>
          <c:layoutTarget val="inner"/>
          <c:xMode val="edge"/>
          <c:yMode val="edge"/>
          <c:x val="4.1268945323797775E-2"/>
          <c:y val="8.822288666798718E-3"/>
          <c:w val="0.58642290434212441"/>
          <c:h val="0.9911776234565487"/>
        </c:manualLayout>
      </c:layout>
      <c:pieChart>
        <c:varyColors val="1"/>
        <c:ser>
          <c:idx val="0"/>
          <c:order val="0"/>
          <c:tx>
            <c:strRef>
              <c:f>List14!$B$1</c:f>
              <c:strCache>
                <c:ptCount val="1"/>
                <c:pt idx="0">
                  <c:v>Celkem</c:v>
                </c:pt>
              </c:strCache>
            </c:strRef>
          </c:tx>
          <c:explosion val="18"/>
          <c:dPt>
            <c:idx val="3"/>
            <c:explosion val="11"/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0.11238269232505882"/>
                  <c:y val="-1.5188263778395069E-2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Percent val="1"/>
            </c:dLbl>
            <c:dLbl>
              <c:idx val="2"/>
              <c:layout>
                <c:manualLayout>
                  <c:x val="6.7838073987713673E-2"/>
                  <c:y val="0.13675664563937576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Percent val="1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Ref>
              <c:f>List14!$A$2:$A$6</c:f>
              <c:strCache>
                <c:ptCount val="4"/>
                <c:pt idx="0">
                  <c:v>žádný </c:v>
                </c:pt>
                <c:pt idx="1">
                  <c:v>hematom do 10x10 cm</c:v>
                </c:pt>
                <c:pt idx="2">
                  <c:v>hematom nad 10x10 cm</c:v>
                </c:pt>
                <c:pt idx="3">
                  <c:v>hematom masivní</c:v>
                </c:pt>
              </c:strCache>
            </c:strRef>
          </c:cat>
          <c:val>
            <c:numRef>
              <c:f>List14!$B$2:$B$6</c:f>
              <c:numCache>
                <c:formatCode>General</c:formatCode>
                <c:ptCount val="4"/>
                <c:pt idx="0">
                  <c:v>216</c:v>
                </c:pt>
                <c:pt idx="1">
                  <c:v>55</c:v>
                </c:pt>
                <c:pt idx="2">
                  <c:v>36</c:v>
                </c:pt>
                <c:pt idx="3">
                  <c:v>18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cs-CZ"/>
          </a:p>
        </c:txPr>
      </c:legendEntry>
      <c:legendEntry>
        <c:idx val="3"/>
        <c:txPr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cs-CZ"/>
          </a:p>
        </c:txPr>
      </c:legendEntry>
      <c:layout/>
    </c:legend>
    <c:plotVisOnly val="1"/>
    <c:dispBlanksAs val="zero"/>
  </c:chart>
  <c:spPr>
    <a:noFill/>
    <a:ln>
      <a:solidFill>
        <a:schemeClr val="tx1"/>
      </a:solidFill>
    </a:ln>
  </c:spPr>
  <c:txPr>
    <a:bodyPr/>
    <a:lstStyle/>
    <a:p>
      <a:pPr>
        <a:defRPr sz="1800"/>
      </a:pPr>
      <a:endParaRPr lang="cs-CZ"/>
    </a:p>
  </c:txPr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pieChart>
        <c:varyColors val="1"/>
        <c:ser>
          <c:idx val="0"/>
          <c:order val="0"/>
          <c:explosion val="25"/>
          <c:cat>
            <c:strRef>
              <c:f>List1!$A$9:$A$12</c:f>
              <c:strCache>
                <c:ptCount val="4"/>
                <c:pt idx="0">
                  <c:v>žádný</c:v>
                </c:pt>
                <c:pt idx="1">
                  <c:v>do 10x10cm</c:v>
                </c:pt>
                <c:pt idx="2">
                  <c:v>nad 10x10cm</c:v>
                </c:pt>
                <c:pt idx="3">
                  <c:v>rozsáhlý</c:v>
                </c:pt>
              </c:strCache>
            </c:strRef>
          </c:cat>
          <c:val>
            <c:numRef>
              <c:f>List1!$B$9:$B$12</c:f>
              <c:numCache>
                <c:formatCode>General</c:formatCode>
                <c:ptCount val="4"/>
                <c:pt idx="0">
                  <c:v>155</c:v>
                </c:pt>
                <c:pt idx="1">
                  <c:v>44</c:v>
                </c:pt>
                <c:pt idx="2">
                  <c:v>55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List1!$A$9:$A$12</c:f>
              <c:strCache>
                <c:ptCount val="4"/>
                <c:pt idx="0">
                  <c:v>žádný</c:v>
                </c:pt>
                <c:pt idx="1">
                  <c:v>do 10x10cm</c:v>
                </c:pt>
                <c:pt idx="2">
                  <c:v>nad 10x10cm</c:v>
                </c:pt>
                <c:pt idx="3">
                  <c:v>rozsáhlý</c:v>
                </c:pt>
              </c:strCache>
            </c:strRef>
          </c:cat>
          <c:val>
            <c:numRef>
              <c:f>List1!$C$9:$C$12</c:f>
              <c:numCache>
                <c:formatCode>0.00%</c:formatCode>
                <c:ptCount val="4"/>
                <c:pt idx="0" formatCode="0%">
                  <c:v>0.55000000000000004</c:v>
                </c:pt>
                <c:pt idx="1">
                  <c:v>0.15600000000000008</c:v>
                </c:pt>
                <c:pt idx="2">
                  <c:v>0.19500000000000001</c:v>
                </c:pt>
                <c:pt idx="3">
                  <c:v>9.9000000000000046E-2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List1!$A$9:$A$12</c:f>
              <c:strCache>
                <c:ptCount val="4"/>
                <c:pt idx="0">
                  <c:v>žádný</c:v>
                </c:pt>
                <c:pt idx="1">
                  <c:v>do 10x10cm</c:v>
                </c:pt>
                <c:pt idx="2">
                  <c:v>nad 10x10cm</c:v>
                </c:pt>
                <c:pt idx="3">
                  <c:v>rozsáhlý</c:v>
                </c:pt>
              </c:strCache>
            </c:strRef>
          </c:cat>
          <c:val>
            <c:numRef>
              <c:f>List1!$C$9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explosion val="25"/>
          <c:cat>
            <c:strRef>
              <c:f>List1!$A$9:$A$12</c:f>
              <c:strCache>
                <c:ptCount val="4"/>
                <c:pt idx="0">
                  <c:v>žádný</c:v>
                </c:pt>
                <c:pt idx="1">
                  <c:v>do 10x10cm</c:v>
                </c:pt>
                <c:pt idx="2">
                  <c:v>nad 10x10cm</c:v>
                </c:pt>
                <c:pt idx="3">
                  <c:v>rozsáhlý</c:v>
                </c:pt>
              </c:strCache>
            </c:strRef>
          </c:cat>
          <c:val>
            <c:numRef>
              <c:f>List1!$C$9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pieChart>
        <c:varyColors val="1"/>
        <c:ser>
          <c:idx val="0"/>
          <c:order val="0"/>
          <c:explosion val="25"/>
          <c:dPt>
            <c:idx val="1"/>
            <c:explosion val="11"/>
          </c:dPt>
          <c:dPt>
            <c:idx val="2"/>
            <c:explosion val="9"/>
          </c:dPt>
          <c:dPt>
            <c:idx val="3"/>
            <c:explosion val="10"/>
          </c:dPt>
          <c:cat>
            <c:strRef>
              <c:f>List1!$E$26:$E$29</c:f>
              <c:strCache>
                <c:ptCount val="4"/>
                <c:pt idx="0">
                  <c:v>žádný</c:v>
                </c:pt>
                <c:pt idx="1">
                  <c:v>do 10x 10cm</c:v>
                </c:pt>
                <c:pt idx="2">
                  <c:v>nad 10x10 cm</c:v>
                </c:pt>
                <c:pt idx="3">
                  <c:v>rozsáhlý</c:v>
                </c:pt>
              </c:strCache>
            </c:strRef>
          </c:cat>
          <c:val>
            <c:numRef>
              <c:f>List1!$D$26:$D$29</c:f>
              <c:numCache>
                <c:formatCode>0.00%</c:formatCode>
                <c:ptCount val="4"/>
                <c:pt idx="0">
                  <c:v>0.80100000000000005</c:v>
                </c:pt>
                <c:pt idx="1">
                  <c:v>8.5000000000000006E-2</c:v>
                </c:pt>
                <c:pt idx="2">
                  <c:v>5.6000000000000001E-2</c:v>
                </c:pt>
                <c:pt idx="3">
                  <c:v>5.6000000000000001E-2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pieChart>
        <c:varyColors val="1"/>
        <c:ser>
          <c:idx val="0"/>
          <c:order val="0"/>
          <c:explosion val="25"/>
          <c:cat>
            <c:strRef>
              <c:f>List1!$E$34:$E$37</c:f>
              <c:strCache>
                <c:ptCount val="4"/>
                <c:pt idx="0">
                  <c:v>žádný</c:v>
                </c:pt>
                <c:pt idx="1">
                  <c:v>do 10x 10cm</c:v>
                </c:pt>
                <c:pt idx="2">
                  <c:v>nad 10x10 cm</c:v>
                </c:pt>
                <c:pt idx="3">
                  <c:v>rozsáhlý</c:v>
                </c:pt>
              </c:strCache>
            </c:strRef>
          </c:cat>
          <c:val>
            <c:numRef>
              <c:f>List1!$D$34:$D$37</c:f>
              <c:numCache>
                <c:formatCode>0%</c:formatCode>
                <c:ptCount val="4"/>
                <c:pt idx="0" formatCode="0.00%">
                  <c:v>0.63200000000000023</c:v>
                </c:pt>
                <c:pt idx="1">
                  <c:v>0.21000000000000005</c:v>
                </c:pt>
                <c:pt idx="2" formatCode="0.00%">
                  <c:v>5.3000000000000012E-2</c:v>
                </c:pt>
                <c:pt idx="3" formatCode="0.00%">
                  <c:v>0.10500000000000002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0.49888</cdr:x>
      <cdr:y>0.557</cdr:y>
    </cdr:from>
    <cdr:to>
      <cdr:x>0.58846</cdr:x>
      <cdr:y>0.65422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704638" y="1726386"/>
          <a:ext cx="485646" cy="301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55%</a:t>
          </a:r>
        </a:p>
      </cdr:txBody>
    </cdr:sp>
  </cdr:relSizeAnchor>
  <cdr:relSizeAnchor xmlns:cdr="http://schemas.openxmlformats.org/drawingml/2006/chartDrawing">
    <cdr:from>
      <cdr:x>0.2951</cdr:x>
      <cdr:y>0.12151</cdr:y>
    </cdr:from>
    <cdr:to>
      <cdr:x>0.39301</cdr:x>
      <cdr:y>0.22567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416634" y="299750"/>
          <a:ext cx="470027" cy="256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9,9%</a:t>
          </a:r>
        </a:p>
      </cdr:txBody>
    </cdr:sp>
  </cdr:relSizeAnchor>
  <cdr:relSizeAnchor xmlns:cdr="http://schemas.openxmlformats.org/drawingml/2006/chartDrawing">
    <cdr:from>
      <cdr:x>0.20271</cdr:x>
      <cdr:y>0.36935</cdr:y>
    </cdr:from>
    <cdr:to>
      <cdr:x>0.31312</cdr:x>
      <cdr:y>0.47004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973138" y="911184"/>
          <a:ext cx="530034" cy="248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19,5%</a:t>
          </a:r>
        </a:p>
      </cdr:txBody>
    </cdr:sp>
  </cdr:relSizeAnchor>
  <cdr:relSizeAnchor xmlns:cdr="http://schemas.openxmlformats.org/drawingml/2006/chartDrawing">
    <cdr:from>
      <cdr:x>0.22226</cdr:x>
      <cdr:y>0.65186</cdr:y>
    </cdr:from>
    <cdr:to>
      <cdr:x>0.32642</cdr:x>
      <cdr:y>0.75949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1066995" y="1608110"/>
          <a:ext cx="500031" cy="2655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15,6%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0.44583</cdr:x>
      <cdr:y>0.64583</cdr:y>
    </cdr:from>
    <cdr:to>
      <cdr:x>0.64583</cdr:x>
      <cdr:y>0.97917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038350" y="17716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>
              <a:latin typeface="+mn-lt"/>
              <a:ea typeface="+mn-ea"/>
              <a:cs typeface="+mn-cs"/>
            </a:rPr>
            <a:t>80,1%</a:t>
          </a:r>
          <a:endParaRPr lang="cs-CZ"/>
        </a:p>
      </cdr:txBody>
    </cdr:sp>
  </cdr:relSizeAnchor>
  <cdr:relSizeAnchor xmlns:cdr="http://schemas.openxmlformats.org/drawingml/2006/chartDrawing">
    <cdr:from>
      <cdr:x>0.30208</cdr:x>
      <cdr:y>0.02083</cdr:y>
    </cdr:from>
    <cdr:to>
      <cdr:x>0.40833</cdr:x>
      <cdr:y>0.125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381125" y="57150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5,6%</a:t>
          </a:r>
        </a:p>
      </cdr:txBody>
    </cdr:sp>
  </cdr:relSizeAnchor>
  <cdr:relSizeAnchor xmlns:cdr="http://schemas.openxmlformats.org/drawingml/2006/chartDrawing">
    <cdr:from>
      <cdr:x>0.20208</cdr:x>
      <cdr:y>0.07986</cdr:y>
    </cdr:from>
    <cdr:to>
      <cdr:x>0.30833</cdr:x>
      <cdr:y>0.18403</cdr:y>
    </cdr:to>
    <cdr:sp macro="" textlink="">
      <cdr:nvSpPr>
        <cdr:cNvPr id="5" name="TextovéPole 1"/>
        <cdr:cNvSpPr txBox="1"/>
      </cdr:nvSpPr>
      <cdr:spPr>
        <a:xfrm xmlns:a="http://schemas.openxmlformats.org/drawingml/2006/main">
          <a:off x="923925" y="219075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100"/>
            <a:t>5,6%</a:t>
          </a:r>
        </a:p>
      </cdr:txBody>
    </cdr:sp>
  </cdr:relSizeAnchor>
  <cdr:relSizeAnchor xmlns:cdr="http://schemas.openxmlformats.org/drawingml/2006/chartDrawing">
    <cdr:from>
      <cdr:x>0.11042</cdr:x>
      <cdr:y>0.19444</cdr:y>
    </cdr:from>
    <cdr:to>
      <cdr:x>0.22083</cdr:x>
      <cdr:y>0.29514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504825" y="533400"/>
          <a:ext cx="5048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8,5%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0.15625</cdr:x>
      <cdr:y>0.45833</cdr:y>
    </cdr:from>
    <cdr:to>
      <cdr:x>0.35625</cdr:x>
      <cdr:y>0.79167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714375" y="12573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21%</a:t>
          </a:r>
        </a:p>
      </cdr:txBody>
    </cdr:sp>
  </cdr:relSizeAnchor>
  <cdr:relSizeAnchor xmlns:cdr="http://schemas.openxmlformats.org/drawingml/2006/chartDrawing">
    <cdr:from>
      <cdr:x>0.10833</cdr:x>
      <cdr:y>0.11458</cdr:y>
    </cdr:from>
    <cdr:to>
      <cdr:x>0.21042</cdr:x>
      <cdr:y>0.22222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495300" y="314325"/>
          <a:ext cx="4667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5,3%</a:t>
          </a:r>
        </a:p>
      </cdr:txBody>
    </cdr:sp>
  </cdr:relSizeAnchor>
  <cdr:relSizeAnchor xmlns:cdr="http://schemas.openxmlformats.org/drawingml/2006/chartDrawing">
    <cdr:from>
      <cdr:x>0.2625</cdr:x>
      <cdr:y>0.10069</cdr:y>
    </cdr:from>
    <cdr:to>
      <cdr:x>0.4625</cdr:x>
      <cdr:y>0.43403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200150" y="276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10,5%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7979"/>
    <w:rsid w:val="00F6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82E25BB6F9B46CA9E705AB5E8634C40">
    <w:name w:val="782E25BB6F9B46CA9E705AB5E8634C40"/>
    <w:rsid w:val="00F679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1A4A7-5D97-41FA-9CD0-EAAA9709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Radim, MUDr., Ph.D.</dc:creator>
  <cp:lastModifiedBy>61934</cp:lastModifiedBy>
  <cp:revision>17</cp:revision>
  <dcterms:created xsi:type="dcterms:W3CDTF">2015-02-25T12:44:00Z</dcterms:created>
  <dcterms:modified xsi:type="dcterms:W3CDTF">2015-03-03T12:23:00Z</dcterms:modified>
</cp:coreProperties>
</file>