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0B" w:rsidRDefault="00EE7A12" w:rsidP="00EE7A12">
      <w:pPr>
        <w:spacing w:after="0" w:line="240" w:lineRule="auto"/>
        <w:ind w:left="142" w:hanging="993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</w:t>
      </w:r>
    </w:p>
    <w:p w:rsidR="0032760B" w:rsidRDefault="0032760B" w:rsidP="0032760B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Ústav klinické a molekulární patologie</w:t>
      </w:r>
    </w:p>
    <w:p w:rsidR="0032760B" w:rsidRDefault="0032760B" w:rsidP="00EE7A12">
      <w:pPr>
        <w:spacing w:after="0" w:line="240" w:lineRule="auto"/>
        <w:ind w:left="142" w:hanging="993"/>
        <w:jc w:val="both"/>
        <w:rPr>
          <w:rFonts w:ascii="Arial" w:eastAsia="Times New Roman" w:hAnsi="Arial" w:cs="Arial"/>
          <w:b/>
          <w:lang w:eastAsia="cs-CZ"/>
        </w:rPr>
      </w:pPr>
    </w:p>
    <w:p w:rsidR="0032760B" w:rsidRDefault="0032760B" w:rsidP="00EE7A12">
      <w:pPr>
        <w:spacing w:after="0" w:line="240" w:lineRule="auto"/>
        <w:ind w:left="142" w:hanging="993"/>
        <w:jc w:val="both"/>
        <w:rPr>
          <w:rFonts w:ascii="Arial" w:eastAsia="Times New Roman" w:hAnsi="Arial" w:cs="Arial"/>
          <w:b/>
          <w:lang w:eastAsia="cs-CZ"/>
        </w:rPr>
      </w:pPr>
    </w:p>
    <w:p w:rsidR="00EE7A12" w:rsidRDefault="00EE7A12" w:rsidP="0032760B">
      <w:pPr>
        <w:spacing w:after="0" w:line="240" w:lineRule="auto"/>
        <w:ind w:left="142" w:firstLine="218"/>
        <w:jc w:val="both"/>
        <w:rPr>
          <w:rFonts w:ascii="Arial" w:eastAsia="Times New Roman" w:hAnsi="Arial" w:cs="Arial"/>
          <w:lang w:eastAsia="cs-CZ"/>
        </w:rPr>
      </w:pPr>
      <w:r w:rsidRPr="00EE7A12">
        <w:rPr>
          <w:rFonts w:ascii="Arial" w:eastAsia="Times New Roman" w:hAnsi="Arial" w:cs="Arial"/>
          <w:b/>
          <w:lang w:eastAsia="cs-CZ"/>
        </w:rPr>
        <w:t>Vyhodnocení indikátorů kvality: 2018</w:t>
      </w:r>
    </w:p>
    <w:p w:rsidR="00EE7A12" w:rsidRPr="00EE7A12" w:rsidRDefault="00EE7A12" w:rsidP="00EE7A12">
      <w:pPr>
        <w:spacing w:after="0" w:line="240" w:lineRule="auto"/>
        <w:ind w:left="142" w:hanging="993"/>
        <w:jc w:val="both"/>
        <w:rPr>
          <w:rFonts w:ascii="Arial" w:eastAsia="Times New Roman" w:hAnsi="Arial" w:cs="Arial"/>
          <w:lang w:eastAsia="cs-CZ"/>
        </w:rPr>
      </w:pPr>
    </w:p>
    <w:p w:rsidR="00EE7A12" w:rsidRPr="00EE7A12" w:rsidRDefault="00EE7A12" w:rsidP="00EE7A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 xml:space="preserve">Počet vzorků s nevhodným objemem (malé množství materiálu): </w:t>
      </w:r>
      <w:r w:rsidRPr="00EE7A12">
        <w:rPr>
          <w:rFonts w:ascii="Arial" w:eastAsia="Calibri" w:hAnsi="Arial" w:cs="Arial"/>
          <w:b/>
        </w:rPr>
        <w:t>malé množství materiálu – 233 (0,8%)</w:t>
      </w:r>
      <w:r w:rsidRPr="00EE7A12">
        <w:rPr>
          <w:rFonts w:ascii="Arial" w:eastAsia="Calibri" w:hAnsi="Arial" w:cs="Arial"/>
        </w:rPr>
        <w:t xml:space="preserve"> – nárůst oproti roku 2017 (0,78%), </w:t>
      </w:r>
      <w:r w:rsidRPr="00EE7A12">
        <w:rPr>
          <w:rFonts w:ascii="Arial" w:eastAsia="Calibri" w:hAnsi="Arial" w:cs="Arial"/>
          <w:b/>
        </w:rPr>
        <w:t>nediagnostikováno 385 (1,32%)</w:t>
      </w:r>
      <w:r w:rsidRPr="00EE7A12">
        <w:rPr>
          <w:rFonts w:ascii="Arial" w:eastAsia="Calibri" w:hAnsi="Arial" w:cs="Arial"/>
        </w:rPr>
        <w:t xml:space="preserve"> – nárůst oproti roku 2017 (1,23%) (celkový počet 29 058 vyšetření: biopsie – 26 140, cytologie – 2 918).</w:t>
      </w:r>
    </w:p>
    <w:p w:rsidR="00EE7A12" w:rsidRPr="00EE7A12" w:rsidRDefault="00EE7A12" w:rsidP="00EE7A12">
      <w:pPr>
        <w:spacing w:after="0" w:line="240" w:lineRule="auto"/>
        <w:ind w:hanging="851"/>
        <w:jc w:val="both"/>
        <w:rPr>
          <w:rFonts w:ascii="Arial" w:eastAsia="Times New Roman" w:hAnsi="Arial" w:cs="Arial"/>
          <w:highlight w:val="yellow"/>
          <w:lang w:eastAsia="cs-CZ"/>
        </w:rPr>
      </w:pPr>
    </w:p>
    <w:p w:rsidR="00EE7A12" w:rsidRPr="00EE7A12" w:rsidRDefault="00EE7A12" w:rsidP="00EE7A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 xml:space="preserve">Biopsie – příjem BM –  </w:t>
      </w:r>
      <w:r w:rsidRPr="00EE7A12">
        <w:rPr>
          <w:rFonts w:ascii="Arial" w:eastAsia="Calibri" w:hAnsi="Arial" w:cs="Arial"/>
          <w:b/>
        </w:rPr>
        <w:t>10 neshod</w:t>
      </w:r>
      <w:r w:rsidRPr="00EE7A12">
        <w:rPr>
          <w:rFonts w:ascii="Arial" w:eastAsia="Calibri" w:hAnsi="Arial" w:cs="Arial"/>
        </w:rPr>
        <w:t xml:space="preserve"> (z 26 140 biopsií – tj. 0,04%) </w:t>
      </w:r>
      <w:r w:rsidRPr="00EE7A12">
        <w:rPr>
          <w:rFonts w:ascii="Arial" w:eastAsia="Calibri" w:hAnsi="Arial" w:cs="Arial"/>
          <w:b/>
        </w:rPr>
        <w:t>vzniklých na zasílajících pracovištích</w:t>
      </w:r>
      <w:r w:rsidRPr="00EE7A12">
        <w:rPr>
          <w:rFonts w:ascii="Arial" w:eastAsia="Calibri" w:hAnsi="Arial" w:cs="Arial"/>
        </w:rPr>
        <w:t xml:space="preserve"> (viz zápis „Deník řešení neshod. Příjem BM“. Uložen na HISTO-LAB). Nejvíce neshod – 2 z PGK, 2 z II. Interny, 2 z plicní kliniky. Oproti roku 2017 </w:t>
      </w:r>
      <w:r w:rsidRPr="00EE7A12">
        <w:rPr>
          <w:rFonts w:ascii="Arial" w:eastAsia="Calibri" w:hAnsi="Arial" w:cs="Arial"/>
          <w:b/>
        </w:rPr>
        <w:t xml:space="preserve">snížení počtu neshod </w:t>
      </w:r>
      <w:r w:rsidRPr="00EE7A12">
        <w:rPr>
          <w:rFonts w:ascii="Arial" w:eastAsia="Calibri" w:hAnsi="Arial" w:cs="Arial"/>
        </w:rPr>
        <w:t xml:space="preserve">(2017 - 22 neshod z 26 983 biopsií, tj.0,08%). </w:t>
      </w:r>
    </w:p>
    <w:p w:rsidR="00EE7A12" w:rsidRPr="00EE7A12" w:rsidRDefault="00EE7A12" w:rsidP="00EE7A12">
      <w:pPr>
        <w:spacing w:after="0" w:line="240" w:lineRule="auto"/>
        <w:ind w:left="142" w:hanging="851"/>
        <w:jc w:val="both"/>
        <w:rPr>
          <w:rFonts w:ascii="Arial" w:eastAsia="Times New Roman" w:hAnsi="Arial" w:cs="Arial"/>
          <w:highlight w:val="yellow"/>
          <w:lang w:eastAsia="cs-CZ"/>
        </w:rPr>
      </w:pPr>
    </w:p>
    <w:p w:rsidR="00EE7A12" w:rsidRPr="00EE7A12" w:rsidRDefault="00EE7A12" w:rsidP="00EE7A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 xml:space="preserve">Počet neshod při zpracování a hodnocení biologických vzorků na jednotlivých úsecích PATOL: z celkového počtu 26302 vyšetření (26140 a 162 pitev) – 0,011%, tzn. </w:t>
      </w:r>
      <w:r w:rsidRPr="00EE7A12">
        <w:rPr>
          <w:rFonts w:ascii="Arial" w:eastAsia="Calibri" w:hAnsi="Arial" w:cs="Arial"/>
          <w:b/>
        </w:rPr>
        <w:t>zlepšení oproti roku 2017</w:t>
      </w:r>
      <w:r w:rsidRPr="00EE7A12">
        <w:rPr>
          <w:rFonts w:ascii="Arial" w:eastAsia="Calibri" w:hAnsi="Arial" w:cs="Arial"/>
        </w:rPr>
        <w:t>.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  <w:b/>
        </w:rPr>
        <w:t>Mimo příjem BM – 3 neshody</w:t>
      </w:r>
      <w:r w:rsidRPr="00EE7A12">
        <w:rPr>
          <w:rFonts w:ascii="Arial" w:eastAsia="Calibri" w:hAnsi="Arial" w:cs="Arial"/>
        </w:rPr>
        <w:t xml:space="preserve"> (1 biopsie, 1 </w:t>
      </w:r>
      <w:proofErr w:type="spellStart"/>
      <w:r w:rsidRPr="00EE7A12">
        <w:rPr>
          <w:rFonts w:ascii="Arial" w:eastAsia="Calibri" w:hAnsi="Arial" w:cs="Arial"/>
        </w:rPr>
        <w:t>imunohisto</w:t>
      </w:r>
      <w:proofErr w:type="spellEnd"/>
      <w:r w:rsidRPr="00EE7A12">
        <w:rPr>
          <w:rFonts w:ascii="Arial" w:eastAsia="Calibri" w:hAnsi="Arial" w:cs="Arial"/>
        </w:rPr>
        <w:t>, 1 cytologie) (viz zápisy v knize „Deník řešení neshod“ na jednotlivých úsecích).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>EM – žádná neshoda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>PIT – žádná neshoda</w:t>
      </w:r>
    </w:p>
    <w:p w:rsidR="00EE7A12" w:rsidRPr="00EE7A12" w:rsidRDefault="00EE7A12" w:rsidP="00EE7A12">
      <w:pPr>
        <w:spacing w:after="0" w:line="240" w:lineRule="auto"/>
        <w:ind w:firstLine="754"/>
        <w:jc w:val="both"/>
        <w:rPr>
          <w:rFonts w:ascii="Arial" w:eastAsia="Times New Roman" w:hAnsi="Arial" w:cs="Arial"/>
          <w:highlight w:val="yellow"/>
          <w:lang w:eastAsia="cs-CZ"/>
        </w:rPr>
      </w:pPr>
    </w:p>
    <w:p w:rsidR="00EE7A12" w:rsidRPr="00EE7A12" w:rsidRDefault="00EE7A12" w:rsidP="00EE7A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  <w:b/>
        </w:rPr>
        <w:t>Výsledky EKK: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  <w:b/>
        </w:rPr>
        <w:t>Laboratoře molekulární patologie</w:t>
      </w:r>
      <w:r w:rsidRPr="00EE7A12">
        <w:rPr>
          <w:rFonts w:ascii="Arial" w:eastAsia="Calibri" w:hAnsi="Arial" w:cs="Arial"/>
        </w:rPr>
        <w:t xml:space="preserve"> (požadavek – 95% úspěšnost): celkem </w:t>
      </w:r>
      <w:r w:rsidRPr="00EE7A12">
        <w:rPr>
          <w:rFonts w:ascii="Arial" w:eastAsia="Calibri" w:hAnsi="Arial" w:cs="Arial"/>
          <w:b/>
        </w:rPr>
        <w:t>4 zkoušky</w:t>
      </w:r>
      <w:r w:rsidRPr="00EE7A12">
        <w:rPr>
          <w:rFonts w:ascii="Arial" w:eastAsia="Calibri" w:hAnsi="Arial" w:cs="Arial"/>
        </w:rPr>
        <w:t xml:space="preserve"> – </w:t>
      </w:r>
      <w:r w:rsidRPr="00EE7A12">
        <w:rPr>
          <w:rFonts w:ascii="Arial" w:eastAsia="Calibri" w:hAnsi="Arial" w:cs="Arial"/>
          <w:b/>
        </w:rPr>
        <w:t>100% úspěšnost</w:t>
      </w:r>
      <w:r w:rsidRPr="00EE7A12">
        <w:rPr>
          <w:rFonts w:ascii="Arial" w:eastAsia="Calibri" w:hAnsi="Arial" w:cs="Arial"/>
        </w:rPr>
        <w:t xml:space="preserve">; (shoda/splněno - viz Výsledky EKK 2018). U metody Stanovení </w:t>
      </w:r>
      <w:proofErr w:type="spellStart"/>
      <w:r w:rsidRPr="00EE7A12">
        <w:rPr>
          <w:rFonts w:ascii="Arial" w:eastAsia="Calibri" w:hAnsi="Arial" w:cs="Arial"/>
        </w:rPr>
        <w:t>onkomarkerů</w:t>
      </w:r>
      <w:proofErr w:type="spellEnd"/>
      <w:r w:rsidRPr="00EE7A12">
        <w:rPr>
          <w:rFonts w:ascii="Arial" w:eastAsia="Calibri" w:hAnsi="Arial" w:cs="Arial"/>
        </w:rPr>
        <w:t xml:space="preserve"> karcinomu prostaty v moči metodou RT-PCR byl příjem vzorků dočasně pozastaven po vzájemné dohodě s UROL.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  <w:b/>
        </w:rPr>
        <w:t>Laboratoře klinické patologie</w:t>
      </w:r>
      <w:r w:rsidRPr="00EE7A12">
        <w:rPr>
          <w:rFonts w:ascii="Arial" w:eastAsia="Calibri" w:hAnsi="Arial" w:cs="Arial"/>
        </w:rPr>
        <w:t xml:space="preserve"> (požadavek – 90% úspěšnost): 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>Celkový počet zkoušek: 20, z toho: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 xml:space="preserve"> - </w:t>
      </w:r>
      <w:r w:rsidRPr="00EE7A12">
        <w:rPr>
          <w:rFonts w:ascii="Arial" w:eastAsia="Times New Roman" w:hAnsi="Arial" w:cs="Arial"/>
          <w:lang w:eastAsia="cs-CZ"/>
        </w:rPr>
        <w:t>1 případ - nediagnostický materiál, nejde o neshodu, nezařazeno do statistiky,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EE7A12">
        <w:rPr>
          <w:rFonts w:ascii="Arial" w:eastAsia="Calibri" w:hAnsi="Arial" w:cs="Arial"/>
        </w:rPr>
        <w:t xml:space="preserve"> - </w:t>
      </w:r>
      <w:r w:rsidRPr="00EE7A12">
        <w:rPr>
          <w:rFonts w:ascii="Arial" w:eastAsia="Times New Roman" w:hAnsi="Arial" w:cs="Arial"/>
          <w:lang w:eastAsia="cs-CZ"/>
        </w:rPr>
        <w:t>ve 3 případech byla prováděna verifikace na základě cytogenetického vyšetření k vyloučení dg., nejde tedy o neshodu (do příštího cyklu EKK budou selektovány pouze již uzavřené dg. – prof. Ehrmann), nezařazeno do statistiky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Times New Roman" w:hAnsi="Arial" w:cs="Arial"/>
          <w:lang w:eastAsia="cs-CZ"/>
        </w:rPr>
        <w:t>- 1 cyklus – Histologické barvení – studie (realizováno SEKK jako nultý ročník s cílem ověřit všechny postupy, s výsledkem – úspěšný); nezařazeno do celkové statistiky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 xml:space="preserve">Z celkového počtu 20 zkoušek bylo akceptovatelných a do statistiky zahrnuto </w:t>
      </w:r>
      <w:r w:rsidRPr="00EE7A12">
        <w:rPr>
          <w:rFonts w:ascii="Arial" w:eastAsia="Calibri" w:hAnsi="Arial" w:cs="Arial"/>
          <w:b/>
        </w:rPr>
        <w:t>15 zkoušek</w:t>
      </w:r>
      <w:r w:rsidRPr="00EE7A12">
        <w:rPr>
          <w:rFonts w:ascii="Arial" w:eastAsia="Calibri" w:hAnsi="Arial" w:cs="Arial"/>
        </w:rPr>
        <w:t xml:space="preserve"> s výsledkem: </w:t>
      </w:r>
      <w:r w:rsidRPr="00EE7A12">
        <w:rPr>
          <w:rFonts w:ascii="Arial" w:eastAsia="Calibri" w:hAnsi="Arial" w:cs="Arial"/>
          <w:b/>
        </w:rPr>
        <w:t>úspěšnost - 97,4 %.</w:t>
      </w:r>
    </w:p>
    <w:p w:rsidR="00EE7A12" w:rsidRPr="00EE7A12" w:rsidRDefault="00EE7A12" w:rsidP="00EE7A12">
      <w:pPr>
        <w:spacing w:after="0" w:line="240" w:lineRule="auto"/>
        <w:ind w:left="142" w:hanging="993"/>
        <w:jc w:val="both"/>
        <w:rPr>
          <w:rFonts w:ascii="Arial" w:eastAsia="Times New Roman" w:hAnsi="Arial" w:cs="Arial"/>
          <w:lang w:eastAsia="cs-CZ"/>
        </w:rPr>
      </w:pPr>
    </w:p>
    <w:p w:rsidR="00EE7A12" w:rsidRPr="00EE7A12" w:rsidRDefault="00EE7A12" w:rsidP="00EE7A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  <w:b/>
        </w:rPr>
        <w:t xml:space="preserve">Rychlost </w:t>
      </w:r>
      <w:r w:rsidRPr="00EE7A12">
        <w:rPr>
          <w:rFonts w:ascii="Arial" w:eastAsia="Calibri" w:hAnsi="Arial" w:cs="Arial"/>
        </w:rPr>
        <w:t xml:space="preserve">oznámení výsledků </w:t>
      </w:r>
      <w:proofErr w:type="spellStart"/>
      <w:r w:rsidRPr="00EE7A12">
        <w:rPr>
          <w:rFonts w:ascii="Arial" w:eastAsia="Calibri" w:hAnsi="Arial" w:cs="Arial"/>
          <w:b/>
        </w:rPr>
        <w:t>peroperačního</w:t>
      </w:r>
      <w:proofErr w:type="spellEnd"/>
      <w:r w:rsidRPr="00EE7A12">
        <w:rPr>
          <w:rFonts w:ascii="Arial" w:eastAsia="Calibri" w:hAnsi="Arial" w:cs="Arial"/>
          <w:b/>
        </w:rPr>
        <w:t xml:space="preserve"> vyšetření (TAT)</w:t>
      </w:r>
      <w:r w:rsidRPr="00EE7A12">
        <w:rPr>
          <w:rFonts w:ascii="Arial" w:eastAsia="Calibri" w:hAnsi="Arial" w:cs="Arial"/>
        </w:rPr>
        <w:t xml:space="preserve">: z celkového počtu </w:t>
      </w:r>
      <w:r w:rsidRPr="00EE7A12">
        <w:rPr>
          <w:rFonts w:ascii="Arial" w:eastAsia="Calibri" w:hAnsi="Arial" w:cs="Arial"/>
          <w:b/>
        </w:rPr>
        <w:t xml:space="preserve">503 </w:t>
      </w:r>
      <w:proofErr w:type="spellStart"/>
      <w:r w:rsidRPr="00EE7A12">
        <w:rPr>
          <w:rFonts w:ascii="Arial" w:eastAsia="Calibri" w:hAnsi="Arial" w:cs="Arial"/>
          <w:b/>
        </w:rPr>
        <w:t>kryo</w:t>
      </w:r>
      <w:proofErr w:type="spellEnd"/>
      <w:r w:rsidRPr="00EE7A12">
        <w:rPr>
          <w:rFonts w:ascii="Arial" w:eastAsia="Calibri" w:hAnsi="Arial" w:cs="Arial"/>
        </w:rPr>
        <w:t xml:space="preserve"> vyšetření bločků byl ve </w:t>
      </w:r>
      <w:r w:rsidRPr="00EE7A12">
        <w:rPr>
          <w:rFonts w:ascii="Arial" w:eastAsia="Calibri" w:hAnsi="Arial" w:cs="Arial"/>
          <w:b/>
        </w:rPr>
        <w:t xml:space="preserve">2 </w:t>
      </w:r>
      <w:r w:rsidRPr="00EE7A12">
        <w:rPr>
          <w:rFonts w:ascii="Arial" w:eastAsia="Calibri" w:hAnsi="Arial" w:cs="Arial"/>
        </w:rPr>
        <w:t xml:space="preserve">případech (tj. </w:t>
      </w:r>
      <w:r w:rsidRPr="00EE7A12">
        <w:rPr>
          <w:rFonts w:ascii="Arial" w:eastAsia="Calibri" w:hAnsi="Arial" w:cs="Arial"/>
          <w:b/>
        </w:rPr>
        <w:t>0,39%</w:t>
      </w:r>
      <w:r w:rsidRPr="00EE7A12">
        <w:rPr>
          <w:rFonts w:ascii="Arial" w:eastAsia="Calibri" w:hAnsi="Arial" w:cs="Arial"/>
        </w:rPr>
        <w:t>) překročen časový limit (za období 1. 12. 2017 - 30. 11. 2018). Stejný stav.</w:t>
      </w:r>
    </w:p>
    <w:p w:rsidR="00EE7A12" w:rsidRPr="00EE7A12" w:rsidRDefault="00EE7A12" w:rsidP="00EE7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EE7A12">
        <w:rPr>
          <w:rFonts w:ascii="Arial" w:eastAsia="Calibri" w:hAnsi="Arial" w:cs="Arial"/>
        </w:rPr>
        <w:t xml:space="preserve">Celkový počet </w:t>
      </w:r>
      <w:proofErr w:type="spellStart"/>
      <w:r w:rsidRPr="00EE7A12">
        <w:rPr>
          <w:rFonts w:ascii="Arial" w:eastAsia="Calibri" w:hAnsi="Arial" w:cs="Arial"/>
        </w:rPr>
        <w:t>kryo</w:t>
      </w:r>
      <w:proofErr w:type="spellEnd"/>
      <w:r w:rsidRPr="00EE7A12">
        <w:rPr>
          <w:rFonts w:ascii="Arial" w:eastAsia="Calibri" w:hAnsi="Arial" w:cs="Arial"/>
        </w:rPr>
        <w:t xml:space="preserve"> vyšetření klesl z 815 v roce 2017 na 503 v roce 2018. </w:t>
      </w:r>
    </w:p>
    <w:p w:rsidR="00EE7A12" w:rsidRPr="00EE7A12" w:rsidRDefault="00EE7A12" w:rsidP="00EE7A12">
      <w:pPr>
        <w:spacing w:after="0" w:line="240" w:lineRule="auto"/>
        <w:ind w:left="142" w:hanging="993"/>
        <w:jc w:val="both"/>
        <w:rPr>
          <w:rFonts w:ascii="Arial" w:eastAsia="Times New Roman" w:hAnsi="Arial" w:cs="Arial"/>
          <w:lang w:eastAsia="cs-CZ"/>
        </w:rPr>
      </w:pPr>
    </w:p>
    <w:p w:rsidR="00EE7A12" w:rsidRPr="00EE7A12" w:rsidRDefault="00EE7A12" w:rsidP="00EE7A12">
      <w:pPr>
        <w:numPr>
          <w:ilvl w:val="0"/>
          <w:numId w:val="2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E7A12">
        <w:rPr>
          <w:rFonts w:ascii="Arial" w:eastAsia="Times New Roman" w:hAnsi="Arial" w:cs="Arial"/>
          <w:b/>
          <w:lang w:eastAsia="cs-CZ"/>
        </w:rPr>
        <w:t>Počet změn a chyb bioptických a autoptických diagnostických nálezů a výsledků</w:t>
      </w:r>
      <w:r w:rsidRPr="00EE7A12">
        <w:rPr>
          <w:rFonts w:ascii="Arial" w:eastAsia="Times New Roman" w:hAnsi="Arial" w:cs="Arial"/>
          <w:lang w:eastAsia="cs-CZ"/>
        </w:rPr>
        <w:t xml:space="preserve"> - v knize „Změny a chyby diagnostických nálezů a výsledků“ (kniha uložena na sekretariátu PATOL) byl proveden jeden zápis (K. Koubová dne 29. 6. 2018). </w:t>
      </w:r>
    </w:p>
    <w:p w:rsidR="00EE7A12" w:rsidRDefault="00EE7A12" w:rsidP="00EE7A1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 w:rsidRPr="00EE7A12">
        <w:rPr>
          <w:rFonts w:ascii="Arial" w:eastAsia="Times New Roman" w:hAnsi="Arial" w:cs="Arial"/>
          <w:lang w:eastAsia="cs-CZ"/>
        </w:rPr>
        <w:t xml:space="preserve">            Po upozornění VZP provedla pracovnice sekretariátu ústavu kontrolu a zjistila                pochybení ze strany plicní kliniky (záměna r. č. pacientů). </w:t>
      </w:r>
      <w:r w:rsidRPr="00EE7A12">
        <w:rPr>
          <w:rFonts w:ascii="Arial" w:eastAsia="Times New Roman" w:hAnsi="Arial" w:cs="Arial"/>
          <w:b/>
          <w:lang w:eastAsia="cs-CZ"/>
        </w:rPr>
        <w:t>Neshoda nebyla na straně PATOL</w:t>
      </w:r>
      <w:r w:rsidRPr="00EE7A12">
        <w:rPr>
          <w:rFonts w:ascii="Arial" w:eastAsia="Times New Roman" w:hAnsi="Arial" w:cs="Arial"/>
          <w:lang w:eastAsia="cs-CZ"/>
        </w:rPr>
        <w:t>. Zápis provedla K. Koubová dne 29. 6. 2018.</w:t>
      </w:r>
      <w:bookmarkStart w:id="0" w:name="_GoBack"/>
      <w:bookmarkEnd w:id="0"/>
    </w:p>
    <w:p w:rsidR="0032760B" w:rsidRPr="00467F0C" w:rsidRDefault="0032760B" w:rsidP="0032760B">
      <w:r>
        <w:t>Zpracovala: RNDr. Michaela Šváchová, Ph.D., prosinec 2018</w:t>
      </w:r>
    </w:p>
    <w:p w:rsidR="0032760B" w:rsidRPr="00EE7A12" w:rsidRDefault="0032760B" w:rsidP="00EE7A1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</w:p>
    <w:sectPr w:rsidR="0032760B" w:rsidRPr="00EE7A12" w:rsidSect="00D85C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0B" w:rsidRDefault="0032760B" w:rsidP="0032760B">
      <w:pPr>
        <w:spacing w:after="0" w:line="240" w:lineRule="auto"/>
      </w:pPr>
      <w:r>
        <w:separator/>
      </w:r>
    </w:p>
  </w:endnote>
  <w:endnote w:type="continuationSeparator" w:id="0">
    <w:p w:rsidR="0032760B" w:rsidRDefault="0032760B" w:rsidP="0032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0B" w:rsidRDefault="0032760B" w:rsidP="0032760B">
      <w:pPr>
        <w:spacing w:after="0" w:line="240" w:lineRule="auto"/>
      </w:pPr>
      <w:r>
        <w:separator/>
      </w:r>
    </w:p>
  </w:footnote>
  <w:footnote w:type="continuationSeparator" w:id="0">
    <w:p w:rsidR="0032760B" w:rsidRDefault="0032760B" w:rsidP="0032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0B" w:rsidRDefault="0032760B">
    <w:pPr>
      <w:pStyle w:val="Zhlav"/>
    </w:pPr>
    <w:r w:rsidRPr="0032760B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09F"/>
    <w:multiLevelType w:val="hybridMultilevel"/>
    <w:tmpl w:val="D98ED22E"/>
    <w:lvl w:ilvl="0" w:tplc="BD1C86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32EE"/>
    <w:multiLevelType w:val="hybridMultilevel"/>
    <w:tmpl w:val="5CC46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AEA0ECE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A12"/>
    <w:rsid w:val="00235D33"/>
    <w:rsid w:val="0032760B"/>
    <w:rsid w:val="009F44D5"/>
    <w:rsid w:val="00D85C83"/>
    <w:rsid w:val="00E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C83"/>
  </w:style>
  <w:style w:type="paragraph" w:styleId="Nadpis3">
    <w:name w:val="heading 3"/>
    <w:basedOn w:val="Normln"/>
    <w:next w:val="Normln"/>
    <w:link w:val="Nadpis3Char"/>
    <w:autoRedefine/>
    <w:qFormat/>
    <w:rsid w:val="009F44D5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F44D5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2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760B"/>
  </w:style>
  <w:style w:type="paragraph" w:styleId="Zpat">
    <w:name w:val="footer"/>
    <w:basedOn w:val="Normln"/>
    <w:link w:val="ZpatChar"/>
    <w:uiPriority w:val="99"/>
    <w:semiHidden/>
    <w:unhideWhenUsed/>
    <w:rsid w:val="0032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7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xxsvachova</dc:creator>
  <cp:keywords/>
  <dc:description/>
  <cp:lastModifiedBy>60063</cp:lastModifiedBy>
  <cp:revision>2</cp:revision>
  <dcterms:created xsi:type="dcterms:W3CDTF">2019-03-14T07:47:00Z</dcterms:created>
  <dcterms:modified xsi:type="dcterms:W3CDTF">2019-05-29T09:58:00Z</dcterms:modified>
</cp:coreProperties>
</file>