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D0" w:rsidRDefault="00C95BBC" w:rsidP="00251CBE">
      <w:pPr>
        <w:pStyle w:val="Bezmezer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11D">
        <w:rPr>
          <w:rFonts w:ascii="Times New Roman" w:hAnsi="Times New Roman" w:cs="Times New Roman"/>
          <w:sz w:val="24"/>
          <w:szCs w:val="24"/>
        </w:rPr>
        <w:t xml:space="preserve">Výsledky sledování </w:t>
      </w:r>
      <w:r>
        <w:rPr>
          <w:rFonts w:ascii="Times New Roman" w:hAnsi="Times New Roman" w:cs="Times New Roman"/>
          <w:sz w:val="24"/>
          <w:szCs w:val="24"/>
        </w:rPr>
        <w:t xml:space="preserve">PÁDŮ </w:t>
      </w:r>
      <w:r w:rsidR="00B163D0">
        <w:rPr>
          <w:rFonts w:ascii="Times New Roman" w:hAnsi="Times New Roman" w:cs="Times New Roman"/>
          <w:sz w:val="24"/>
          <w:szCs w:val="24"/>
        </w:rPr>
        <w:t xml:space="preserve">pacientů za období 2009 – 1. </w:t>
      </w:r>
      <w:proofErr w:type="spellStart"/>
      <w:r w:rsidR="00B163D0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="00B163D0">
        <w:rPr>
          <w:rFonts w:ascii="Times New Roman" w:hAnsi="Times New Roman" w:cs="Times New Roman"/>
          <w:sz w:val="24"/>
          <w:szCs w:val="24"/>
        </w:rPr>
        <w:t>.</w:t>
      </w:r>
      <w:r w:rsidR="00251CBE">
        <w:rPr>
          <w:rFonts w:ascii="Times New Roman" w:hAnsi="Times New Roman" w:cs="Times New Roman"/>
          <w:sz w:val="24"/>
          <w:szCs w:val="24"/>
        </w:rPr>
        <w:t xml:space="preserve"> </w:t>
      </w:r>
      <w:r w:rsidR="00B163D0">
        <w:rPr>
          <w:rFonts w:ascii="Times New Roman" w:hAnsi="Times New Roman" w:cs="Times New Roman"/>
          <w:sz w:val="24"/>
          <w:szCs w:val="24"/>
        </w:rPr>
        <w:t>2013</w:t>
      </w:r>
    </w:p>
    <w:p w:rsidR="004D7FBA" w:rsidRDefault="004D7FBA" w:rsidP="007E4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7FBA">
        <w:rPr>
          <w:rFonts w:ascii="Times New Roman" w:hAnsi="Times New Roman" w:cs="Times New Roman"/>
          <w:sz w:val="24"/>
          <w:szCs w:val="24"/>
        </w:rPr>
        <w:t xml:space="preserve">Za 1.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D7FBA">
        <w:rPr>
          <w:rFonts w:ascii="Times New Roman" w:hAnsi="Times New Roman" w:cs="Times New Roman"/>
          <w:sz w:val="24"/>
          <w:szCs w:val="24"/>
        </w:rPr>
        <w:t xml:space="preserve">ololetí 2013 došlo k podstatnému zvýšení </w:t>
      </w:r>
      <w:r>
        <w:rPr>
          <w:rFonts w:ascii="Times New Roman" w:hAnsi="Times New Roman" w:cs="Times New Roman"/>
          <w:sz w:val="24"/>
          <w:szCs w:val="24"/>
        </w:rPr>
        <w:t xml:space="preserve">výskytu </w:t>
      </w:r>
      <w:r w:rsidRPr="004D7FBA">
        <w:rPr>
          <w:rFonts w:ascii="Times New Roman" w:hAnsi="Times New Roman" w:cs="Times New Roman"/>
          <w:sz w:val="24"/>
          <w:szCs w:val="24"/>
        </w:rPr>
        <w:t>pádů s lehkým zraněním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D7FB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podstatnému snížení pádů bez zranění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7FBA">
        <w:rPr>
          <w:rFonts w:ascii="Times New Roman" w:hAnsi="Times New Roman" w:cs="Times New Roman"/>
          <w:sz w:val="24"/>
          <w:szCs w:val="24"/>
        </w:rPr>
        <w:t>Tyto změny se týkají především klinik: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BA" w:rsidRPr="004D7FBA" w:rsidRDefault="004D7FBA" w:rsidP="007E48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Oddělení g</w:t>
      </w:r>
      <w:r w:rsidRPr="004D7FBA">
        <w:rPr>
          <w:rFonts w:ascii="Times New Roman" w:hAnsi="Times New Roman" w:cs="Times New Roman"/>
          <w:sz w:val="24"/>
          <w:szCs w:val="24"/>
        </w:rPr>
        <w:t>eriatrie – nárůst počtu pádů (</w:t>
      </w:r>
      <w:r>
        <w:rPr>
          <w:rFonts w:ascii="Times New Roman" w:hAnsi="Times New Roman" w:cs="Times New Roman"/>
          <w:sz w:val="24"/>
          <w:szCs w:val="24"/>
        </w:rPr>
        <w:t xml:space="preserve">za rok </w:t>
      </w:r>
      <w:r w:rsidRPr="004D7FBA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D7FBA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pádů</w:t>
      </w:r>
      <w:r w:rsidRPr="004D7F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 1. </w:t>
      </w:r>
      <w:proofErr w:type="spellStart"/>
      <w:r w:rsidRPr="004D7FBA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4D7F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D7FBA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pádů</w:t>
      </w:r>
      <w:r w:rsidRPr="004D7FBA">
        <w:rPr>
          <w:rFonts w:ascii="Times New Roman" w:hAnsi="Times New Roman" w:cs="Times New Roman"/>
          <w:sz w:val="24"/>
          <w:szCs w:val="24"/>
        </w:rPr>
        <w:t>), nárůst pádů s lehkým zraněním (</w:t>
      </w:r>
      <w:r>
        <w:rPr>
          <w:rFonts w:ascii="Times New Roman" w:hAnsi="Times New Roman" w:cs="Times New Roman"/>
          <w:sz w:val="24"/>
          <w:szCs w:val="24"/>
        </w:rPr>
        <w:t xml:space="preserve">za rok </w:t>
      </w:r>
      <w:r w:rsidRPr="004D7FBA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hAnsi="Times New Roman" w:cs="Times New Roman"/>
          <w:sz w:val="24"/>
          <w:szCs w:val="24"/>
        </w:rPr>
        <w:t xml:space="preserve">za 1. </w:t>
      </w:r>
      <w:proofErr w:type="spellStart"/>
      <w:r w:rsidRPr="004D7FBA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4D7F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 xml:space="preserve">25), snížení počtu </w:t>
      </w:r>
      <w:r>
        <w:rPr>
          <w:rFonts w:ascii="Times New Roman" w:hAnsi="Times New Roman" w:cs="Times New Roman"/>
          <w:sz w:val="24"/>
          <w:szCs w:val="24"/>
        </w:rPr>
        <w:t xml:space="preserve">pádů </w:t>
      </w:r>
      <w:r w:rsidRPr="004D7FBA">
        <w:rPr>
          <w:rFonts w:ascii="Times New Roman" w:hAnsi="Times New Roman" w:cs="Times New Roman"/>
          <w:sz w:val="24"/>
          <w:szCs w:val="24"/>
        </w:rPr>
        <w:t>bez zranění (</w:t>
      </w:r>
      <w:r>
        <w:rPr>
          <w:rFonts w:ascii="Times New Roman" w:hAnsi="Times New Roman" w:cs="Times New Roman"/>
          <w:sz w:val="24"/>
          <w:szCs w:val="24"/>
        </w:rPr>
        <w:t xml:space="preserve">za rok </w:t>
      </w:r>
      <w:r w:rsidRPr="004D7FBA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 xml:space="preserve">38, </w:t>
      </w:r>
      <w:r>
        <w:rPr>
          <w:rFonts w:ascii="Times New Roman" w:hAnsi="Times New Roman" w:cs="Times New Roman"/>
          <w:sz w:val="24"/>
          <w:szCs w:val="24"/>
        </w:rPr>
        <w:t xml:space="preserve">za 1. </w:t>
      </w:r>
      <w:proofErr w:type="spellStart"/>
      <w:r w:rsidRPr="004D7FBA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4D7F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 xml:space="preserve">10) </w:t>
      </w:r>
    </w:p>
    <w:p w:rsidR="004D7FBA" w:rsidRPr="004D7FBA" w:rsidRDefault="004D7FBA" w:rsidP="007E48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D7FBA">
        <w:rPr>
          <w:rFonts w:ascii="Times New Roman" w:hAnsi="Times New Roman" w:cs="Times New Roman"/>
          <w:sz w:val="24"/>
          <w:szCs w:val="24"/>
        </w:rPr>
        <w:t>III.</w:t>
      </w:r>
      <w:proofErr w:type="spellStart"/>
      <w:r w:rsidRPr="004D7FBA">
        <w:rPr>
          <w:rFonts w:ascii="Times New Roman" w:hAnsi="Times New Roman" w:cs="Times New Roman"/>
          <w:sz w:val="24"/>
          <w:szCs w:val="24"/>
        </w:rPr>
        <w:t>IK</w:t>
      </w:r>
      <w:proofErr w:type="spellEnd"/>
      <w:proofErr w:type="gramEnd"/>
      <w:r w:rsidRPr="004D7FBA">
        <w:rPr>
          <w:rFonts w:ascii="Times New Roman" w:hAnsi="Times New Roman" w:cs="Times New Roman"/>
          <w:sz w:val="24"/>
          <w:szCs w:val="24"/>
        </w:rPr>
        <w:t xml:space="preserve"> – počet pádů přibližně stejný, ale nárůst pádů s lehkým zraněním (</w:t>
      </w:r>
      <w:r>
        <w:rPr>
          <w:rFonts w:ascii="Times New Roman" w:hAnsi="Times New Roman" w:cs="Times New Roman"/>
          <w:sz w:val="24"/>
          <w:szCs w:val="24"/>
        </w:rPr>
        <w:t xml:space="preserve">za rok </w:t>
      </w:r>
      <w:r w:rsidRPr="004D7FBA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 xml:space="preserve">za 1. </w:t>
      </w:r>
      <w:proofErr w:type="spellStart"/>
      <w:r w:rsidRPr="004D7FBA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4D7F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 xml:space="preserve">12), snížení počtu </w:t>
      </w:r>
      <w:r>
        <w:rPr>
          <w:rFonts w:ascii="Times New Roman" w:hAnsi="Times New Roman" w:cs="Times New Roman"/>
          <w:sz w:val="24"/>
          <w:szCs w:val="24"/>
        </w:rPr>
        <w:t xml:space="preserve">pádů </w:t>
      </w:r>
      <w:r w:rsidRPr="004D7FBA">
        <w:rPr>
          <w:rFonts w:ascii="Times New Roman" w:hAnsi="Times New Roman" w:cs="Times New Roman"/>
          <w:sz w:val="24"/>
          <w:szCs w:val="24"/>
        </w:rPr>
        <w:t>bez zranění (</w:t>
      </w:r>
      <w:r>
        <w:rPr>
          <w:rFonts w:ascii="Times New Roman" w:hAnsi="Times New Roman" w:cs="Times New Roman"/>
          <w:sz w:val="24"/>
          <w:szCs w:val="24"/>
        </w:rPr>
        <w:t xml:space="preserve">za rok </w:t>
      </w:r>
      <w:r w:rsidRPr="004D7FBA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 xml:space="preserve">24, </w:t>
      </w:r>
      <w:r>
        <w:rPr>
          <w:rFonts w:ascii="Times New Roman" w:hAnsi="Times New Roman" w:cs="Times New Roman"/>
          <w:sz w:val="24"/>
          <w:szCs w:val="24"/>
        </w:rPr>
        <w:t xml:space="preserve">za 1. </w:t>
      </w:r>
      <w:proofErr w:type="spellStart"/>
      <w:r w:rsidRPr="004D7FBA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4D7F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4D7FBA" w:rsidRPr="004D7FBA" w:rsidRDefault="004D7FBA" w:rsidP="007E4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7FBA">
        <w:rPr>
          <w:rFonts w:ascii="Times New Roman" w:hAnsi="Times New Roman" w:cs="Times New Roman"/>
          <w:sz w:val="24"/>
          <w:szCs w:val="24"/>
        </w:rPr>
        <w:t xml:space="preserve">Psychiatrie – </w:t>
      </w:r>
      <w:r>
        <w:rPr>
          <w:rFonts w:ascii="Times New Roman" w:hAnsi="Times New Roman" w:cs="Times New Roman"/>
          <w:sz w:val="24"/>
          <w:szCs w:val="24"/>
        </w:rPr>
        <w:t xml:space="preserve">snížení </w:t>
      </w:r>
      <w:r w:rsidRPr="004D7FBA">
        <w:rPr>
          <w:rFonts w:ascii="Times New Roman" w:hAnsi="Times New Roman" w:cs="Times New Roman"/>
          <w:sz w:val="24"/>
          <w:szCs w:val="24"/>
        </w:rPr>
        <w:t>počt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D7FBA">
        <w:rPr>
          <w:rFonts w:ascii="Times New Roman" w:hAnsi="Times New Roman" w:cs="Times New Roman"/>
          <w:sz w:val="24"/>
          <w:szCs w:val="24"/>
        </w:rPr>
        <w:t xml:space="preserve"> pádů</w:t>
      </w:r>
      <w:r>
        <w:rPr>
          <w:rFonts w:ascii="Times New Roman" w:hAnsi="Times New Roman" w:cs="Times New Roman"/>
          <w:sz w:val="24"/>
          <w:szCs w:val="24"/>
        </w:rPr>
        <w:t xml:space="preserve"> celkem i </w:t>
      </w:r>
      <w:r w:rsidRPr="004D7FBA">
        <w:rPr>
          <w:rFonts w:ascii="Times New Roman" w:hAnsi="Times New Roman" w:cs="Times New Roman"/>
          <w:sz w:val="24"/>
          <w:szCs w:val="24"/>
        </w:rPr>
        <w:t xml:space="preserve">snížení počtu </w:t>
      </w:r>
      <w:r>
        <w:rPr>
          <w:rFonts w:ascii="Times New Roman" w:hAnsi="Times New Roman" w:cs="Times New Roman"/>
          <w:sz w:val="24"/>
          <w:szCs w:val="24"/>
        </w:rPr>
        <w:t xml:space="preserve">pádů </w:t>
      </w:r>
      <w:r w:rsidRPr="004D7FBA">
        <w:rPr>
          <w:rFonts w:ascii="Times New Roman" w:hAnsi="Times New Roman" w:cs="Times New Roman"/>
          <w:sz w:val="24"/>
          <w:szCs w:val="24"/>
        </w:rPr>
        <w:t>bez zranění (</w:t>
      </w:r>
      <w:r>
        <w:rPr>
          <w:rFonts w:ascii="Times New Roman" w:hAnsi="Times New Roman" w:cs="Times New Roman"/>
          <w:sz w:val="24"/>
          <w:szCs w:val="24"/>
        </w:rPr>
        <w:t xml:space="preserve">za rok </w:t>
      </w:r>
      <w:r w:rsidRPr="004D7FBA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 xml:space="preserve">14, </w:t>
      </w:r>
      <w:r>
        <w:rPr>
          <w:rFonts w:ascii="Times New Roman" w:hAnsi="Times New Roman" w:cs="Times New Roman"/>
          <w:sz w:val="24"/>
          <w:szCs w:val="24"/>
        </w:rPr>
        <w:t xml:space="preserve">za 1. </w:t>
      </w:r>
      <w:proofErr w:type="spellStart"/>
      <w:r w:rsidRPr="004D7FBA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4D7F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4D7FBA" w:rsidRPr="004D7FBA" w:rsidRDefault="004D7FBA" w:rsidP="007E48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7FBA">
        <w:rPr>
          <w:rFonts w:ascii="Times New Roman" w:hAnsi="Times New Roman" w:cs="Times New Roman"/>
          <w:sz w:val="24"/>
          <w:szCs w:val="24"/>
        </w:rPr>
        <w:t>KCH</w:t>
      </w:r>
      <w:proofErr w:type="spellEnd"/>
      <w:r w:rsidRPr="004D7FB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snížení </w:t>
      </w:r>
      <w:r w:rsidRPr="004D7FBA">
        <w:rPr>
          <w:rFonts w:ascii="Times New Roman" w:hAnsi="Times New Roman" w:cs="Times New Roman"/>
          <w:sz w:val="24"/>
          <w:szCs w:val="24"/>
        </w:rPr>
        <w:t>počt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D7FBA">
        <w:rPr>
          <w:rFonts w:ascii="Times New Roman" w:hAnsi="Times New Roman" w:cs="Times New Roman"/>
          <w:sz w:val="24"/>
          <w:szCs w:val="24"/>
        </w:rPr>
        <w:t xml:space="preserve"> pádů</w:t>
      </w:r>
      <w:r>
        <w:rPr>
          <w:rFonts w:ascii="Times New Roman" w:hAnsi="Times New Roman" w:cs="Times New Roman"/>
          <w:sz w:val="24"/>
          <w:szCs w:val="24"/>
        </w:rPr>
        <w:t xml:space="preserve"> celkem i </w:t>
      </w:r>
      <w:r w:rsidRPr="004D7FBA">
        <w:rPr>
          <w:rFonts w:ascii="Times New Roman" w:hAnsi="Times New Roman" w:cs="Times New Roman"/>
          <w:sz w:val="24"/>
          <w:szCs w:val="24"/>
        </w:rPr>
        <w:t xml:space="preserve">snížení počtu </w:t>
      </w:r>
      <w:r>
        <w:rPr>
          <w:rFonts w:ascii="Times New Roman" w:hAnsi="Times New Roman" w:cs="Times New Roman"/>
          <w:sz w:val="24"/>
          <w:szCs w:val="24"/>
        </w:rPr>
        <w:t xml:space="preserve">pádů </w:t>
      </w:r>
      <w:r w:rsidRPr="004D7FBA">
        <w:rPr>
          <w:rFonts w:ascii="Times New Roman" w:hAnsi="Times New Roman" w:cs="Times New Roman"/>
          <w:sz w:val="24"/>
          <w:szCs w:val="24"/>
        </w:rPr>
        <w:t>bez zranění (</w:t>
      </w:r>
      <w:r>
        <w:rPr>
          <w:rFonts w:ascii="Times New Roman" w:hAnsi="Times New Roman" w:cs="Times New Roman"/>
          <w:sz w:val="24"/>
          <w:szCs w:val="24"/>
        </w:rPr>
        <w:t xml:space="preserve">za rok </w:t>
      </w:r>
      <w:r w:rsidRPr="004D7FBA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 xml:space="preserve">12, </w:t>
      </w:r>
      <w:r>
        <w:rPr>
          <w:rFonts w:ascii="Times New Roman" w:hAnsi="Times New Roman" w:cs="Times New Roman"/>
          <w:sz w:val="24"/>
          <w:szCs w:val="24"/>
        </w:rPr>
        <w:t xml:space="preserve">za 1. </w:t>
      </w:r>
      <w:proofErr w:type="spellStart"/>
      <w:r w:rsidRPr="004D7FBA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4D7F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B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7FBA">
        <w:rPr>
          <w:rFonts w:ascii="Times New Roman" w:hAnsi="Times New Roman" w:cs="Times New Roman"/>
          <w:sz w:val="24"/>
          <w:szCs w:val="24"/>
        </w:rPr>
        <w:t>U ostatních klinik již není tak výrazné.</w:t>
      </w:r>
      <w:r w:rsidR="007E4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BA" w:rsidRDefault="004D7FBA" w:rsidP="004D7FBA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76"/>
        <w:gridCol w:w="975"/>
        <w:gridCol w:w="975"/>
        <w:gridCol w:w="975"/>
        <w:gridCol w:w="975"/>
        <w:gridCol w:w="1198"/>
      </w:tblGrid>
      <w:tr w:rsidR="00251CBE" w:rsidRPr="00251CBE" w:rsidTr="005C6D10">
        <w:trPr>
          <w:trHeight w:val="34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BE" w:rsidRPr="00251CBE" w:rsidRDefault="00251CBE" w:rsidP="00251C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Pády pacientů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1.pol.</w:t>
            </w:r>
            <w:proofErr w:type="gramEnd"/>
            <w:r w:rsidRPr="00AF224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2013</w:t>
            </w:r>
          </w:p>
        </w:tc>
      </w:tr>
      <w:tr w:rsidR="00251CBE" w:rsidRPr="00251CBE" w:rsidTr="005C6D10">
        <w:trPr>
          <w:trHeight w:val="26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BE" w:rsidRPr="00251CBE" w:rsidRDefault="00251CBE" w:rsidP="00251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hospitalizováno pacientů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46271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47965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54169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27563</w:t>
            </w:r>
          </w:p>
        </w:tc>
      </w:tr>
      <w:tr w:rsidR="00251CBE" w:rsidRPr="00251CBE" w:rsidTr="005C6D10">
        <w:trPr>
          <w:trHeight w:val="416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BE" w:rsidRPr="00251CBE" w:rsidRDefault="00251CBE" w:rsidP="00251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Celkem hospitalizováno pacientů ve věku 65 let a více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11957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11717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14151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6763</w:t>
            </w:r>
          </w:p>
        </w:tc>
      </w:tr>
      <w:tr w:rsidR="00251CBE" w:rsidRPr="00251CBE" w:rsidTr="005C6D10">
        <w:trPr>
          <w:trHeight w:val="26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BE" w:rsidRPr="00251CBE" w:rsidRDefault="00251CBE" w:rsidP="00251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Průměrný věk pacientů s pádem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62,36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64,9</w:t>
            </w:r>
          </w:p>
        </w:tc>
      </w:tr>
      <w:tr w:rsidR="00251CBE" w:rsidRPr="00251CBE" w:rsidTr="005C6D10">
        <w:trPr>
          <w:trHeight w:val="26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BE" w:rsidRPr="00251CBE" w:rsidRDefault="00251CBE" w:rsidP="00251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pádů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</w:t>
            </w:r>
          </w:p>
        </w:tc>
      </w:tr>
      <w:tr w:rsidR="00251CBE" w:rsidRPr="00251CBE" w:rsidTr="005C6D10">
        <w:trPr>
          <w:trHeight w:val="26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BE" w:rsidRPr="00251CBE" w:rsidRDefault="00251CBE" w:rsidP="00251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lehkých zranění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84</w:t>
            </w:r>
          </w:p>
        </w:tc>
      </w:tr>
      <w:tr w:rsidR="00251CBE" w:rsidRPr="00251CBE" w:rsidTr="005C6D10">
        <w:trPr>
          <w:trHeight w:val="26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BE" w:rsidRPr="00251CBE" w:rsidRDefault="00251CBE" w:rsidP="00251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Počet </w:t>
            </w:r>
            <w:proofErr w:type="spellStart"/>
            <w:r w:rsidRPr="00251CB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težkých</w:t>
            </w:r>
            <w:proofErr w:type="spellEnd"/>
            <w:r w:rsidRPr="00251CB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zranění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251CBE" w:rsidRPr="00251CBE" w:rsidTr="005C6D10">
        <w:trPr>
          <w:trHeight w:val="26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BE" w:rsidRPr="00251CBE" w:rsidRDefault="00251CBE" w:rsidP="00251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 počet zranění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93</w:t>
            </w:r>
          </w:p>
        </w:tc>
      </w:tr>
      <w:tr w:rsidR="00251CBE" w:rsidRPr="00251CBE" w:rsidTr="005C6D10">
        <w:trPr>
          <w:trHeight w:val="26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BE" w:rsidRPr="00251CBE" w:rsidRDefault="00251CBE" w:rsidP="00251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nezraněných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</w:t>
            </w:r>
          </w:p>
        </w:tc>
      </w:tr>
      <w:tr w:rsidR="00251CBE" w:rsidRPr="00251CBE" w:rsidTr="005C6D10">
        <w:trPr>
          <w:trHeight w:val="416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BE" w:rsidRPr="00251CBE" w:rsidRDefault="00251CBE" w:rsidP="00251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Podíl pacientů ve věku 65 let a více na celkový počet pacientů v 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25,84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24,43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26,12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24,55</w:t>
            </w:r>
          </w:p>
        </w:tc>
      </w:tr>
      <w:tr w:rsidR="00251CBE" w:rsidRPr="00251CBE" w:rsidTr="005C6D10">
        <w:trPr>
          <w:trHeight w:val="346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BE" w:rsidRPr="00251CBE" w:rsidRDefault="00251CBE" w:rsidP="00251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Podíl pádů na počet pacientů ve věku 65 let a více v 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2,37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1,61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1,74</w:t>
            </w:r>
          </w:p>
        </w:tc>
      </w:tr>
      <w:tr w:rsidR="00251CBE" w:rsidRPr="00251CBE" w:rsidTr="005C6D10">
        <w:trPr>
          <w:trHeight w:val="26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BE" w:rsidRPr="00251CBE" w:rsidRDefault="00251CBE" w:rsidP="00251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Podíl zranění na počet pádů pacientů v 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55,17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53,24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22,81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78,3</w:t>
            </w:r>
          </w:p>
        </w:tc>
      </w:tr>
      <w:tr w:rsidR="00251CBE" w:rsidRPr="00251CBE" w:rsidTr="005C6D10">
        <w:trPr>
          <w:trHeight w:val="386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BE" w:rsidRPr="00251CBE" w:rsidRDefault="00251CBE" w:rsidP="00251C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Indikátor kvality péče (podíl zranění na 1000 ošetřovacích dnů)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CBE" w:rsidRPr="00251CBE" w:rsidRDefault="00251CBE" w:rsidP="00251C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51CB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0,62</w:t>
            </w:r>
          </w:p>
        </w:tc>
      </w:tr>
    </w:tbl>
    <w:p w:rsidR="00251CBE" w:rsidRPr="00AF2246" w:rsidRDefault="00251CBE" w:rsidP="00B163D0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880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881"/>
        <w:gridCol w:w="946"/>
        <w:gridCol w:w="946"/>
        <w:gridCol w:w="946"/>
        <w:gridCol w:w="946"/>
        <w:gridCol w:w="1142"/>
      </w:tblGrid>
      <w:tr w:rsidR="00B163D0" w:rsidRPr="00B163D0" w:rsidTr="004B2E8E">
        <w:trPr>
          <w:trHeight w:val="2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4D7F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Pády v 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2009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163D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1.pol.</w:t>
            </w:r>
            <w:proofErr w:type="gramEnd"/>
            <w:r w:rsidRPr="00B163D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 xml:space="preserve"> 2013</w:t>
            </w:r>
          </w:p>
        </w:tc>
      </w:tr>
      <w:tr w:rsidR="00B163D0" w:rsidRPr="00B163D0" w:rsidTr="004B2E8E">
        <w:trPr>
          <w:trHeight w:val="298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počet pádů na počet hospitalizovaných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0,43</w:t>
            </w:r>
          </w:p>
        </w:tc>
      </w:tr>
      <w:tr w:rsidR="00B163D0" w:rsidRPr="00B163D0" w:rsidTr="004B2E8E">
        <w:trPr>
          <w:trHeight w:val="298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počet pádů na počet pacientů v riziku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2,37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1,75</w:t>
            </w:r>
          </w:p>
        </w:tc>
      </w:tr>
      <w:tr w:rsidR="00B163D0" w:rsidRPr="00B163D0" w:rsidTr="004B2E8E">
        <w:trPr>
          <w:trHeight w:val="298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těžká zranění na počet hospitalizovaných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0,03</w:t>
            </w:r>
          </w:p>
        </w:tc>
      </w:tr>
      <w:tr w:rsidR="00B163D0" w:rsidRPr="00B163D0" w:rsidTr="004B2E8E">
        <w:trPr>
          <w:trHeight w:val="298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 xml:space="preserve">těžká zranění na počet pádů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16,81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13,67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14,22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7,63</w:t>
            </w:r>
          </w:p>
        </w:tc>
      </w:tr>
      <w:tr w:rsidR="00B163D0" w:rsidRPr="00B163D0" w:rsidTr="004B2E8E">
        <w:trPr>
          <w:trHeight w:val="298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lehká zranění na hospitalizovaných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0,32</w:t>
            </w:r>
          </w:p>
        </w:tc>
      </w:tr>
      <w:tr w:rsidR="00B163D0" w:rsidRPr="00B163D0" w:rsidTr="004B2E8E">
        <w:trPr>
          <w:trHeight w:val="298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 xml:space="preserve">lehká zranění na počet pádů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39,57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71,2</w:t>
            </w:r>
          </w:p>
        </w:tc>
      </w:tr>
      <w:tr w:rsidR="00B163D0" w:rsidRPr="00B163D0" w:rsidTr="004B2E8E">
        <w:trPr>
          <w:trHeight w:val="298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 xml:space="preserve">bez zranění na počet pádů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46,76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49,01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D0" w:rsidRPr="00B163D0" w:rsidRDefault="00B163D0" w:rsidP="00B163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163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21,2</w:t>
            </w:r>
          </w:p>
        </w:tc>
      </w:tr>
    </w:tbl>
    <w:p w:rsidR="00B163D0" w:rsidRPr="00AF2246" w:rsidRDefault="00B163D0">
      <w:pPr>
        <w:rPr>
          <w:rFonts w:ascii="Arial" w:hAnsi="Arial" w:cs="Arial"/>
          <w:sz w:val="18"/>
          <w:szCs w:val="18"/>
        </w:rPr>
      </w:pPr>
    </w:p>
    <w:p w:rsidR="005C6D10" w:rsidRDefault="00AF2246">
      <w:r w:rsidRPr="00AF2246">
        <w:rPr>
          <w:noProof/>
          <w:lang w:eastAsia="cs-CZ"/>
        </w:rPr>
        <w:lastRenderedPageBreak/>
        <w:drawing>
          <wp:inline distT="0" distB="0" distL="0" distR="0">
            <wp:extent cx="5638800" cy="3152775"/>
            <wp:effectExtent l="19050" t="0" r="19050" b="0"/>
            <wp:docPr id="5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F2246" w:rsidRPr="00C95BBC" w:rsidRDefault="00AF2246">
      <w:pPr>
        <w:pStyle w:val="Bezmezer"/>
        <w:spacing w:line="360" w:lineRule="auto"/>
        <w:rPr>
          <w:rFonts w:ascii="Arial" w:hAnsi="Arial" w:cs="Arial"/>
          <w:sz w:val="18"/>
          <w:szCs w:val="18"/>
        </w:rPr>
      </w:pPr>
    </w:p>
    <w:sectPr w:rsidR="00AF2246" w:rsidRPr="00C95BBC" w:rsidSect="00C95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F544A"/>
    <w:multiLevelType w:val="hybridMultilevel"/>
    <w:tmpl w:val="B9D23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42D8"/>
    <w:rsid w:val="00085228"/>
    <w:rsid w:val="001F0979"/>
    <w:rsid w:val="00207FA8"/>
    <w:rsid w:val="00251CBE"/>
    <w:rsid w:val="00381195"/>
    <w:rsid w:val="004B2E8E"/>
    <w:rsid w:val="004D7FBA"/>
    <w:rsid w:val="00526525"/>
    <w:rsid w:val="005C6D10"/>
    <w:rsid w:val="006C69A5"/>
    <w:rsid w:val="007E483C"/>
    <w:rsid w:val="008104DC"/>
    <w:rsid w:val="00AF2246"/>
    <w:rsid w:val="00B163D0"/>
    <w:rsid w:val="00C95BBC"/>
    <w:rsid w:val="00D2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2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69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69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37254\Plocha\MOJE%20POVINNOSTI\INDIK&#193;TORY%20KVALITY\IKVA%20-%20V&#221;STUPY%20N&#218;,%20I.V.,P&#193;DY,DEKU%202009%20-%202013%20(SAK)\Rozbory%20IKVA%202013\Dekubity,%20p&#225;dy\P&#225;dy%202009%20-%202013%201%20tabulka%20na%20v&#353;echny%20rok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view3D>
      <c:rAngAx val="1"/>
    </c:view3D>
    <c:plotArea>
      <c:layout>
        <c:manualLayout>
          <c:layoutTarget val="inner"/>
          <c:xMode val="edge"/>
          <c:yMode val="edge"/>
          <c:x val="7.1988407699037624E-2"/>
          <c:y val="0.24068827134099124"/>
          <c:w val="0.70543664680803786"/>
          <c:h val="0.65361904765049617"/>
        </c:manualLayout>
      </c:layout>
      <c:bar3DChart>
        <c:barDir val="col"/>
        <c:grouping val="clustered"/>
        <c:ser>
          <c:idx val="0"/>
          <c:order val="0"/>
          <c:tx>
            <c:strRef>
              <c:f>List2!$A$12</c:f>
              <c:strCache>
                <c:ptCount val="1"/>
                <c:pt idx="0">
                  <c:v>těžká zranění na počet pádů </c:v>
                </c:pt>
              </c:strCache>
            </c:strRef>
          </c:tx>
          <c:dLbls>
            <c:dLbl>
              <c:idx val="0"/>
              <c:layout>
                <c:manualLayout>
                  <c:x val="-4.4091710758377509E-3"/>
                  <c:y val="7.6878002826371028E-17"/>
                </c:manualLayout>
              </c:layout>
              <c:showVal val="1"/>
            </c:dLbl>
            <c:dLbl>
              <c:idx val="1"/>
              <c:layout>
                <c:manualLayout>
                  <c:x val="-6.6137566137566134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6.6137566137566134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1.556229082475802E-2"/>
                  <c:y val="-1.4184237923272761E-2"/>
                </c:manualLayout>
              </c:layout>
              <c:showVal val="1"/>
            </c:dLbl>
            <c:dLbl>
              <c:idx val="4"/>
              <c:layout>
                <c:manualLayout>
                  <c:x val="-6.6137566137566134E-3"/>
                  <c:y val="-8.3867881011948538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List2!$B$11:$F$11</c:f>
              <c:strCach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1.pol. 2013</c:v>
                </c:pt>
              </c:strCache>
            </c:strRef>
          </c:cat>
          <c:val>
            <c:numRef>
              <c:f>List2!$B$12:$F$12</c:f>
              <c:numCache>
                <c:formatCode>General</c:formatCode>
                <c:ptCount val="5"/>
                <c:pt idx="0">
                  <c:v>16.809999999999999</c:v>
                </c:pt>
                <c:pt idx="1">
                  <c:v>13.67</c:v>
                </c:pt>
                <c:pt idx="2">
                  <c:v>14.219999999999999</c:v>
                </c:pt>
                <c:pt idx="3">
                  <c:v>10.4</c:v>
                </c:pt>
                <c:pt idx="4">
                  <c:v>7.63</c:v>
                </c:pt>
              </c:numCache>
            </c:numRef>
          </c:val>
        </c:ser>
        <c:ser>
          <c:idx val="1"/>
          <c:order val="1"/>
          <c:tx>
            <c:strRef>
              <c:f>List2!$A$13</c:f>
              <c:strCache>
                <c:ptCount val="1"/>
                <c:pt idx="0">
                  <c:v>lehká zranění na počet pádů </c:v>
                </c:pt>
              </c:strCache>
            </c:strRef>
          </c:tx>
          <c:dLbls>
            <c:dLbl>
              <c:idx val="0"/>
              <c:layout>
                <c:manualLayout>
                  <c:x val="-2.9828486204325141E-3"/>
                  <c:y val="-2.5531914893617051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4184397163120564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7021276595744678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1.7021276595744678E-2"/>
                </c:manualLayout>
              </c:layout>
              <c:showVal val="1"/>
            </c:dLbl>
            <c:dLbl>
              <c:idx val="4"/>
              <c:layout>
                <c:manualLayout>
                  <c:x val="2.9828486204325141E-3"/>
                  <c:y val="-2.2695035460992996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List2!$B$11:$F$11</c:f>
              <c:strCach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1.pol. 2013</c:v>
                </c:pt>
              </c:strCache>
            </c:strRef>
          </c:cat>
          <c:val>
            <c:numRef>
              <c:f>List2!$B$13:$F$13</c:f>
              <c:numCache>
                <c:formatCode>General</c:formatCode>
                <c:ptCount val="5"/>
                <c:pt idx="0">
                  <c:v>38.36</c:v>
                </c:pt>
                <c:pt idx="1">
                  <c:v>39.57</c:v>
                </c:pt>
                <c:pt idx="2">
                  <c:v>36.700000000000003</c:v>
                </c:pt>
                <c:pt idx="3">
                  <c:v>10.4</c:v>
                </c:pt>
                <c:pt idx="4">
                  <c:v>71.2</c:v>
                </c:pt>
              </c:numCache>
            </c:numRef>
          </c:val>
        </c:ser>
        <c:ser>
          <c:idx val="2"/>
          <c:order val="2"/>
          <c:tx>
            <c:strRef>
              <c:f>List2!$A$14</c:f>
              <c:strCache>
                <c:ptCount val="1"/>
                <c:pt idx="0">
                  <c:v>bez zranění na počet pádů </c:v>
                </c:pt>
              </c:strCache>
            </c:strRef>
          </c:tx>
          <c:dLbls>
            <c:dLbl>
              <c:idx val="0"/>
              <c:layout>
                <c:manualLayout>
                  <c:x val="4.4742729306487808E-3"/>
                  <c:y val="-4.539007092198601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2695035460992996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9858156028368833E-2"/>
                </c:manualLayout>
              </c:layout>
              <c:showVal val="1"/>
            </c:dLbl>
            <c:dLbl>
              <c:idx val="3"/>
              <c:layout>
                <c:manualLayout>
                  <c:x val="2.9828486204325141E-3"/>
                  <c:y val="-2.5531914893617051E-2"/>
                </c:manualLayout>
              </c:layout>
              <c:showVal val="1"/>
            </c:dLbl>
            <c:dLbl>
              <c:idx val="4"/>
              <c:layout>
                <c:manualLayout>
                  <c:x val="1.4914243102162566E-2"/>
                  <c:y val="-2.5531914893617051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cs-CZ"/>
              </a:p>
            </c:txPr>
            <c:showVal val="1"/>
          </c:dLbls>
          <c:cat>
            <c:strRef>
              <c:f>List2!$B$11:$F$11</c:f>
              <c:strCach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1.pol. 2013</c:v>
                </c:pt>
              </c:strCache>
            </c:strRef>
          </c:cat>
          <c:val>
            <c:numRef>
              <c:f>List2!$B$14:$F$14</c:f>
              <c:numCache>
                <c:formatCode>General</c:formatCode>
                <c:ptCount val="5"/>
                <c:pt idx="0">
                  <c:v>44.8</c:v>
                </c:pt>
                <c:pt idx="1">
                  <c:v>46.760000000000012</c:v>
                </c:pt>
                <c:pt idx="2">
                  <c:v>49.01</c:v>
                </c:pt>
                <c:pt idx="3">
                  <c:v>77.2</c:v>
                </c:pt>
                <c:pt idx="4">
                  <c:v>21.2</c:v>
                </c:pt>
              </c:numCache>
            </c:numRef>
          </c:val>
        </c:ser>
        <c:shape val="cylinder"/>
        <c:axId val="74148096"/>
        <c:axId val="74273152"/>
        <c:axId val="0"/>
      </c:bar3DChart>
      <c:catAx>
        <c:axId val="74148096"/>
        <c:scaling>
          <c:orientation val="minMax"/>
        </c:scaling>
        <c:axPos val="b"/>
        <c:tickLblPos val="nextTo"/>
        <c:crossAx val="74273152"/>
        <c:crosses val="autoZero"/>
        <c:auto val="1"/>
        <c:lblAlgn val="ctr"/>
        <c:lblOffset val="100"/>
      </c:catAx>
      <c:valAx>
        <c:axId val="74273152"/>
        <c:scaling>
          <c:orientation val="minMax"/>
        </c:scaling>
        <c:axPos val="l"/>
        <c:numFmt formatCode="General" sourceLinked="1"/>
        <c:tickLblPos val="nextTo"/>
        <c:crossAx val="74148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00000000000147"/>
          <c:y val="0.37163477969509201"/>
          <c:w val="0.20833333333333373"/>
          <c:h val="0.44543321227522004"/>
        </c:manualLayout>
      </c:layout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0.09291</cdr:x>
      <cdr:y>0.08085</cdr:y>
    </cdr:from>
    <cdr:to>
      <cdr:x>0.91723</cdr:x>
      <cdr:y>0.23565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523875" y="254902"/>
          <a:ext cx="4648200" cy="4880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400" b="1">
              <a:latin typeface="Arial" pitchFamily="34" charset="0"/>
              <a:cs typeface="Arial" pitchFamily="34" charset="0"/>
            </a:rPr>
            <a:t>Pády 2009 - 1. pol. 2013 </a:t>
          </a:r>
          <a:r>
            <a:rPr lang="cs-CZ" sz="1200" b="1" i="1">
              <a:latin typeface="Arial" pitchFamily="34" charset="0"/>
              <a:cs typeface="Arial" pitchFamily="34" charset="0"/>
            </a:rPr>
            <a:t>- zranění na počet pádů v %</a:t>
          </a: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37254</dc:creator>
  <cp:keywords/>
  <dc:description/>
  <cp:lastModifiedBy>37254</cp:lastModifiedBy>
  <cp:revision>6</cp:revision>
  <cp:lastPrinted>2013-08-14T13:45:00Z</cp:lastPrinted>
  <dcterms:created xsi:type="dcterms:W3CDTF">2013-08-14T11:49:00Z</dcterms:created>
  <dcterms:modified xsi:type="dcterms:W3CDTF">2013-08-15T08:16:00Z</dcterms:modified>
</cp:coreProperties>
</file>