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E7" w:rsidRPr="00135AF3" w:rsidRDefault="003840E7" w:rsidP="00135AF3">
      <w:pPr>
        <w:pStyle w:val="Bezmezer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OLE_LINK3"/>
      <w:bookmarkStart w:id="1" w:name="OLE_LINK4"/>
      <w:r w:rsidRPr="00135AF3">
        <w:rPr>
          <w:rFonts w:ascii="Arial" w:hAnsi="Arial" w:cs="Arial"/>
          <w:b/>
          <w:sz w:val="24"/>
          <w:szCs w:val="24"/>
        </w:rPr>
        <w:t>Výsledky sledování I. V. VSTUPŮ za rok 201</w:t>
      </w:r>
      <w:r w:rsidR="006831B4" w:rsidRPr="00135AF3">
        <w:rPr>
          <w:rFonts w:ascii="Arial" w:hAnsi="Arial" w:cs="Arial"/>
          <w:b/>
          <w:sz w:val="24"/>
          <w:szCs w:val="24"/>
        </w:rPr>
        <w:t xml:space="preserve">5 </w:t>
      </w:r>
      <w:r w:rsidR="00135AF3">
        <w:rPr>
          <w:rFonts w:ascii="Arial" w:hAnsi="Arial" w:cs="Arial"/>
          <w:b/>
          <w:sz w:val="24"/>
          <w:szCs w:val="24"/>
        </w:rPr>
        <w:t>(</w:t>
      </w:r>
      <w:r w:rsidR="006831B4" w:rsidRPr="00135AF3">
        <w:rPr>
          <w:rFonts w:ascii="Arial" w:hAnsi="Arial" w:cs="Arial"/>
          <w:b/>
          <w:sz w:val="24"/>
          <w:szCs w:val="24"/>
        </w:rPr>
        <w:t>1. pololetí</w:t>
      </w:r>
      <w:r w:rsidR="00135AF3">
        <w:rPr>
          <w:rFonts w:ascii="Arial" w:hAnsi="Arial" w:cs="Arial"/>
          <w:b/>
          <w:sz w:val="24"/>
          <w:szCs w:val="24"/>
        </w:rPr>
        <w:t>)</w:t>
      </w:r>
    </w:p>
    <w:p w:rsidR="00135AF3" w:rsidRDefault="00135AF3" w:rsidP="00135AF3">
      <w:pPr>
        <w:pStyle w:val="Bezmezer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35DF3" w:rsidRPr="00135AF3" w:rsidRDefault="003840E7" w:rsidP="00135AF3">
      <w:pPr>
        <w:pStyle w:val="Bezmezer"/>
        <w:spacing w:line="360" w:lineRule="auto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 w:rsidRPr="00135AF3">
        <w:rPr>
          <w:rFonts w:ascii="Arial" w:hAnsi="Arial" w:cs="Arial"/>
          <w:sz w:val="24"/>
          <w:szCs w:val="24"/>
          <w:u w:val="single"/>
        </w:rPr>
        <w:t xml:space="preserve">Vývoj sledování I. V. vstupů – </w:t>
      </w:r>
      <w:r w:rsidRPr="00135AF3">
        <w:rPr>
          <w:rFonts w:ascii="Arial" w:hAnsi="Arial" w:cs="Arial"/>
          <w:b/>
          <w:sz w:val="24"/>
          <w:szCs w:val="24"/>
          <w:u w:val="single"/>
        </w:rPr>
        <w:t>PŽK</w:t>
      </w:r>
      <w:r w:rsidRPr="00135AF3">
        <w:rPr>
          <w:rFonts w:ascii="Arial" w:hAnsi="Arial" w:cs="Arial"/>
          <w:sz w:val="24"/>
          <w:szCs w:val="24"/>
          <w:u w:val="single"/>
        </w:rPr>
        <w:t xml:space="preserve"> za období 201</w:t>
      </w:r>
      <w:r w:rsidR="00C03FA7" w:rsidRPr="00135AF3">
        <w:rPr>
          <w:rFonts w:ascii="Arial" w:hAnsi="Arial" w:cs="Arial"/>
          <w:sz w:val="24"/>
          <w:szCs w:val="24"/>
          <w:u w:val="single"/>
        </w:rPr>
        <w:t>3</w:t>
      </w:r>
      <w:r w:rsidRPr="00135AF3">
        <w:rPr>
          <w:rFonts w:ascii="Arial" w:hAnsi="Arial" w:cs="Arial"/>
          <w:sz w:val="24"/>
          <w:szCs w:val="24"/>
          <w:u w:val="single"/>
        </w:rPr>
        <w:t xml:space="preserve"> – 201</w:t>
      </w:r>
      <w:r w:rsidR="006831B4" w:rsidRPr="00135AF3">
        <w:rPr>
          <w:rFonts w:ascii="Arial" w:hAnsi="Arial" w:cs="Arial"/>
          <w:sz w:val="24"/>
          <w:szCs w:val="24"/>
          <w:u w:val="single"/>
        </w:rPr>
        <w:t xml:space="preserve">5 </w:t>
      </w:r>
      <w:r w:rsidR="00135AF3" w:rsidRPr="00135AF3">
        <w:rPr>
          <w:rFonts w:ascii="Arial" w:hAnsi="Arial" w:cs="Arial"/>
          <w:sz w:val="24"/>
          <w:szCs w:val="24"/>
          <w:u w:val="single"/>
        </w:rPr>
        <w:t xml:space="preserve">(1. </w:t>
      </w:r>
      <w:r w:rsidR="006831B4" w:rsidRPr="00135AF3">
        <w:rPr>
          <w:rFonts w:ascii="Arial" w:hAnsi="Arial" w:cs="Arial"/>
          <w:sz w:val="24"/>
          <w:szCs w:val="24"/>
          <w:u w:val="single"/>
        </w:rPr>
        <w:t>pol</w:t>
      </w:r>
      <w:r w:rsidR="00135AF3" w:rsidRPr="00135AF3">
        <w:rPr>
          <w:rFonts w:ascii="Arial" w:hAnsi="Arial" w:cs="Arial"/>
          <w:sz w:val="24"/>
          <w:szCs w:val="24"/>
          <w:u w:val="single"/>
        </w:rPr>
        <w:t>oletí)</w:t>
      </w:r>
    </w:p>
    <w:p w:rsidR="006831B4" w:rsidRPr="00135AF3" w:rsidRDefault="006831B4" w:rsidP="00135AF3">
      <w:pPr>
        <w:pStyle w:val="Bezmezer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3772F" w:rsidRPr="00135AF3" w:rsidRDefault="008F2224" w:rsidP="00835DF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P</w:t>
      </w:r>
      <w:r w:rsidR="0093772F" w:rsidRPr="00135AF3">
        <w:rPr>
          <w:rFonts w:ascii="Arial" w:hAnsi="Arial" w:cs="Arial"/>
          <w:sz w:val="24"/>
          <w:szCs w:val="24"/>
        </w:rPr>
        <w:t xml:space="preserve">očet zavedených periferních žilních kanyl </w:t>
      </w:r>
      <w:r w:rsidR="00181D1C" w:rsidRPr="00135AF3">
        <w:rPr>
          <w:rFonts w:ascii="Arial" w:hAnsi="Arial" w:cs="Arial"/>
          <w:sz w:val="24"/>
          <w:szCs w:val="24"/>
        </w:rPr>
        <w:t>byl</w:t>
      </w:r>
      <w:r w:rsidR="0093772F" w:rsidRPr="00135AF3">
        <w:rPr>
          <w:rFonts w:ascii="Arial" w:hAnsi="Arial" w:cs="Arial"/>
          <w:sz w:val="24"/>
          <w:szCs w:val="24"/>
        </w:rPr>
        <w:t xml:space="preserve"> </w:t>
      </w:r>
      <w:r w:rsidRPr="00135AF3">
        <w:rPr>
          <w:rFonts w:ascii="Arial" w:hAnsi="Arial" w:cs="Arial"/>
          <w:sz w:val="24"/>
          <w:szCs w:val="24"/>
        </w:rPr>
        <w:t>vyš</w:t>
      </w:r>
      <w:r w:rsidR="0093772F" w:rsidRPr="00135AF3">
        <w:rPr>
          <w:rFonts w:ascii="Arial" w:hAnsi="Arial" w:cs="Arial"/>
          <w:sz w:val="24"/>
          <w:szCs w:val="24"/>
        </w:rPr>
        <w:t>ší (</w:t>
      </w:r>
      <w:r w:rsidRPr="00135AF3">
        <w:rPr>
          <w:rFonts w:ascii="Arial" w:hAnsi="Arial" w:cs="Arial"/>
          <w:sz w:val="24"/>
          <w:szCs w:val="24"/>
        </w:rPr>
        <w:t>2014: 39814</w:t>
      </w:r>
      <w:r w:rsidR="0093772F" w:rsidRPr="00135AF3">
        <w:rPr>
          <w:rFonts w:ascii="Arial" w:hAnsi="Arial" w:cs="Arial"/>
          <w:sz w:val="24"/>
          <w:szCs w:val="24"/>
        </w:rPr>
        <w:t xml:space="preserve"> kanyl</w:t>
      </w:r>
      <w:r w:rsidR="006831B4" w:rsidRPr="00135AF3">
        <w:rPr>
          <w:rFonts w:ascii="Arial" w:hAnsi="Arial" w:cs="Arial"/>
          <w:sz w:val="24"/>
          <w:szCs w:val="24"/>
        </w:rPr>
        <w:t>; za pololetí 2015: 22542</w:t>
      </w:r>
      <w:r w:rsidR="0093772F" w:rsidRPr="00135AF3">
        <w:rPr>
          <w:rFonts w:ascii="Arial" w:hAnsi="Arial" w:cs="Arial"/>
          <w:sz w:val="24"/>
          <w:szCs w:val="24"/>
        </w:rPr>
        <w:t xml:space="preserve">), procentuálně se </w:t>
      </w:r>
      <w:r w:rsidR="006831B4" w:rsidRPr="00135AF3">
        <w:rPr>
          <w:rFonts w:ascii="Arial" w:hAnsi="Arial" w:cs="Arial"/>
          <w:sz w:val="24"/>
          <w:szCs w:val="24"/>
        </w:rPr>
        <w:t xml:space="preserve">zvýšil </w:t>
      </w:r>
      <w:r w:rsidR="0093772F" w:rsidRPr="00135AF3">
        <w:rPr>
          <w:rFonts w:ascii="Arial" w:hAnsi="Arial" w:cs="Arial"/>
          <w:sz w:val="24"/>
          <w:szCs w:val="24"/>
        </w:rPr>
        <w:t>počet zavedených kanyl na počet hospitalizovaných pacientů (201</w:t>
      </w:r>
      <w:r w:rsidR="006831B4" w:rsidRPr="00135AF3">
        <w:rPr>
          <w:rFonts w:ascii="Arial" w:hAnsi="Arial" w:cs="Arial"/>
          <w:sz w:val="24"/>
          <w:szCs w:val="24"/>
        </w:rPr>
        <w:t>4</w:t>
      </w:r>
      <w:r w:rsidR="0093772F" w:rsidRPr="00135AF3">
        <w:rPr>
          <w:rFonts w:ascii="Arial" w:hAnsi="Arial" w:cs="Arial"/>
          <w:sz w:val="24"/>
          <w:szCs w:val="24"/>
        </w:rPr>
        <w:t xml:space="preserve">: </w:t>
      </w:r>
      <w:r w:rsidR="006831B4" w:rsidRPr="00135AF3">
        <w:rPr>
          <w:rFonts w:ascii="Arial" w:hAnsi="Arial" w:cs="Arial"/>
          <w:sz w:val="24"/>
          <w:szCs w:val="24"/>
        </w:rPr>
        <w:t>78,9</w:t>
      </w:r>
      <w:r w:rsidR="0093772F" w:rsidRPr="00135AF3">
        <w:rPr>
          <w:rFonts w:ascii="Arial" w:hAnsi="Arial" w:cs="Arial"/>
          <w:sz w:val="24"/>
          <w:szCs w:val="24"/>
        </w:rPr>
        <w:t xml:space="preserve"> %, 201</w:t>
      </w:r>
      <w:r w:rsidR="006831B4" w:rsidRPr="00135AF3">
        <w:rPr>
          <w:rFonts w:ascii="Arial" w:hAnsi="Arial" w:cs="Arial"/>
          <w:sz w:val="24"/>
          <w:szCs w:val="24"/>
        </w:rPr>
        <w:t>5 pol</w:t>
      </w:r>
      <w:r w:rsidR="0093772F" w:rsidRPr="00135AF3">
        <w:rPr>
          <w:rFonts w:ascii="Arial" w:hAnsi="Arial" w:cs="Arial"/>
          <w:sz w:val="24"/>
          <w:szCs w:val="24"/>
        </w:rPr>
        <w:t>: 8</w:t>
      </w:r>
      <w:r w:rsidR="006831B4" w:rsidRPr="00135AF3">
        <w:rPr>
          <w:rFonts w:ascii="Arial" w:hAnsi="Arial" w:cs="Arial"/>
          <w:sz w:val="24"/>
          <w:szCs w:val="24"/>
        </w:rPr>
        <w:t xml:space="preserve">3,7 </w:t>
      </w:r>
      <w:r w:rsidR="0093772F" w:rsidRPr="00135AF3">
        <w:rPr>
          <w:rFonts w:ascii="Arial" w:hAnsi="Arial" w:cs="Arial"/>
          <w:sz w:val="24"/>
          <w:szCs w:val="24"/>
        </w:rPr>
        <w:t>%).</w:t>
      </w:r>
    </w:p>
    <w:p w:rsidR="0093772F" w:rsidRPr="00135AF3" w:rsidRDefault="0093772F" w:rsidP="00835DF3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5B95" w:rsidRPr="00135AF3" w:rsidRDefault="006831B4" w:rsidP="00835DF3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K</w:t>
      </w:r>
      <w:r w:rsidR="00274CC9" w:rsidRPr="00135AF3">
        <w:rPr>
          <w:rFonts w:ascii="Arial" w:hAnsi="Arial" w:cs="Arial"/>
          <w:sz w:val="24"/>
          <w:szCs w:val="24"/>
        </w:rPr>
        <w:t>omplikac</w:t>
      </w:r>
      <w:r w:rsidRPr="00135AF3">
        <w:rPr>
          <w:rFonts w:ascii="Arial" w:hAnsi="Arial" w:cs="Arial"/>
          <w:sz w:val="24"/>
          <w:szCs w:val="24"/>
        </w:rPr>
        <w:t>e</w:t>
      </w:r>
      <w:r w:rsidR="0041678E" w:rsidRPr="00135AF3">
        <w:rPr>
          <w:rFonts w:ascii="Arial" w:hAnsi="Arial" w:cs="Arial"/>
          <w:sz w:val="24"/>
          <w:szCs w:val="24"/>
        </w:rPr>
        <w:t xml:space="preserve"> jako důvod k vyjmutí kanyly</w:t>
      </w:r>
      <w:r w:rsidRPr="00135AF3">
        <w:rPr>
          <w:rFonts w:ascii="Arial" w:hAnsi="Arial" w:cs="Arial"/>
          <w:sz w:val="24"/>
          <w:szCs w:val="24"/>
        </w:rPr>
        <w:t xml:space="preserve"> se vyskytují </w:t>
      </w:r>
      <w:r w:rsidR="00010214" w:rsidRPr="00135AF3">
        <w:rPr>
          <w:rFonts w:ascii="Arial" w:hAnsi="Arial" w:cs="Arial"/>
          <w:sz w:val="24"/>
          <w:szCs w:val="24"/>
        </w:rPr>
        <w:t>v podobném počtu jako v minulém období</w:t>
      </w:r>
      <w:r w:rsidR="0041678E" w:rsidRPr="00135AF3">
        <w:rPr>
          <w:rFonts w:ascii="Arial" w:hAnsi="Arial" w:cs="Arial"/>
          <w:sz w:val="24"/>
          <w:szCs w:val="24"/>
        </w:rPr>
        <w:t xml:space="preserve">. </w:t>
      </w:r>
    </w:p>
    <w:p w:rsidR="006831B4" w:rsidRPr="00135AF3" w:rsidRDefault="006831B4" w:rsidP="00157E94">
      <w:pPr>
        <w:pStyle w:val="Bezmezer"/>
        <w:spacing w:line="276" w:lineRule="auto"/>
        <w:ind w:right="-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30D17" w:rsidRPr="00135AF3" w:rsidRDefault="00936F21" w:rsidP="00835DF3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Komplikace jako důvod vyjmutí PŽK:</w:t>
      </w:r>
    </w:p>
    <w:p w:rsidR="001D7685" w:rsidRPr="00135AF3" w:rsidRDefault="001D7685" w:rsidP="00835DF3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98"/>
        <w:gridCol w:w="1275"/>
        <w:gridCol w:w="709"/>
        <w:gridCol w:w="1596"/>
        <w:gridCol w:w="672"/>
        <w:gridCol w:w="996"/>
        <w:gridCol w:w="705"/>
        <w:gridCol w:w="1134"/>
        <w:gridCol w:w="709"/>
        <w:gridCol w:w="850"/>
      </w:tblGrid>
      <w:tr w:rsidR="006831B4" w:rsidRPr="006831B4" w:rsidTr="006831B4">
        <w:trPr>
          <w:trHeight w:val="8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komplikace 1.st-para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neprůchodnost kanyly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zalomení kanyly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vytažení kanyly pacientem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B4" w:rsidRPr="006831B4" w:rsidRDefault="006831B4" w:rsidP="0068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celkem kanyl</w:t>
            </w:r>
          </w:p>
        </w:tc>
      </w:tr>
      <w:tr w:rsidR="006831B4" w:rsidRPr="006831B4" w:rsidTr="006831B4">
        <w:trPr>
          <w:trHeight w:val="3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2641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6,8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6659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853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38798</w:t>
            </w:r>
          </w:p>
        </w:tc>
      </w:tr>
      <w:tr w:rsidR="006831B4" w:rsidRPr="006831B4" w:rsidTr="006831B4">
        <w:trPr>
          <w:trHeight w:val="3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4,6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7498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835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39814</w:t>
            </w:r>
          </w:p>
        </w:tc>
      </w:tr>
      <w:tr w:rsidR="006831B4" w:rsidRPr="006831B4" w:rsidTr="006831B4">
        <w:trPr>
          <w:trHeight w:val="3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 pol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5,3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4283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416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B4" w:rsidRPr="006831B4" w:rsidRDefault="006831B4" w:rsidP="00683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31B4">
              <w:rPr>
                <w:rFonts w:ascii="Calibri" w:eastAsia="Times New Roman" w:hAnsi="Calibri" w:cs="Times New Roman"/>
                <w:b/>
                <w:bCs/>
                <w:color w:val="000000"/>
              </w:rPr>
              <w:t>22542</w:t>
            </w:r>
          </w:p>
        </w:tc>
      </w:tr>
    </w:tbl>
    <w:p w:rsidR="006831B4" w:rsidRDefault="006831B4" w:rsidP="00835DF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11" w:rsidRDefault="00436B11" w:rsidP="00835DF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B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2353310"/>
            <wp:effectExtent l="19050" t="0" r="19050" b="889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6F21" w:rsidRDefault="00936F21" w:rsidP="00116EA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214" w:rsidRDefault="00010214" w:rsidP="00116EA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214" w:rsidRPr="00135AF3" w:rsidRDefault="0093772F" w:rsidP="00116EA1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Komplikace PŽK</w:t>
      </w:r>
      <w:r w:rsidR="002907C6" w:rsidRPr="00135AF3">
        <w:rPr>
          <w:rFonts w:ascii="Arial" w:hAnsi="Arial" w:cs="Arial"/>
          <w:sz w:val="24"/>
          <w:szCs w:val="24"/>
        </w:rPr>
        <w:t xml:space="preserve"> 1.</w:t>
      </w:r>
      <w:r w:rsidR="003F5B95" w:rsidRPr="00135AF3">
        <w:rPr>
          <w:rFonts w:ascii="Arial" w:hAnsi="Arial" w:cs="Arial"/>
          <w:sz w:val="24"/>
          <w:szCs w:val="24"/>
        </w:rPr>
        <w:t xml:space="preserve"> </w:t>
      </w:r>
      <w:r w:rsidR="002907C6" w:rsidRPr="00135AF3">
        <w:rPr>
          <w:rFonts w:ascii="Arial" w:hAnsi="Arial" w:cs="Arial"/>
          <w:sz w:val="24"/>
          <w:szCs w:val="24"/>
        </w:rPr>
        <w:t>st. - PARA</w:t>
      </w:r>
      <w:r w:rsidRPr="00135AF3">
        <w:rPr>
          <w:rFonts w:ascii="Arial" w:hAnsi="Arial" w:cs="Arial"/>
          <w:sz w:val="24"/>
          <w:szCs w:val="24"/>
        </w:rPr>
        <w:t>:</w:t>
      </w:r>
      <w:r w:rsidR="00116EA1" w:rsidRPr="00135AF3">
        <w:rPr>
          <w:rFonts w:ascii="Arial" w:hAnsi="Arial" w:cs="Arial"/>
          <w:sz w:val="24"/>
          <w:szCs w:val="24"/>
        </w:rPr>
        <w:t xml:space="preserve"> </w:t>
      </w:r>
    </w:p>
    <w:p w:rsidR="001D7685" w:rsidRDefault="001D7685" w:rsidP="00116EA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8"/>
        <w:gridCol w:w="965"/>
        <w:gridCol w:w="907"/>
        <w:gridCol w:w="709"/>
        <w:gridCol w:w="709"/>
        <w:gridCol w:w="709"/>
        <w:gridCol w:w="708"/>
        <w:gridCol w:w="709"/>
        <w:gridCol w:w="696"/>
        <w:gridCol w:w="752"/>
        <w:gridCol w:w="692"/>
        <w:gridCol w:w="623"/>
      </w:tblGrid>
      <w:tr w:rsidR="00010214" w:rsidRPr="00010214" w:rsidTr="00135AF3">
        <w:trPr>
          <w:trHeight w:val="5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14" w:rsidRPr="00010214" w:rsidRDefault="00010214" w:rsidP="00CB7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CB73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="00CB73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v. stupů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Maddon st.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14" w:rsidRPr="00010214" w:rsidRDefault="00010214" w:rsidP="00135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10214" w:rsidRPr="00010214" w:rsidTr="00010214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1,40</w:t>
            </w:r>
          </w:p>
        </w:tc>
      </w:tr>
      <w:tr w:rsidR="00010214" w:rsidRPr="00010214" w:rsidTr="00010214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1,87</w:t>
            </w:r>
          </w:p>
        </w:tc>
      </w:tr>
      <w:tr w:rsidR="00010214" w:rsidRPr="00010214" w:rsidTr="00010214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 pol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14" w:rsidRPr="00010214" w:rsidRDefault="00010214" w:rsidP="00010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0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2,30</w:t>
            </w:r>
          </w:p>
        </w:tc>
      </w:tr>
    </w:tbl>
    <w:p w:rsidR="00010214" w:rsidRDefault="00010214" w:rsidP="0093772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D17" w:rsidRDefault="00430D17" w:rsidP="0093772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D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2625" cy="2371725"/>
            <wp:effectExtent l="19050" t="0" r="9525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7172" w:rsidRDefault="001A7172" w:rsidP="0093772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DF3" w:rsidRPr="00135AF3" w:rsidRDefault="0093772F" w:rsidP="00135AF3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35AF3">
        <w:rPr>
          <w:rFonts w:ascii="Arial" w:hAnsi="Arial" w:cs="Arial"/>
          <w:sz w:val="24"/>
          <w:szCs w:val="24"/>
          <w:u w:val="single"/>
        </w:rPr>
        <w:t>Rozbor</w:t>
      </w:r>
      <w:r w:rsidR="00135AF3">
        <w:rPr>
          <w:rFonts w:ascii="Arial" w:hAnsi="Arial" w:cs="Arial"/>
          <w:sz w:val="24"/>
          <w:szCs w:val="24"/>
          <w:u w:val="single"/>
        </w:rPr>
        <w:t xml:space="preserve"> dle</w:t>
      </w:r>
      <w:r w:rsidRPr="00135AF3">
        <w:rPr>
          <w:rFonts w:ascii="Arial" w:hAnsi="Arial" w:cs="Arial"/>
          <w:sz w:val="24"/>
          <w:szCs w:val="24"/>
          <w:u w:val="single"/>
        </w:rPr>
        <w:t xml:space="preserve"> klinik</w:t>
      </w:r>
    </w:p>
    <w:p w:rsidR="003C431C" w:rsidRDefault="0093772F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5AF3">
        <w:rPr>
          <w:rFonts w:ascii="Arial" w:hAnsi="Arial" w:cs="Arial"/>
          <w:bCs/>
          <w:sz w:val="24"/>
          <w:szCs w:val="24"/>
        </w:rPr>
        <w:t xml:space="preserve">Důvod vyjmutí  PŽK </w:t>
      </w:r>
      <w:r w:rsidR="00430D17" w:rsidRPr="00135AF3">
        <w:rPr>
          <w:rFonts w:ascii="Arial" w:hAnsi="Arial" w:cs="Arial"/>
          <w:bCs/>
          <w:sz w:val="24"/>
          <w:szCs w:val="24"/>
        </w:rPr>
        <w:t xml:space="preserve">v % </w:t>
      </w:r>
      <w:r w:rsidRPr="00135AF3">
        <w:rPr>
          <w:rFonts w:ascii="Arial" w:hAnsi="Arial" w:cs="Arial"/>
          <w:bCs/>
          <w:sz w:val="24"/>
          <w:szCs w:val="24"/>
        </w:rPr>
        <w:t xml:space="preserve">za </w:t>
      </w:r>
      <w:r w:rsidR="00430D17" w:rsidRPr="00135AF3">
        <w:rPr>
          <w:rFonts w:ascii="Arial" w:hAnsi="Arial" w:cs="Arial"/>
          <w:bCs/>
          <w:sz w:val="24"/>
          <w:szCs w:val="24"/>
        </w:rPr>
        <w:t>pololetí 2015 v porovnání s</w:t>
      </w:r>
      <w:r w:rsidRPr="00135AF3">
        <w:rPr>
          <w:rFonts w:ascii="Arial" w:hAnsi="Arial" w:cs="Arial"/>
          <w:bCs/>
          <w:sz w:val="24"/>
          <w:szCs w:val="24"/>
        </w:rPr>
        <w:t xml:space="preserve"> 201</w:t>
      </w:r>
      <w:r w:rsidR="001A7172" w:rsidRPr="00135AF3">
        <w:rPr>
          <w:rFonts w:ascii="Arial" w:hAnsi="Arial" w:cs="Arial"/>
          <w:bCs/>
          <w:sz w:val="24"/>
          <w:szCs w:val="24"/>
        </w:rPr>
        <w:t>4</w:t>
      </w:r>
      <w:r w:rsidRPr="00135AF3">
        <w:rPr>
          <w:rFonts w:ascii="Arial" w:hAnsi="Arial" w:cs="Arial"/>
          <w:bCs/>
          <w:sz w:val="24"/>
          <w:szCs w:val="24"/>
        </w:rPr>
        <w:t>:</w:t>
      </w:r>
      <w:r w:rsidR="00E103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D17" w:rsidRPr="00430D17">
        <w:rPr>
          <w:noProof/>
          <w:szCs w:val="24"/>
        </w:rPr>
        <w:drawing>
          <wp:inline distT="0" distB="0" distL="0" distR="0">
            <wp:extent cx="5760720" cy="5490550"/>
            <wp:effectExtent l="1905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17" w:rsidRPr="0066777D" w:rsidRDefault="00CB22E6" w:rsidP="0093772F">
      <w:pPr>
        <w:pStyle w:val="Bezmezer"/>
        <w:spacing w:line="360" w:lineRule="auto"/>
        <w:rPr>
          <w:rFonts w:ascii="Arial" w:hAnsi="Arial" w:cs="Arial"/>
          <w:bCs/>
          <w:sz w:val="24"/>
          <w:szCs w:val="24"/>
        </w:rPr>
      </w:pPr>
      <w:r w:rsidRPr="0066777D">
        <w:rPr>
          <w:rFonts w:ascii="Arial" w:hAnsi="Arial" w:cs="Arial"/>
          <w:sz w:val="24"/>
          <w:szCs w:val="24"/>
        </w:rPr>
        <w:lastRenderedPageBreak/>
        <w:t xml:space="preserve">Komplikace PŽK 1. st. - PARA </w:t>
      </w:r>
      <w:r w:rsidR="00430D17" w:rsidRPr="0066777D">
        <w:rPr>
          <w:rFonts w:ascii="Arial" w:hAnsi="Arial" w:cs="Arial"/>
          <w:bCs/>
          <w:sz w:val="24"/>
          <w:szCs w:val="24"/>
        </w:rPr>
        <w:t xml:space="preserve">v % za </w:t>
      </w:r>
      <w:r w:rsidR="00135AF3" w:rsidRPr="0066777D">
        <w:rPr>
          <w:rFonts w:ascii="Arial" w:hAnsi="Arial" w:cs="Arial"/>
          <w:bCs/>
          <w:sz w:val="24"/>
          <w:szCs w:val="24"/>
        </w:rPr>
        <w:t xml:space="preserve">1. </w:t>
      </w:r>
      <w:r w:rsidR="00430D17" w:rsidRPr="0066777D">
        <w:rPr>
          <w:rFonts w:ascii="Arial" w:hAnsi="Arial" w:cs="Arial"/>
          <w:bCs/>
          <w:sz w:val="24"/>
          <w:szCs w:val="24"/>
        </w:rPr>
        <w:t xml:space="preserve">pololetí 2015 v porovnání s 2014: </w:t>
      </w:r>
    </w:p>
    <w:p w:rsidR="00430D17" w:rsidRDefault="00430D17" w:rsidP="0093772F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30D17">
        <w:rPr>
          <w:noProof/>
          <w:szCs w:val="24"/>
        </w:rPr>
        <w:drawing>
          <wp:inline distT="0" distB="0" distL="0" distR="0">
            <wp:extent cx="5760720" cy="5910836"/>
            <wp:effectExtent l="19050" t="0" r="0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CD5" w:rsidRDefault="00326CD5" w:rsidP="0093772F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431C" w:rsidRDefault="003C431C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1727" w:rsidRDefault="004F1727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431C" w:rsidRDefault="003C431C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431C" w:rsidRDefault="003C431C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7685" w:rsidRDefault="001D7685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7685" w:rsidRDefault="001D7685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35AF3" w:rsidRDefault="00135AF3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7685" w:rsidRDefault="001D7685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7685" w:rsidRDefault="001D7685" w:rsidP="0093772F">
      <w:pPr>
        <w:pStyle w:val="Bezmezer"/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72F" w:rsidRPr="00135AF3" w:rsidRDefault="0093772F" w:rsidP="00135AF3">
      <w:pPr>
        <w:pStyle w:val="Bezmezer"/>
        <w:spacing w:line="360" w:lineRule="auto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 w:rsidRPr="00135AF3">
        <w:rPr>
          <w:rFonts w:ascii="Arial" w:hAnsi="Arial" w:cs="Arial"/>
          <w:sz w:val="24"/>
          <w:szCs w:val="24"/>
          <w:u w:val="single"/>
        </w:rPr>
        <w:lastRenderedPageBreak/>
        <w:t xml:space="preserve">Vývoj sledování I. V. vstupů – </w:t>
      </w:r>
      <w:r w:rsidRPr="00135AF3">
        <w:rPr>
          <w:rFonts w:ascii="Arial" w:hAnsi="Arial" w:cs="Arial"/>
          <w:b/>
          <w:sz w:val="24"/>
          <w:szCs w:val="24"/>
          <w:u w:val="single"/>
        </w:rPr>
        <w:t>CŽK</w:t>
      </w:r>
      <w:r w:rsidRPr="00135AF3">
        <w:rPr>
          <w:rFonts w:ascii="Arial" w:hAnsi="Arial" w:cs="Arial"/>
          <w:sz w:val="24"/>
          <w:szCs w:val="24"/>
          <w:u w:val="single"/>
        </w:rPr>
        <w:t xml:space="preserve"> za období 201</w:t>
      </w:r>
      <w:r w:rsidR="00C03FA7" w:rsidRPr="00135AF3">
        <w:rPr>
          <w:rFonts w:ascii="Arial" w:hAnsi="Arial" w:cs="Arial"/>
          <w:sz w:val="24"/>
          <w:szCs w:val="24"/>
          <w:u w:val="single"/>
        </w:rPr>
        <w:t>3</w:t>
      </w:r>
      <w:r w:rsidRPr="00135AF3">
        <w:rPr>
          <w:rFonts w:ascii="Arial" w:hAnsi="Arial" w:cs="Arial"/>
          <w:sz w:val="24"/>
          <w:szCs w:val="24"/>
          <w:u w:val="single"/>
        </w:rPr>
        <w:t xml:space="preserve"> – 201</w:t>
      </w:r>
      <w:r w:rsidR="00C03FA7" w:rsidRPr="00135AF3">
        <w:rPr>
          <w:rFonts w:ascii="Arial" w:hAnsi="Arial" w:cs="Arial"/>
          <w:sz w:val="24"/>
          <w:szCs w:val="24"/>
          <w:u w:val="single"/>
        </w:rPr>
        <w:t xml:space="preserve">5 </w:t>
      </w:r>
      <w:r w:rsidR="00135AF3">
        <w:rPr>
          <w:rFonts w:ascii="Arial" w:hAnsi="Arial" w:cs="Arial"/>
          <w:sz w:val="24"/>
          <w:szCs w:val="24"/>
          <w:u w:val="single"/>
        </w:rPr>
        <w:t xml:space="preserve">(1. </w:t>
      </w:r>
      <w:r w:rsidR="00C03FA7" w:rsidRPr="00135AF3">
        <w:rPr>
          <w:rFonts w:ascii="Arial" w:hAnsi="Arial" w:cs="Arial"/>
          <w:sz w:val="24"/>
          <w:szCs w:val="24"/>
          <w:u w:val="single"/>
        </w:rPr>
        <w:t>pol</w:t>
      </w:r>
      <w:r w:rsidR="00135AF3">
        <w:rPr>
          <w:rFonts w:ascii="Arial" w:hAnsi="Arial" w:cs="Arial"/>
          <w:sz w:val="24"/>
          <w:szCs w:val="24"/>
          <w:u w:val="single"/>
        </w:rPr>
        <w:t>oletí)</w:t>
      </w:r>
    </w:p>
    <w:p w:rsidR="00BF3D6F" w:rsidRPr="00135AF3" w:rsidRDefault="00BF3D6F" w:rsidP="00BF3D6F">
      <w:pPr>
        <w:pStyle w:val="Bezmezer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93772F" w:rsidRPr="00135AF3" w:rsidRDefault="0093772F" w:rsidP="00835DF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 xml:space="preserve">Počet zavedených centrálních žilních kanyl </w:t>
      </w:r>
      <w:r w:rsidR="00A87847" w:rsidRPr="00135AF3">
        <w:rPr>
          <w:rFonts w:ascii="Arial" w:hAnsi="Arial" w:cs="Arial"/>
          <w:sz w:val="24"/>
          <w:szCs w:val="24"/>
        </w:rPr>
        <w:t xml:space="preserve">je </w:t>
      </w:r>
      <w:r w:rsidRPr="00135AF3">
        <w:rPr>
          <w:rFonts w:ascii="Arial" w:hAnsi="Arial" w:cs="Arial"/>
          <w:sz w:val="24"/>
          <w:szCs w:val="24"/>
        </w:rPr>
        <w:t>vyšší</w:t>
      </w:r>
      <w:r w:rsidR="00A87847" w:rsidRPr="00135AF3">
        <w:rPr>
          <w:rFonts w:ascii="Arial" w:hAnsi="Arial" w:cs="Arial"/>
          <w:sz w:val="24"/>
          <w:szCs w:val="24"/>
        </w:rPr>
        <w:t xml:space="preserve">, </w:t>
      </w:r>
      <w:r w:rsidRPr="00135AF3">
        <w:rPr>
          <w:rFonts w:ascii="Arial" w:hAnsi="Arial" w:cs="Arial"/>
          <w:sz w:val="24"/>
          <w:szCs w:val="24"/>
        </w:rPr>
        <w:t>procentuálně</w:t>
      </w:r>
      <w:r w:rsidR="005F3E21" w:rsidRPr="00135AF3">
        <w:rPr>
          <w:rFonts w:ascii="Arial" w:hAnsi="Arial" w:cs="Arial"/>
          <w:sz w:val="24"/>
          <w:szCs w:val="24"/>
        </w:rPr>
        <w:t xml:space="preserve"> </w:t>
      </w:r>
      <w:r w:rsidRPr="00135AF3">
        <w:rPr>
          <w:rFonts w:ascii="Arial" w:hAnsi="Arial" w:cs="Arial"/>
          <w:sz w:val="24"/>
          <w:szCs w:val="24"/>
        </w:rPr>
        <w:t>na počet hospitalizovaných pacien</w:t>
      </w:r>
      <w:r w:rsidR="004959B9" w:rsidRPr="00135AF3">
        <w:rPr>
          <w:rFonts w:ascii="Arial" w:hAnsi="Arial" w:cs="Arial"/>
          <w:sz w:val="24"/>
          <w:szCs w:val="24"/>
        </w:rPr>
        <w:t>t</w:t>
      </w:r>
      <w:r w:rsidRPr="00135AF3">
        <w:rPr>
          <w:rFonts w:ascii="Arial" w:hAnsi="Arial" w:cs="Arial"/>
          <w:sz w:val="24"/>
          <w:szCs w:val="24"/>
        </w:rPr>
        <w:t>ů</w:t>
      </w:r>
      <w:r w:rsidR="00684126" w:rsidRPr="00135AF3">
        <w:rPr>
          <w:rFonts w:ascii="Arial" w:hAnsi="Arial" w:cs="Arial"/>
          <w:sz w:val="24"/>
          <w:szCs w:val="24"/>
        </w:rPr>
        <w:t xml:space="preserve"> </w:t>
      </w:r>
      <w:r w:rsidR="00A87847" w:rsidRPr="00135AF3">
        <w:rPr>
          <w:rFonts w:ascii="Arial" w:hAnsi="Arial" w:cs="Arial"/>
          <w:sz w:val="24"/>
          <w:szCs w:val="24"/>
        </w:rPr>
        <w:t>je nižší</w:t>
      </w:r>
      <w:r w:rsidRPr="00135AF3">
        <w:rPr>
          <w:rFonts w:ascii="Arial" w:hAnsi="Arial" w:cs="Arial"/>
          <w:sz w:val="24"/>
          <w:szCs w:val="24"/>
        </w:rPr>
        <w:t xml:space="preserve"> (</w:t>
      </w:r>
      <w:r w:rsidR="004959B9" w:rsidRPr="00135AF3">
        <w:rPr>
          <w:rFonts w:ascii="Arial" w:hAnsi="Arial" w:cs="Arial"/>
          <w:sz w:val="24"/>
          <w:szCs w:val="24"/>
        </w:rPr>
        <w:t xml:space="preserve">2014: </w:t>
      </w:r>
      <w:r w:rsidR="00684126" w:rsidRPr="00135AF3">
        <w:rPr>
          <w:rFonts w:ascii="Arial" w:hAnsi="Arial" w:cs="Arial"/>
          <w:sz w:val="24"/>
          <w:szCs w:val="24"/>
        </w:rPr>
        <w:t xml:space="preserve">5,57 </w:t>
      </w:r>
      <w:r w:rsidR="004959B9" w:rsidRPr="00135AF3">
        <w:rPr>
          <w:rFonts w:ascii="Arial" w:hAnsi="Arial" w:cs="Arial"/>
          <w:sz w:val="24"/>
          <w:szCs w:val="24"/>
        </w:rPr>
        <w:t>%</w:t>
      </w:r>
      <w:r w:rsidR="00A87847" w:rsidRPr="00135AF3">
        <w:rPr>
          <w:rFonts w:ascii="Arial" w:hAnsi="Arial" w:cs="Arial"/>
          <w:sz w:val="24"/>
          <w:szCs w:val="24"/>
        </w:rPr>
        <w:t>; 2015: 5,42</w:t>
      </w:r>
      <w:r w:rsidR="00181D1C" w:rsidRPr="00135AF3">
        <w:rPr>
          <w:rFonts w:ascii="Arial" w:hAnsi="Arial" w:cs="Arial"/>
          <w:sz w:val="24"/>
          <w:szCs w:val="24"/>
        </w:rPr>
        <w:t xml:space="preserve"> %).</w:t>
      </w:r>
    </w:p>
    <w:p w:rsidR="0093772F" w:rsidRPr="00135AF3" w:rsidRDefault="0093772F" w:rsidP="00835DF3">
      <w:pPr>
        <w:pStyle w:val="Bezmezer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84126" w:rsidRPr="00135AF3" w:rsidRDefault="0093772F" w:rsidP="00835DF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 xml:space="preserve">Vývoj výsledků sledování CŽK je v porovnání s předchozími roky </w:t>
      </w:r>
      <w:r w:rsidR="00684126" w:rsidRPr="00135AF3">
        <w:rPr>
          <w:rFonts w:ascii="Arial" w:hAnsi="Arial" w:cs="Arial"/>
          <w:sz w:val="24"/>
          <w:szCs w:val="24"/>
        </w:rPr>
        <w:t>na podobné úrovni</w:t>
      </w:r>
      <w:r w:rsidR="00A87847" w:rsidRPr="00135AF3">
        <w:rPr>
          <w:rFonts w:ascii="Arial" w:hAnsi="Arial" w:cs="Arial"/>
          <w:sz w:val="24"/>
          <w:szCs w:val="24"/>
        </w:rPr>
        <w:t>.</w:t>
      </w:r>
    </w:p>
    <w:p w:rsidR="00BF3D6F" w:rsidRPr="00135AF3" w:rsidRDefault="00BF3D6F" w:rsidP="00835DF3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3FA7" w:rsidRPr="00135AF3" w:rsidRDefault="0093772F" w:rsidP="00835DF3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 xml:space="preserve">Komplikace CŽK (v % na počet zavedených kanyl): </w:t>
      </w:r>
    </w:p>
    <w:p w:rsidR="001D7685" w:rsidRDefault="001D7685" w:rsidP="00835DF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72F" w:rsidRDefault="00822EFA" w:rsidP="0093772F">
      <w:pPr>
        <w:pStyle w:val="Bezmezer"/>
        <w:spacing w:line="360" w:lineRule="auto"/>
        <w:rPr>
          <w:rFonts w:ascii="Arial" w:hAnsi="Arial" w:cs="Arial"/>
        </w:rPr>
      </w:pPr>
      <w:r w:rsidRPr="00822EFA">
        <w:rPr>
          <w:noProof/>
        </w:rPr>
        <w:drawing>
          <wp:inline distT="0" distB="0" distL="0" distR="0">
            <wp:extent cx="4238625" cy="1114425"/>
            <wp:effectExtent l="19050" t="0" r="952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2F" w:rsidRDefault="0093772F" w:rsidP="0093772F">
      <w:pPr>
        <w:pStyle w:val="Bezmezer"/>
        <w:spacing w:line="360" w:lineRule="auto"/>
        <w:rPr>
          <w:rFonts w:ascii="Arial" w:hAnsi="Arial" w:cs="Arial"/>
        </w:rPr>
      </w:pPr>
    </w:p>
    <w:p w:rsidR="0093772F" w:rsidRDefault="00822EFA" w:rsidP="0093772F">
      <w:pPr>
        <w:pStyle w:val="Bezmezer"/>
        <w:spacing w:line="360" w:lineRule="auto"/>
        <w:rPr>
          <w:rFonts w:ascii="Arial" w:hAnsi="Arial" w:cs="Arial"/>
        </w:rPr>
      </w:pPr>
      <w:r w:rsidRPr="00822EFA">
        <w:rPr>
          <w:rFonts w:ascii="Arial" w:hAnsi="Arial" w:cs="Arial"/>
          <w:noProof/>
        </w:rPr>
        <w:drawing>
          <wp:inline distT="0" distB="0" distL="0" distR="0">
            <wp:extent cx="5760720" cy="2544737"/>
            <wp:effectExtent l="19050" t="0" r="11430" b="7963"/>
            <wp:docPr id="10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431C" w:rsidRDefault="003C431C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1D7685" w:rsidRDefault="001D7685" w:rsidP="0093772F">
      <w:pPr>
        <w:pStyle w:val="Bezmezer"/>
        <w:spacing w:line="360" w:lineRule="auto"/>
        <w:rPr>
          <w:rFonts w:ascii="Arial" w:hAnsi="Arial" w:cs="Arial"/>
        </w:rPr>
      </w:pPr>
    </w:p>
    <w:p w:rsidR="00A87847" w:rsidRPr="00135AF3" w:rsidRDefault="0093772F" w:rsidP="00135AF3">
      <w:pPr>
        <w:pStyle w:val="Bezmezer"/>
        <w:spacing w:line="360" w:lineRule="auto"/>
        <w:jc w:val="center"/>
        <w:rPr>
          <w:rFonts w:ascii="Arial" w:hAnsi="Arial" w:cs="Arial"/>
          <w:szCs w:val="18"/>
          <w:u w:val="single"/>
        </w:rPr>
      </w:pPr>
      <w:r w:rsidRPr="00135AF3">
        <w:rPr>
          <w:rFonts w:ascii="Arial" w:hAnsi="Arial" w:cs="Arial"/>
          <w:sz w:val="24"/>
          <w:szCs w:val="24"/>
          <w:u w:val="single"/>
        </w:rPr>
        <w:t xml:space="preserve">Rozbor </w:t>
      </w:r>
      <w:r w:rsidR="00135AF3">
        <w:rPr>
          <w:rFonts w:ascii="Arial" w:hAnsi="Arial" w:cs="Arial"/>
          <w:sz w:val="24"/>
          <w:szCs w:val="24"/>
          <w:u w:val="single"/>
        </w:rPr>
        <w:t xml:space="preserve">dle </w:t>
      </w:r>
      <w:r w:rsidRPr="00135AF3">
        <w:rPr>
          <w:rFonts w:ascii="Arial" w:hAnsi="Arial" w:cs="Arial"/>
          <w:sz w:val="24"/>
          <w:szCs w:val="24"/>
          <w:u w:val="single"/>
        </w:rPr>
        <w:t>klinik</w:t>
      </w:r>
      <w:r w:rsidR="003F5B95" w:rsidRPr="00135AF3">
        <w:rPr>
          <w:rFonts w:ascii="Arial" w:hAnsi="Arial" w:cs="Arial"/>
          <w:sz w:val="24"/>
          <w:szCs w:val="24"/>
          <w:u w:val="single"/>
        </w:rPr>
        <w:t xml:space="preserve"> </w:t>
      </w:r>
      <w:r w:rsidR="00A87847" w:rsidRPr="00135AF3">
        <w:rPr>
          <w:rFonts w:ascii="Arial" w:hAnsi="Arial" w:cs="Arial"/>
          <w:bCs/>
          <w:sz w:val="24"/>
          <w:szCs w:val="24"/>
          <w:u w:val="single"/>
        </w:rPr>
        <w:t xml:space="preserve">za </w:t>
      </w:r>
      <w:r w:rsidR="00135AF3">
        <w:rPr>
          <w:rFonts w:ascii="Arial" w:hAnsi="Arial" w:cs="Arial"/>
          <w:bCs/>
          <w:sz w:val="24"/>
          <w:szCs w:val="24"/>
          <w:u w:val="single"/>
        </w:rPr>
        <w:t xml:space="preserve">1. </w:t>
      </w:r>
      <w:r w:rsidR="00A87847" w:rsidRPr="00135AF3">
        <w:rPr>
          <w:rFonts w:ascii="Arial" w:hAnsi="Arial" w:cs="Arial"/>
          <w:bCs/>
          <w:sz w:val="24"/>
          <w:szCs w:val="24"/>
          <w:u w:val="single"/>
        </w:rPr>
        <w:t>pololetí 2015 v porovnání s 2014:</w:t>
      </w:r>
    </w:p>
    <w:p w:rsidR="001D7685" w:rsidRPr="00A87847" w:rsidRDefault="001D7685" w:rsidP="001D7685">
      <w:pPr>
        <w:pStyle w:val="Bezmezer"/>
        <w:spacing w:line="360" w:lineRule="auto"/>
        <w:ind w:left="720"/>
        <w:rPr>
          <w:szCs w:val="18"/>
        </w:rPr>
      </w:pPr>
    </w:p>
    <w:p w:rsidR="0093772F" w:rsidRPr="00A87847" w:rsidRDefault="00A87847" w:rsidP="00A87847">
      <w:pPr>
        <w:pStyle w:val="Bezmezer"/>
        <w:spacing w:line="360" w:lineRule="auto"/>
        <w:rPr>
          <w:szCs w:val="18"/>
        </w:rPr>
      </w:pPr>
      <w:r w:rsidRPr="00A87847">
        <w:rPr>
          <w:noProof/>
          <w:szCs w:val="18"/>
        </w:rPr>
        <w:drawing>
          <wp:inline distT="0" distB="0" distL="0" distR="0">
            <wp:extent cx="5724525" cy="5410200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157E94" w:rsidRDefault="00157E94" w:rsidP="006829CF">
      <w:pPr>
        <w:pStyle w:val="Bezmezer"/>
        <w:rPr>
          <w:rFonts w:ascii="Arial" w:hAnsi="Arial" w:cs="Arial"/>
          <w:sz w:val="24"/>
          <w:szCs w:val="24"/>
        </w:rPr>
      </w:pPr>
    </w:p>
    <w:p w:rsidR="003840E7" w:rsidRPr="00135AF3" w:rsidRDefault="00135AF3" w:rsidP="006829CF">
      <w:pPr>
        <w:pStyle w:val="Bezmezer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Datum:</w:t>
      </w:r>
      <w:r w:rsidR="00157E94">
        <w:rPr>
          <w:rFonts w:ascii="Arial" w:hAnsi="Arial" w:cs="Arial"/>
          <w:sz w:val="24"/>
          <w:szCs w:val="24"/>
        </w:rPr>
        <w:t xml:space="preserve"> 27. 8. 2015</w:t>
      </w:r>
    </w:p>
    <w:p w:rsidR="00135AF3" w:rsidRDefault="00135AF3" w:rsidP="006829CF">
      <w:pPr>
        <w:pStyle w:val="Bezmezer"/>
        <w:rPr>
          <w:rFonts w:ascii="Arial" w:hAnsi="Arial" w:cs="Arial"/>
          <w:sz w:val="24"/>
          <w:szCs w:val="24"/>
        </w:rPr>
      </w:pPr>
    </w:p>
    <w:p w:rsidR="00135AF3" w:rsidRPr="00135AF3" w:rsidRDefault="00135AF3" w:rsidP="006829CF">
      <w:pPr>
        <w:pStyle w:val="Bezmezer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Zpracovala:</w:t>
      </w:r>
      <w:r w:rsidR="00157E94">
        <w:rPr>
          <w:rFonts w:ascii="Arial" w:hAnsi="Arial" w:cs="Arial"/>
          <w:sz w:val="24"/>
          <w:szCs w:val="24"/>
        </w:rPr>
        <w:t xml:space="preserve"> Mgr. Světluše Fišarová, vedoucí ON</w:t>
      </w:r>
      <w:r w:rsidR="002A5156">
        <w:rPr>
          <w:rFonts w:ascii="Arial" w:hAnsi="Arial" w:cs="Arial"/>
          <w:sz w:val="24"/>
          <w:szCs w:val="24"/>
        </w:rPr>
        <w:t>P</w:t>
      </w:r>
    </w:p>
    <w:sectPr w:rsidR="00135AF3" w:rsidRPr="00135AF3" w:rsidSect="00157E9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D53"/>
    <w:multiLevelType w:val="hybridMultilevel"/>
    <w:tmpl w:val="22E8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51BC"/>
    <w:multiLevelType w:val="hybridMultilevel"/>
    <w:tmpl w:val="DB14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F544A"/>
    <w:multiLevelType w:val="hybridMultilevel"/>
    <w:tmpl w:val="66426C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113DC7"/>
    <w:multiLevelType w:val="hybridMultilevel"/>
    <w:tmpl w:val="7DCC6774"/>
    <w:lvl w:ilvl="0" w:tplc="6B840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63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4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4F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C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88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B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8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42D8"/>
    <w:rsid w:val="0000253F"/>
    <w:rsid w:val="00010214"/>
    <w:rsid w:val="000236B2"/>
    <w:rsid w:val="0003281C"/>
    <w:rsid w:val="00033070"/>
    <w:rsid w:val="00042DFC"/>
    <w:rsid w:val="00046549"/>
    <w:rsid w:val="00076EC4"/>
    <w:rsid w:val="000A7F83"/>
    <w:rsid w:val="000B151E"/>
    <w:rsid w:val="000B60DD"/>
    <w:rsid w:val="000F48CA"/>
    <w:rsid w:val="00116EA1"/>
    <w:rsid w:val="00135AF3"/>
    <w:rsid w:val="00157E94"/>
    <w:rsid w:val="00181D1C"/>
    <w:rsid w:val="00181E2D"/>
    <w:rsid w:val="001A64AC"/>
    <w:rsid w:val="001A7172"/>
    <w:rsid w:val="001C51A4"/>
    <w:rsid w:val="001D7685"/>
    <w:rsid w:val="00207FA8"/>
    <w:rsid w:val="00227DB9"/>
    <w:rsid w:val="002505AC"/>
    <w:rsid w:val="00251CBE"/>
    <w:rsid w:val="00253312"/>
    <w:rsid w:val="00274CC9"/>
    <w:rsid w:val="002907C6"/>
    <w:rsid w:val="002A36A5"/>
    <w:rsid w:val="002A5156"/>
    <w:rsid w:val="002B69B6"/>
    <w:rsid w:val="002C63B4"/>
    <w:rsid w:val="002E0300"/>
    <w:rsid w:val="003070C9"/>
    <w:rsid w:val="00326CD5"/>
    <w:rsid w:val="0035585D"/>
    <w:rsid w:val="00381195"/>
    <w:rsid w:val="003840E7"/>
    <w:rsid w:val="003C431C"/>
    <w:rsid w:val="003F5B95"/>
    <w:rsid w:val="00404BE5"/>
    <w:rsid w:val="0041678E"/>
    <w:rsid w:val="00430D17"/>
    <w:rsid w:val="0043353F"/>
    <w:rsid w:val="00436B11"/>
    <w:rsid w:val="004605ED"/>
    <w:rsid w:val="004959B9"/>
    <w:rsid w:val="004B2E8E"/>
    <w:rsid w:val="004F1727"/>
    <w:rsid w:val="004F5DD0"/>
    <w:rsid w:val="00526525"/>
    <w:rsid w:val="00586FD8"/>
    <w:rsid w:val="005B56E3"/>
    <w:rsid w:val="005C6D10"/>
    <w:rsid w:val="005F3E21"/>
    <w:rsid w:val="005F7BD9"/>
    <w:rsid w:val="006024C0"/>
    <w:rsid w:val="00613E7F"/>
    <w:rsid w:val="006402D7"/>
    <w:rsid w:val="006425DA"/>
    <w:rsid w:val="0066777D"/>
    <w:rsid w:val="006829CF"/>
    <w:rsid w:val="006831B4"/>
    <w:rsid w:val="00684126"/>
    <w:rsid w:val="006C69A5"/>
    <w:rsid w:val="006D2258"/>
    <w:rsid w:val="006D4AC1"/>
    <w:rsid w:val="007457A6"/>
    <w:rsid w:val="00756676"/>
    <w:rsid w:val="00756793"/>
    <w:rsid w:val="007617FE"/>
    <w:rsid w:val="008104DC"/>
    <w:rsid w:val="00821E36"/>
    <w:rsid w:val="00822EFA"/>
    <w:rsid w:val="008342DC"/>
    <w:rsid w:val="00835DF3"/>
    <w:rsid w:val="008A27CD"/>
    <w:rsid w:val="008F2224"/>
    <w:rsid w:val="00902106"/>
    <w:rsid w:val="009069B6"/>
    <w:rsid w:val="00936F21"/>
    <w:rsid w:val="0093772F"/>
    <w:rsid w:val="00955D7E"/>
    <w:rsid w:val="00961354"/>
    <w:rsid w:val="00986E66"/>
    <w:rsid w:val="009974B4"/>
    <w:rsid w:val="009E1765"/>
    <w:rsid w:val="009F6198"/>
    <w:rsid w:val="00A40160"/>
    <w:rsid w:val="00A65835"/>
    <w:rsid w:val="00A72055"/>
    <w:rsid w:val="00A87847"/>
    <w:rsid w:val="00AE1226"/>
    <w:rsid w:val="00AF2246"/>
    <w:rsid w:val="00B163D0"/>
    <w:rsid w:val="00B24FD2"/>
    <w:rsid w:val="00B330BF"/>
    <w:rsid w:val="00B44BA7"/>
    <w:rsid w:val="00BF3D6F"/>
    <w:rsid w:val="00C03FA7"/>
    <w:rsid w:val="00C42D96"/>
    <w:rsid w:val="00C60A22"/>
    <w:rsid w:val="00C72A25"/>
    <w:rsid w:val="00C7433A"/>
    <w:rsid w:val="00C95BBC"/>
    <w:rsid w:val="00CA32DB"/>
    <w:rsid w:val="00CA3F10"/>
    <w:rsid w:val="00CB22E6"/>
    <w:rsid w:val="00CB7393"/>
    <w:rsid w:val="00CC10BF"/>
    <w:rsid w:val="00CD039F"/>
    <w:rsid w:val="00D242D8"/>
    <w:rsid w:val="00D34F92"/>
    <w:rsid w:val="00D50462"/>
    <w:rsid w:val="00D54E20"/>
    <w:rsid w:val="00D62735"/>
    <w:rsid w:val="00D8538A"/>
    <w:rsid w:val="00E10308"/>
    <w:rsid w:val="00E32A7A"/>
    <w:rsid w:val="00F300EF"/>
    <w:rsid w:val="00F84438"/>
    <w:rsid w:val="00FE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9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6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D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4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9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6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D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4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4.emf"/><Relationship Id="rId5" Type="http://schemas.openxmlformats.org/officeDocument/2006/relationships/chart" Target="charts/chart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37254\Plocha\MOJE%20POVINNOSTI\INDIK&#193;TORY%20KVALITY\XXX%20IKVA%20-%20V&#221;STUPY%20N&#218;,%20I.V.,P&#193;DY,DEKU%202009%20-%202013%20(SAK)\XX%202015%201.%20pol%20IKVA\IV%201.pol.201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37254\Plocha\MOJE%20POVINNOSTI\INDIK&#193;TORY%20KVALITY\XXX%20IKVA%20-%20V&#221;STUPY%20N&#218;,%20I.V.,P&#193;DY,DEKU%202009%20-%202013%20(SAK)\XX%202015%201.%20pol%20IKVA\IV%201.pol.201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37254\Plocha\MOJE%20POVINNOSTI\INDIK&#193;TORY%20KVALITY\XXX%20IKVA%20-%20V&#221;STUPY%20N&#218;,%20I.V.,P&#193;DY,DEKU%202009%20-%202013%20(SAK)\XX%202015%201.%20pol%20IKVA\IV%201.pol.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7.1988407699037776E-2"/>
          <c:y val="0.17640055409740527"/>
          <c:w val="0.72308080638856664"/>
          <c:h val="0.7076195683872849"/>
        </c:manualLayout>
      </c:layout>
      <c:lineChart>
        <c:grouping val="standard"/>
        <c:ser>
          <c:idx val="0"/>
          <c:order val="0"/>
          <c:tx>
            <c:strRef>
              <c:f>PŽK!$A$31</c:f>
              <c:strCache>
                <c:ptCount val="1"/>
                <c:pt idx="0">
                  <c:v>komplikace celkem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333333333565E-2"/>
                  <c:y val="-4.1666666666666692E-2"/>
                </c:manualLayout>
              </c:layout>
              <c:showVal val="1"/>
            </c:dLbl>
            <c:dLbl>
              <c:idx val="1"/>
              <c:layout>
                <c:manualLayout>
                  <c:x val="-5.0000000000000107E-2"/>
                  <c:y val="-3.7037037037037167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PŽK!$B$30:$D$30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2015 pol</c:v>
                </c:pt>
              </c:strCache>
            </c:strRef>
          </c:cat>
          <c:val>
            <c:numRef>
              <c:f>PŽK!$B$31:$D$31</c:f>
              <c:numCache>
                <c:formatCode>General</c:formatCode>
                <c:ptCount val="3"/>
                <c:pt idx="0">
                  <c:v>30.4</c:v>
                </c:pt>
                <c:pt idx="1">
                  <c:v>29.7</c:v>
                </c:pt>
                <c:pt idx="2">
                  <c:v>30.8</c:v>
                </c:pt>
              </c:numCache>
            </c:numRef>
          </c:val>
        </c:ser>
        <c:ser>
          <c:idx val="1"/>
          <c:order val="1"/>
          <c:tx>
            <c:strRef>
              <c:f>PŽK!$A$32</c:f>
              <c:strCache>
                <c:ptCount val="1"/>
                <c:pt idx="0">
                  <c:v>komplikace 1.st-para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2222222222222465E-2"/>
                  <c:y val="-5.0925925925926027E-2"/>
                </c:manualLayout>
              </c:layout>
              <c:showVal val="1"/>
            </c:dLbl>
            <c:dLbl>
              <c:idx val="1"/>
              <c:layout>
                <c:manualLayout>
                  <c:x val="-5.5555555555555455E-2"/>
                  <c:y val="-6.4814814814815144E-2"/>
                </c:manualLayout>
              </c:layout>
              <c:showVal val="1"/>
            </c:dLbl>
            <c:dLbl>
              <c:idx val="2"/>
              <c:layout>
                <c:manualLayout>
                  <c:x val="2.7775590551181229E-3"/>
                  <c:y val="-6.0185185185185147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PŽK!$B$30:$D$30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2015 pol</c:v>
                </c:pt>
              </c:strCache>
            </c:strRef>
          </c:cat>
          <c:val>
            <c:numRef>
              <c:f>PŽK!$B$32:$D$32</c:f>
              <c:numCache>
                <c:formatCode>General</c:formatCode>
                <c:ptCount val="3"/>
                <c:pt idx="0">
                  <c:v>6.8</c:v>
                </c:pt>
                <c:pt idx="1">
                  <c:v>4.5999999999999996</c:v>
                </c:pt>
                <c:pt idx="2">
                  <c:v>5.3</c:v>
                </c:pt>
              </c:numCache>
            </c:numRef>
          </c:val>
        </c:ser>
        <c:ser>
          <c:idx val="2"/>
          <c:order val="2"/>
          <c:tx>
            <c:strRef>
              <c:f>PŽK!$A$33</c:f>
              <c:strCache>
                <c:ptCount val="1"/>
                <c:pt idx="0">
                  <c:v>neprůchodnost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333333333565E-2"/>
                  <c:y val="-1.3888888888889006E-2"/>
                </c:manualLayout>
              </c:layout>
              <c:showVal val="1"/>
            </c:dLbl>
            <c:dLbl>
              <c:idx val="1"/>
              <c:layout>
                <c:manualLayout>
                  <c:x val="-4.7222222222222408E-2"/>
                  <c:y val="-2.777777777777800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PŽK!$B$30:$D$30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2015 pol</c:v>
                </c:pt>
              </c:strCache>
            </c:strRef>
          </c:cat>
          <c:val>
            <c:numRef>
              <c:f>PŽK!$B$33:$D$33</c:f>
              <c:numCache>
                <c:formatCode>General</c:formatCode>
                <c:ptCount val="3"/>
                <c:pt idx="0">
                  <c:v>17.2</c:v>
                </c:pt>
                <c:pt idx="1">
                  <c:v>18.8</c:v>
                </c:pt>
                <c:pt idx="2" formatCode="0.0">
                  <c:v>19</c:v>
                </c:pt>
              </c:numCache>
            </c:numRef>
          </c:val>
        </c:ser>
        <c:ser>
          <c:idx val="3"/>
          <c:order val="3"/>
          <c:tx>
            <c:strRef>
              <c:f>PŽK!$A$34</c:f>
              <c:strCache>
                <c:ptCount val="1"/>
                <c:pt idx="0">
                  <c:v>zalomení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7777777777777821E-2"/>
                  <c:y val="9.2592592592592362E-3"/>
                </c:manualLayout>
              </c:layout>
              <c:showVal val="1"/>
            </c:dLbl>
            <c:dLbl>
              <c:idx val="1"/>
              <c:layout>
                <c:manualLayout>
                  <c:x val="-5.2777777777777812E-2"/>
                  <c:y val="2.7777413240011612E-2"/>
                </c:manualLayout>
              </c:layout>
              <c:showVal val="1"/>
            </c:dLbl>
            <c:dLbl>
              <c:idx val="2"/>
              <c:layout>
                <c:manualLayout>
                  <c:x val="1.1111111111111058E-2"/>
                  <c:y val="1.8518518518518587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PŽK!$B$30:$D$30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2015 pol</c:v>
                </c:pt>
              </c:strCache>
            </c:strRef>
          </c:cat>
          <c:val>
            <c:numRef>
              <c:f>PŽK!$B$34:$D$34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2.1</c:v>
                </c:pt>
                <c:pt idx="2">
                  <c:v>1.8</c:v>
                </c:pt>
              </c:numCache>
            </c:numRef>
          </c:val>
        </c:ser>
        <c:ser>
          <c:idx val="4"/>
          <c:order val="4"/>
          <c:tx>
            <c:strRef>
              <c:f>PŽK!$A$35</c:f>
              <c:strCache>
                <c:ptCount val="1"/>
                <c:pt idx="0">
                  <c:v>vytažení pacientem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2222222222222465E-2"/>
                  <c:y val="-3.2407407407407607E-2"/>
                </c:manualLayout>
              </c:layout>
              <c:showVal val="1"/>
            </c:dLbl>
            <c:dLbl>
              <c:idx val="1"/>
              <c:layout>
                <c:manualLayout>
                  <c:x val="-1.1111111111111157E-2"/>
                  <c:y val="-4.6296296296296523E-2"/>
                </c:manualLayout>
              </c:layout>
              <c:showVal val="1"/>
            </c:dLbl>
            <c:dLbl>
              <c:idx val="2"/>
              <c:layout>
                <c:manualLayout>
                  <c:x val="1.1110892388451445E-2"/>
                  <c:y val="-2.31481481481481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B0F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PŽK!$B$30:$D$30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2015 pol</c:v>
                </c:pt>
              </c:strCache>
            </c:strRef>
          </c:cat>
          <c:val>
            <c:numRef>
              <c:f>PŽK!$B$35:$D$35</c:f>
              <c:numCache>
                <c:formatCode>General</c:formatCode>
                <c:ptCount val="3"/>
                <c:pt idx="0">
                  <c:v>4.2</c:v>
                </c:pt>
                <c:pt idx="1">
                  <c:v>4.2</c:v>
                </c:pt>
                <c:pt idx="2">
                  <c:v>4.7</c:v>
                </c:pt>
              </c:numCache>
            </c:numRef>
          </c:val>
        </c:ser>
        <c:marker val="1"/>
        <c:axId val="107009920"/>
        <c:axId val="107011456"/>
      </c:lineChart>
      <c:catAx>
        <c:axId val="107009920"/>
        <c:scaling>
          <c:orientation val="minMax"/>
        </c:scaling>
        <c:axPos val="b"/>
        <c:tickLblPos val="nextTo"/>
        <c:crossAx val="107011456"/>
        <c:crosses val="autoZero"/>
        <c:auto val="1"/>
        <c:lblAlgn val="ctr"/>
        <c:lblOffset val="100"/>
      </c:catAx>
      <c:valAx>
        <c:axId val="107011456"/>
        <c:scaling>
          <c:orientation val="minMax"/>
        </c:scaling>
        <c:axPos val="l"/>
        <c:numFmt formatCode="General" sourceLinked="1"/>
        <c:tickLblPos val="nextTo"/>
        <c:crossAx val="10700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6117039108429"/>
          <c:y val="0.19348461650627066"/>
          <c:w val="0.19472171118797107"/>
          <c:h val="0.7796970691163605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AngAx val="1"/>
    </c:view3D>
    <c:plotArea>
      <c:layout>
        <c:manualLayout>
          <c:layoutTarget val="inner"/>
          <c:xMode val="edge"/>
          <c:yMode val="edge"/>
          <c:x val="7.9078699777912403E-2"/>
          <c:y val="0.19954870224555263"/>
          <c:w val="0.80943508984453849"/>
          <c:h val="0.68447142023913765"/>
        </c:manualLayout>
      </c:layout>
      <c:bar3DChart>
        <c:barDir val="col"/>
        <c:grouping val="clustered"/>
        <c:ser>
          <c:idx val="0"/>
          <c:order val="0"/>
          <c:tx>
            <c:strRef>
              <c:f>PŽK!$A$81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showVal val="1"/>
          </c:dLbls>
          <c:cat>
            <c:strRef>
              <c:f>PŽK!$B$80:$F$80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PŽK!$B$81:$F$81</c:f>
              <c:numCache>
                <c:formatCode>0.00</c:formatCode>
                <c:ptCount val="5"/>
                <c:pt idx="0">
                  <c:v>1.6600000000000001</c:v>
                </c:pt>
                <c:pt idx="1">
                  <c:v>0.86000000000000065</c:v>
                </c:pt>
                <c:pt idx="2">
                  <c:v>2.0000000000000011E-2</c:v>
                </c:pt>
                <c:pt idx="3" formatCode="General">
                  <c:v>0</c:v>
                </c:pt>
                <c:pt idx="4">
                  <c:v>1.4</c:v>
                </c:pt>
              </c:numCache>
            </c:numRef>
          </c:val>
        </c:ser>
        <c:ser>
          <c:idx val="1"/>
          <c:order val="1"/>
          <c:tx>
            <c:strRef>
              <c:f>PŽK!$A$82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dLbl>
              <c:idx val="0"/>
              <c:layout>
                <c:manualLayout>
                  <c:x val="6.1538461538461833E-3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6.1538461538462024E-3"/>
                  <c:y val="-4.6296296296296481E-2"/>
                </c:manualLayout>
              </c:layout>
              <c:showVal val="1"/>
            </c:dLbl>
            <c:dLbl>
              <c:idx val="4"/>
              <c:layout>
                <c:manualLayout>
                  <c:x val="2.0512820512820613E-3"/>
                  <c:y val="-2.777777777777798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PŽK!$B$80:$F$80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PŽK!$B$82:$F$82</c:f>
              <c:numCache>
                <c:formatCode>0.00</c:formatCode>
                <c:ptCount val="5"/>
                <c:pt idx="0">
                  <c:v>10.75</c:v>
                </c:pt>
                <c:pt idx="1">
                  <c:v>1.51</c:v>
                </c:pt>
                <c:pt idx="2">
                  <c:v>2.0000000000000011E-2</c:v>
                </c:pt>
                <c:pt idx="3" formatCode="General">
                  <c:v>0</c:v>
                </c:pt>
                <c:pt idx="4">
                  <c:v>1.87</c:v>
                </c:pt>
              </c:numCache>
            </c:numRef>
          </c:val>
        </c:ser>
        <c:ser>
          <c:idx val="2"/>
          <c:order val="2"/>
          <c:tx>
            <c:strRef>
              <c:f>PŽK!$A$83</c:f>
              <c:strCache>
                <c:ptCount val="1"/>
                <c:pt idx="0">
                  <c:v>2015 pol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1.641025641025641E-2"/>
                  <c:y val="-1.3888888888888911E-2"/>
                </c:manualLayout>
              </c:layout>
              <c:showVal val="1"/>
            </c:dLbl>
            <c:dLbl>
              <c:idx val="1"/>
              <c:layout>
                <c:manualLayout>
                  <c:x val="1.2307692307692308E-2"/>
                  <c:y val="-1.8518518518518663E-2"/>
                </c:manualLayout>
              </c:layout>
              <c:showVal val="1"/>
            </c:dLbl>
            <c:dLbl>
              <c:idx val="2"/>
              <c:layout>
                <c:manualLayout>
                  <c:x val="1.2307692307692308E-2"/>
                  <c:y val="-1.3888888888888954E-2"/>
                </c:manualLayout>
              </c:layout>
              <c:showVal val="1"/>
            </c:dLbl>
            <c:dLbl>
              <c:idx val="3"/>
              <c:layout>
                <c:manualLayout>
                  <c:x val="2.0512820512819849E-3"/>
                  <c:y val="-2.7777777777778064E-2"/>
                </c:manualLayout>
              </c:layout>
              <c:showVal val="1"/>
            </c:dLbl>
            <c:dLbl>
              <c:idx val="4"/>
              <c:layout>
                <c:manualLayout>
                  <c:x val="1.846153846153855E-2"/>
                  <c:y val="-1.851851851851857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PŽK!$B$80:$F$80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PŽK!$B$83:$F$83</c:f>
              <c:numCache>
                <c:formatCode>0.00</c:formatCode>
                <c:ptCount val="5"/>
                <c:pt idx="0">
                  <c:v>7.64</c:v>
                </c:pt>
                <c:pt idx="1">
                  <c:v>1.1700000000000021</c:v>
                </c:pt>
                <c:pt idx="2">
                  <c:v>4.0000000000000022E-2</c:v>
                </c:pt>
                <c:pt idx="3" formatCode="0.0000">
                  <c:v>4.4000000000000124E-3</c:v>
                </c:pt>
                <c:pt idx="4">
                  <c:v>2.2999999999999998</c:v>
                </c:pt>
              </c:numCache>
            </c:numRef>
          </c:val>
        </c:ser>
        <c:shape val="cylinder"/>
        <c:axId val="108076032"/>
        <c:axId val="108102400"/>
        <c:axId val="0"/>
      </c:bar3DChart>
      <c:catAx>
        <c:axId val="108076032"/>
        <c:scaling>
          <c:orientation val="minMax"/>
        </c:scaling>
        <c:axPos val="b"/>
        <c:tickLblPos val="nextTo"/>
        <c:crossAx val="108102400"/>
        <c:crosses val="autoZero"/>
        <c:auto val="1"/>
        <c:lblAlgn val="ctr"/>
        <c:lblOffset val="100"/>
      </c:catAx>
      <c:valAx>
        <c:axId val="108102400"/>
        <c:scaling>
          <c:orientation val="minMax"/>
        </c:scaling>
        <c:axPos val="l"/>
        <c:numFmt formatCode="0.00" sourceLinked="1"/>
        <c:tickLblPos val="nextTo"/>
        <c:crossAx val="10807603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view3D>
      <c:rAngAx val="1"/>
    </c:view3D>
    <c:plotArea>
      <c:layout>
        <c:manualLayout>
          <c:layoutTarget val="inner"/>
          <c:xMode val="edge"/>
          <c:yMode val="edge"/>
          <c:x val="5.2997600760027734E-2"/>
          <c:y val="0.18565981335666376"/>
          <c:w val="0.80518332447707841"/>
          <c:h val="0.64185586176727905"/>
        </c:manualLayout>
      </c:layout>
      <c:bar3DChart>
        <c:barDir val="col"/>
        <c:grouping val="clustered"/>
        <c:ser>
          <c:idx val="0"/>
          <c:order val="0"/>
          <c:tx>
            <c:strRef>
              <c:f>CŽK!$A$31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-2.2494887525562449E-2"/>
                  <c:y val="2.1218890680033564E-17"/>
                </c:manualLayout>
              </c:layout>
              <c:showVal val="1"/>
            </c:dLbl>
            <c:dLbl>
              <c:idx val="1"/>
              <c:layout>
                <c:manualLayout>
                  <c:x val="-6.1349693251533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2.249488752556244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8.1799591002044234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1.635991820040899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CŽK!$B$30:$F$30</c:f>
              <c:strCache>
                <c:ptCount val="5"/>
                <c:pt idx="0">
                  <c:v>komplikace celkem</c:v>
                </c:pt>
                <c:pt idx="1">
                  <c:v>infekční komplikace</c:v>
                </c:pt>
                <c:pt idx="2">
                  <c:v>neprůchodnost kanyly</c:v>
                </c:pt>
                <c:pt idx="3">
                  <c:v>zalomení kanyly</c:v>
                </c:pt>
                <c:pt idx="4">
                  <c:v>vytažení kanyly pacientem</c:v>
                </c:pt>
              </c:strCache>
            </c:strRef>
          </c:cat>
          <c:val>
            <c:numRef>
              <c:f>CŽK!$B$31:$F$31</c:f>
              <c:numCache>
                <c:formatCode>0.00</c:formatCode>
                <c:ptCount val="5"/>
                <c:pt idx="0" formatCode="General">
                  <c:v>11.66</c:v>
                </c:pt>
                <c:pt idx="1">
                  <c:v>2.72</c:v>
                </c:pt>
                <c:pt idx="2" formatCode="General">
                  <c:v>5.0199999999999996</c:v>
                </c:pt>
                <c:pt idx="3">
                  <c:v>0.30000000000000032</c:v>
                </c:pt>
                <c:pt idx="4" formatCode="General">
                  <c:v>3.55</c:v>
                </c:pt>
              </c:numCache>
            </c:numRef>
          </c:val>
        </c:ser>
        <c:ser>
          <c:idx val="1"/>
          <c:order val="1"/>
          <c:tx>
            <c:strRef>
              <c:f>CŽK!$A$32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1"/>
              <c:layout>
                <c:manualLayout>
                  <c:x val="8.1799591002044997E-3"/>
                  <c:y val="-1.38888888888889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CŽK!$B$30:$F$30</c:f>
              <c:strCache>
                <c:ptCount val="5"/>
                <c:pt idx="0">
                  <c:v>komplikace celkem</c:v>
                </c:pt>
                <c:pt idx="1">
                  <c:v>infekční komplikace</c:v>
                </c:pt>
                <c:pt idx="2">
                  <c:v>neprůchodnost kanyly</c:v>
                </c:pt>
                <c:pt idx="3">
                  <c:v>zalomení kanyly</c:v>
                </c:pt>
                <c:pt idx="4">
                  <c:v>vytažení kanyly pacientem</c:v>
                </c:pt>
              </c:strCache>
            </c:strRef>
          </c:cat>
          <c:val>
            <c:numRef>
              <c:f>CŽK!$B$32:$F$32</c:f>
              <c:numCache>
                <c:formatCode>0.00</c:formatCode>
                <c:ptCount val="5"/>
                <c:pt idx="0" formatCode="General">
                  <c:v>11.64</c:v>
                </c:pt>
                <c:pt idx="1">
                  <c:v>2.2400000000000002</c:v>
                </c:pt>
                <c:pt idx="2" formatCode="General">
                  <c:v>5.0199999999999996</c:v>
                </c:pt>
                <c:pt idx="3">
                  <c:v>0.5</c:v>
                </c:pt>
                <c:pt idx="4" formatCode="General">
                  <c:v>3.63</c:v>
                </c:pt>
              </c:numCache>
            </c:numRef>
          </c:val>
        </c:ser>
        <c:ser>
          <c:idx val="2"/>
          <c:order val="2"/>
          <c:tx>
            <c:strRef>
              <c:f>CŽK!$A$33</c:f>
              <c:strCache>
                <c:ptCount val="1"/>
                <c:pt idx="0">
                  <c:v>2015 pol</c:v>
                </c:pt>
              </c:strCache>
            </c:strRef>
          </c:tx>
          <c:dLbls>
            <c:dLbl>
              <c:idx val="0"/>
              <c:layout>
                <c:manualLayout>
                  <c:x val="2.453987730061359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8404907975460124E-2"/>
                  <c:y val="-1.388888888888893E-2"/>
                </c:manualLayout>
              </c:layout>
              <c:showVal val="1"/>
            </c:dLbl>
            <c:dLbl>
              <c:idx val="2"/>
              <c:layout>
                <c:manualLayout>
                  <c:x val="2.0449897750511318E-2"/>
                  <c:y val="-9.2592592592593038E-3"/>
                </c:manualLayout>
              </c:layout>
              <c:showVal val="1"/>
            </c:dLbl>
            <c:dLbl>
              <c:idx val="3"/>
              <c:layout>
                <c:manualLayout>
                  <c:x val="2.4539877300613598E-2"/>
                  <c:y val="-4.6296296296295504E-3"/>
                </c:manualLayout>
              </c:layout>
              <c:showVal val="1"/>
            </c:dLbl>
            <c:dLbl>
              <c:idx val="4"/>
              <c:layout>
                <c:manualLayout>
                  <c:x val="1.840490797546012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CŽK!$B$30:$F$30</c:f>
              <c:strCache>
                <c:ptCount val="5"/>
                <c:pt idx="0">
                  <c:v>komplikace celkem</c:v>
                </c:pt>
                <c:pt idx="1">
                  <c:v>infekční komplikace</c:v>
                </c:pt>
                <c:pt idx="2">
                  <c:v>neprůchodnost kanyly</c:v>
                </c:pt>
                <c:pt idx="3">
                  <c:v>zalomení kanyly</c:v>
                </c:pt>
                <c:pt idx="4">
                  <c:v>vytažení kanyly pacientem</c:v>
                </c:pt>
              </c:strCache>
            </c:strRef>
          </c:cat>
          <c:val>
            <c:numRef>
              <c:f>CŽK!$B$33:$F$33</c:f>
              <c:numCache>
                <c:formatCode>0.00</c:formatCode>
                <c:ptCount val="5"/>
                <c:pt idx="0" formatCode="General">
                  <c:v>10.950000000000006</c:v>
                </c:pt>
                <c:pt idx="1">
                  <c:v>2.2599999999999998</c:v>
                </c:pt>
                <c:pt idx="2" formatCode="General">
                  <c:v>4.38</c:v>
                </c:pt>
                <c:pt idx="3">
                  <c:v>0.62000000000000066</c:v>
                </c:pt>
                <c:pt idx="4">
                  <c:v>3.7</c:v>
                </c:pt>
              </c:numCache>
            </c:numRef>
          </c:val>
        </c:ser>
        <c:shape val="cylinder"/>
        <c:axId val="108151168"/>
        <c:axId val="108152704"/>
        <c:axId val="0"/>
      </c:bar3DChart>
      <c:catAx>
        <c:axId val="1081511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8152704"/>
        <c:crosses val="autoZero"/>
        <c:auto val="1"/>
        <c:lblAlgn val="ctr"/>
        <c:lblOffset val="100"/>
      </c:catAx>
      <c:valAx>
        <c:axId val="108152704"/>
        <c:scaling>
          <c:orientation val="minMax"/>
        </c:scaling>
        <c:axPos val="l"/>
        <c:numFmt formatCode="General" sourceLinked="1"/>
        <c:tickLblPos val="nextTo"/>
        <c:crossAx val="10815116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0.03819</cdr:y>
    </cdr:from>
    <cdr:to>
      <cdr:x>1</cdr:x>
      <cdr:y>0.16319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104775"/>
          <a:ext cx="67151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cs-CZ" sz="1200" b="1">
              <a:latin typeface="Arial" pitchFamily="34" charset="0"/>
              <a:cs typeface="Arial" pitchFamily="34" charset="0"/>
            </a:rPr>
            <a:t>komplikace jako důvod vynětí kanyly v % na počet kanyl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0.03597</cdr:y>
    </cdr:from>
    <cdr:to>
      <cdr:x>1</cdr:x>
      <cdr:y>0.14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95250"/>
          <a:ext cx="6191250" cy="2754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cs-CZ" sz="1200" b="1" i="0">
              <a:latin typeface="Arial" pitchFamily="34" charset="0"/>
              <a:cs typeface="Arial" pitchFamily="34" charset="0"/>
            </a:rPr>
            <a:t>komplikace 1. st. - para v % na počet kanyl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0.04167</cdr:y>
    </cdr:from>
    <cdr:to>
      <cdr:x>0.9908</cdr:x>
      <cdr:y>0.13889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114300"/>
          <a:ext cx="6153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cs-CZ" sz="1200" b="1">
              <a:latin typeface="Arial" pitchFamily="34" charset="0"/>
              <a:cs typeface="Arial" pitchFamily="34" charset="0"/>
            </a:rPr>
            <a:t>CŽK komplikace v % na počet kanyl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37254</dc:creator>
  <cp:lastModifiedBy>60063</cp:lastModifiedBy>
  <cp:revision>22</cp:revision>
  <cp:lastPrinted>2015-08-26T10:21:00Z</cp:lastPrinted>
  <dcterms:created xsi:type="dcterms:W3CDTF">2015-01-30T15:33:00Z</dcterms:created>
  <dcterms:modified xsi:type="dcterms:W3CDTF">2015-09-07T12:36:00Z</dcterms:modified>
</cp:coreProperties>
</file>