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F85DE" w14:textId="77777777" w:rsidR="006C1A6E" w:rsidRDefault="006C1A6E" w:rsidP="006C1A6E"/>
    <w:p w14:paraId="30AF782E" w14:textId="77777777" w:rsidR="006C1A6E" w:rsidRPr="002D45A9" w:rsidRDefault="006C1A6E" w:rsidP="006C1A6E">
      <w:pPr>
        <w:pStyle w:val="Odstavecseseznamem"/>
        <w:numPr>
          <w:ilvl w:val="0"/>
          <w:numId w:val="1"/>
        </w:numPr>
        <w:rPr>
          <w:rFonts w:eastAsia="Times New Roman"/>
        </w:rPr>
      </w:pPr>
      <w:r w:rsidRPr="002D45A9">
        <w:rPr>
          <w:rFonts w:eastAsia="Times New Roman"/>
        </w:rPr>
        <w:t>Veřejné nakupování vs. Veřejná zakázka (Čeněk Merta).</w:t>
      </w:r>
    </w:p>
    <w:p w14:paraId="56A25114" w14:textId="77777777" w:rsidR="006C1A6E" w:rsidRPr="002D45A9" w:rsidRDefault="006C1A6E" w:rsidP="006C1A6E">
      <w:pPr>
        <w:pStyle w:val="Odstavecseseznamem"/>
        <w:numPr>
          <w:ilvl w:val="0"/>
          <w:numId w:val="1"/>
        </w:numPr>
        <w:rPr>
          <w:rFonts w:eastAsia="Times New Roman"/>
        </w:rPr>
      </w:pPr>
      <w:r w:rsidRPr="002D45A9">
        <w:rPr>
          <w:rFonts w:eastAsia="Times New Roman"/>
        </w:rPr>
        <w:t>Principy 3E v praxi nakupování zdravotnických prostředků (Čeněk Merta).</w:t>
      </w:r>
    </w:p>
    <w:p w14:paraId="2C0D5A56" w14:textId="31C9360E" w:rsidR="006C1A6E" w:rsidRPr="002D45A9" w:rsidRDefault="006C1A6E" w:rsidP="006C1A6E">
      <w:pPr>
        <w:pStyle w:val="Odstavecseseznamem"/>
        <w:numPr>
          <w:ilvl w:val="0"/>
          <w:numId w:val="1"/>
        </w:numPr>
        <w:rPr>
          <w:rFonts w:eastAsia="Times New Roman"/>
        </w:rPr>
      </w:pPr>
      <w:r w:rsidRPr="002D45A9">
        <w:rPr>
          <w:rFonts w:eastAsia="Times New Roman"/>
        </w:rPr>
        <w:t xml:space="preserve">Vazba principů 3E na zásady ZZVZ </w:t>
      </w:r>
      <w:r w:rsidR="00F40C7F">
        <w:rPr>
          <w:rFonts w:eastAsia="Times New Roman"/>
        </w:rPr>
        <w:t>–</w:t>
      </w:r>
      <w:r w:rsidRPr="002D45A9">
        <w:rPr>
          <w:rFonts w:eastAsia="Times New Roman"/>
        </w:rPr>
        <w:t xml:space="preserve"> transparen</w:t>
      </w:r>
      <w:r w:rsidR="0017591E">
        <w:rPr>
          <w:rFonts w:eastAsia="Times New Roman"/>
        </w:rPr>
        <w:t>tnost</w:t>
      </w:r>
      <w:r w:rsidRPr="002D45A9">
        <w:rPr>
          <w:rFonts w:eastAsia="Times New Roman"/>
        </w:rPr>
        <w:t>, nediskriminace a rovné zacházení (Čeněk Merta).</w:t>
      </w:r>
    </w:p>
    <w:p w14:paraId="174F6891" w14:textId="77777777" w:rsidR="006C1A6E" w:rsidRPr="002D45A9" w:rsidRDefault="006C1A6E" w:rsidP="006C1A6E">
      <w:pPr>
        <w:pStyle w:val="Odstavecseseznamem"/>
        <w:numPr>
          <w:ilvl w:val="0"/>
          <w:numId w:val="1"/>
        </w:numPr>
        <w:rPr>
          <w:rFonts w:eastAsia="Times New Roman"/>
        </w:rPr>
      </w:pPr>
      <w:r w:rsidRPr="002D45A9">
        <w:rPr>
          <w:rFonts w:eastAsia="Times New Roman"/>
        </w:rPr>
        <w:t>Identifikace a zdůvodnění potřeb nákupu zdravotnických prostředků (Matěj Novák).</w:t>
      </w:r>
    </w:p>
    <w:p w14:paraId="5C6B358D" w14:textId="77777777" w:rsidR="006C1A6E" w:rsidRPr="002D45A9" w:rsidRDefault="006C1A6E" w:rsidP="006C1A6E">
      <w:pPr>
        <w:pStyle w:val="Odstavecseseznamem"/>
        <w:numPr>
          <w:ilvl w:val="0"/>
          <w:numId w:val="1"/>
        </w:numPr>
        <w:rPr>
          <w:rFonts w:eastAsia="Times New Roman"/>
        </w:rPr>
      </w:pPr>
      <w:r w:rsidRPr="002D45A9">
        <w:rPr>
          <w:rFonts w:eastAsia="Times New Roman"/>
        </w:rPr>
        <w:t>Záměry nákupů zdravotnických prostředků (Matěj Novák).</w:t>
      </w:r>
    </w:p>
    <w:p w14:paraId="17F248E1"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Nákup zdravotnických prostředků → opakované dodávky (Matěj Novák).</w:t>
      </w:r>
    </w:p>
    <w:p w14:paraId="44E28D5F"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Nákup zdravotnických prostředků jednorázových → zdravotnická technika (Matěj Novák).</w:t>
      </w:r>
    </w:p>
    <w:p w14:paraId="425640BD" w14:textId="77777777" w:rsidR="006C1A6E" w:rsidRPr="002D45A9" w:rsidRDefault="006C1A6E" w:rsidP="006C1A6E">
      <w:pPr>
        <w:pStyle w:val="Odstavecseseznamem"/>
        <w:numPr>
          <w:ilvl w:val="0"/>
          <w:numId w:val="1"/>
        </w:numPr>
        <w:rPr>
          <w:rFonts w:eastAsia="Times New Roman"/>
        </w:rPr>
      </w:pPr>
      <w:r w:rsidRPr="002D45A9">
        <w:rPr>
          <w:rFonts w:eastAsia="Times New Roman"/>
        </w:rPr>
        <w:t>Plánování veřejných zakázek na nákup zdravotnických prostředků (Matěj Novák).</w:t>
      </w:r>
    </w:p>
    <w:p w14:paraId="01FE7A97" w14:textId="77777777" w:rsidR="006C1A6E" w:rsidRPr="002D45A9" w:rsidRDefault="006C1A6E" w:rsidP="006C1A6E">
      <w:pPr>
        <w:pStyle w:val="Odstavecseseznamem"/>
        <w:numPr>
          <w:ilvl w:val="0"/>
          <w:numId w:val="1"/>
        </w:numPr>
        <w:rPr>
          <w:rFonts w:eastAsia="Times New Roman"/>
        </w:rPr>
      </w:pPr>
      <w:r w:rsidRPr="002D45A9">
        <w:rPr>
          <w:rFonts w:eastAsia="Times New Roman"/>
        </w:rPr>
        <w:t>Sdružování nákupu na opakované dodávky v rámci jedné organizace + sčítací mechanismy (Martin Čech).</w:t>
      </w:r>
    </w:p>
    <w:p w14:paraId="1AB1A3DC"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Využití rámcových dohod při opakovaných dodávkách (Vladimír Duchoň).</w:t>
      </w:r>
    </w:p>
    <w:p w14:paraId="2BE800D3"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Využití institutu sdružených nákupů při nákupu zdravotnických prostředků (Vladimír Duchoň).</w:t>
      </w:r>
    </w:p>
    <w:p w14:paraId="7E745738" w14:textId="77777777" w:rsidR="006C1A6E" w:rsidRPr="002D45A9" w:rsidRDefault="006C1A6E" w:rsidP="006C1A6E">
      <w:pPr>
        <w:pStyle w:val="Odstavecseseznamem"/>
        <w:numPr>
          <w:ilvl w:val="0"/>
          <w:numId w:val="1"/>
        </w:numPr>
        <w:rPr>
          <w:rFonts w:eastAsia="Times New Roman"/>
        </w:rPr>
      </w:pPr>
      <w:r w:rsidRPr="002D45A9">
        <w:rPr>
          <w:rFonts w:eastAsia="Times New Roman"/>
          <w:highlight w:val="yellow"/>
        </w:rPr>
        <w:t>Příprava veřejné zakázky.</w:t>
      </w:r>
    </w:p>
    <w:p w14:paraId="504304DE"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Stanovení předmětu veřejné zakázky pro nákup zdravotnických prostředků (Martin Čech).</w:t>
      </w:r>
    </w:p>
    <w:p w14:paraId="361E8680" w14:textId="77777777" w:rsidR="006C1A6E" w:rsidRPr="002D45A9" w:rsidRDefault="006C1A6E" w:rsidP="006C1A6E">
      <w:pPr>
        <w:pStyle w:val="Odstavecseseznamem"/>
        <w:numPr>
          <w:ilvl w:val="0"/>
          <w:numId w:val="1"/>
        </w:numPr>
        <w:rPr>
          <w:rFonts w:eastAsia="Times New Roman"/>
        </w:rPr>
      </w:pPr>
      <w:r w:rsidRPr="002D45A9">
        <w:rPr>
          <w:rFonts w:eastAsia="Times New Roman"/>
        </w:rPr>
        <w:t>Rozdělení veřejných zakázek pro nákup zdravotnických prostředků na části (Matěj Novák).</w:t>
      </w:r>
    </w:p>
    <w:p w14:paraId="4C1AABC6"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Využití PTK při přípravě veřejné zakázky pro nákup zdravotnických prostředků (Matěj Novák).</w:t>
      </w:r>
    </w:p>
    <w:p w14:paraId="363CAB83"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Využívání zadávacího řízení s jednáním s dodavateli v průběhu zadávacího řízení (Vladimír Duchoň).</w:t>
      </w:r>
    </w:p>
    <w:p w14:paraId="508C9F99"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Úvaha nad základními parametry zadávacího řízení (Vladimír Duchoň).</w:t>
      </w:r>
    </w:p>
    <w:p w14:paraId="3DD396B6"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Příprava podrobné technické specifikace (Vladimír Duchoň).</w:t>
      </w:r>
    </w:p>
    <w:p w14:paraId="79498DB2"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Podmínky kvalifikace potenciálních dodavatelů (Vladimír Duchoň).</w:t>
      </w:r>
    </w:p>
    <w:p w14:paraId="15CDCDBE" w14:textId="77777777" w:rsidR="006C1A6E" w:rsidRPr="002D45A9" w:rsidRDefault="006C1A6E" w:rsidP="006C1A6E">
      <w:pPr>
        <w:pStyle w:val="Odstavecseseznamem"/>
        <w:numPr>
          <w:ilvl w:val="0"/>
          <w:numId w:val="1"/>
        </w:numPr>
        <w:rPr>
          <w:rFonts w:eastAsia="Times New Roman"/>
        </w:rPr>
      </w:pPr>
      <w:r w:rsidRPr="002D45A9">
        <w:rPr>
          <w:rFonts w:eastAsia="Times New Roman"/>
        </w:rPr>
        <w:t>Stanovení kritérií hodnocení (Vladimír Duchoň).</w:t>
      </w:r>
    </w:p>
    <w:p w14:paraId="135AB10B" w14:textId="77777777" w:rsidR="006C1A6E" w:rsidRPr="002D45A9" w:rsidRDefault="006C1A6E" w:rsidP="006C1A6E">
      <w:pPr>
        <w:pStyle w:val="Odstavecseseznamem"/>
        <w:numPr>
          <w:ilvl w:val="0"/>
          <w:numId w:val="1"/>
        </w:numPr>
        <w:rPr>
          <w:rFonts w:eastAsia="Times New Roman"/>
        </w:rPr>
      </w:pPr>
      <w:r w:rsidRPr="002D45A9">
        <w:rPr>
          <w:rFonts w:eastAsia="Times New Roman"/>
        </w:rPr>
        <w:t>Hodnocení na nejnižší nabídkovou cenu (Čeněk Merta).</w:t>
      </w:r>
    </w:p>
    <w:p w14:paraId="19469D42" w14:textId="77777777" w:rsidR="006C1A6E" w:rsidRPr="002D45A9" w:rsidRDefault="006C1A6E" w:rsidP="006C1A6E">
      <w:pPr>
        <w:pStyle w:val="Odstavecseseznamem"/>
        <w:numPr>
          <w:ilvl w:val="0"/>
          <w:numId w:val="1"/>
        </w:numPr>
        <w:rPr>
          <w:rFonts w:eastAsia="Times New Roman"/>
        </w:rPr>
      </w:pPr>
      <w:r w:rsidRPr="002D45A9">
        <w:rPr>
          <w:rFonts w:eastAsia="Times New Roman"/>
        </w:rPr>
        <w:t>Hodnocení na nejnižší náklady životního cyklu (Čeněk Merta).</w:t>
      </w:r>
    </w:p>
    <w:p w14:paraId="450BB189" w14:textId="77777777" w:rsidR="006C1A6E" w:rsidRPr="002D45A9" w:rsidRDefault="006C1A6E" w:rsidP="006C1A6E">
      <w:pPr>
        <w:pStyle w:val="Odstavecseseznamem"/>
        <w:numPr>
          <w:ilvl w:val="0"/>
          <w:numId w:val="1"/>
        </w:numPr>
        <w:rPr>
          <w:rFonts w:eastAsia="Times New Roman"/>
        </w:rPr>
      </w:pPr>
      <w:r w:rsidRPr="002D45A9">
        <w:rPr>
          <w:rFonts w:eastAsia="Times New Roman"/>
        </w:rPr>
        <w:t>Nejvýhodnější poměr nabídkové ceny a kvality nabízeného plnění (Matěj Novák).</w:t>
      </w:r>
    </w:p>
    <w:p w14:paraId="6CA6B653" w14:textId="77777777" w:rsidR="006C1A6E" w:rsidRPr="002D45A9" w:rsidRDefault="006C1A6E" w:rsidP="006C1A6E">
      <w:pPr>
        <w:pStyle w:val="Odstavecseseznamem"/>
        <w:numPr>
          <w:ilvl w:val="0"/>
          <w:numId w:val="1"/>
        </w:numPr>
        <w:rPr>
          <w:rFonts w:eastAsia="Times New Roman"/>
        </w:rPr>
      </w:pPr>
      <w:r w:rsidRPr="002D45A9">
        <w:rPr>
          <w:rFonts w:eastAsia="Times New Roman"/>
        </w:rPr>
        <w:t>Nejvýhodnější poměr nákladu životního cyklu a kvality nabízeného plnění (Matěj Novák).</w:t>
      </w:r>
    </w:p>
    <w:p w14:paraId="52AD7B06"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Využití kritérií kvality pro hodnocení (Matěj Novák, Vladimír Duchoň).</w:t>
      </w:r>
    </w:p>
    <w:p w14:paraId="64556C2B"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Stanovení obchodních nebo jiných smluvních podmínek (Vladimír Duchoň).</w:t>
      </w:r>
    </w:p>
    <w:p w14:paraId="3C23A967" w14:textId="77777777" w:rsidR="006C1A6E" w:rsidRPr="002D45A9" w:rsidRDefault="006C1A6E" w:rsidP="006C1A6E">
      <w:pPr>
        <w:pStyle w:val="Odstavecseseznamem"/>
        <w:numPr>
          <w:ilvl w:val="0"/>
          <w:numId w:val="1"/>
        </w:numPr>
        <w:rPr>
          <w:rFonts w:eastAsia="Times New Roman"/>
        </w:rPr>
      </w:pPr>
      <w:r w:rsidRPr="002D45A9">
        <w:rPr>
          <w:rFonts w:eastAsia="Times New Roman"/>
        </w:rPr>
        <w:t>Zápůjčky, výpůjčky (Martin Čech).</w:t>
      </w:r>
    </w:p>
    <w:p w14:paraId="6B6F042A" w14:textId="044D5481" w:rsidR="002241F3" w:rsidRDefault="002241F3"/>
    <w:p w14:paraId="25AF97F4" w14:textId="5C65433B" w:rsidR="00B857A6" w:rsidRDefault="00B857A6"/>
    <w:p w14:paraId="33D1153C" w14:textId="772880BA" w:rsidR="00B857A6" w:rsidRDefault="00B857A6"/>
    <w:p w14:paraId="67DF48EB" w14:textId="7BFD4831" w:rsidR="00B857A6" w:rsidRDefault="00B857A6"/>
    <w:p w14:paraId="3EC7846D" w14:textId="0730108F" w:rsidR="00B857A6" w:rsidRDefault="00B857A6"/>
    <w:p w14:paraId="59F7F1F3" w14:textId="1809D35E" w:rsidR="00B857A6" w:rsidRDefault="00B857A6"/>
    <w:p w14:paraId="4BFE79B1" w14:textId="7C8F4C25" w:rsidR="00B857A6" w:rsidRDefault="00B857A6"/>
    <w:p w14:paraId="20692745" w14:textId="7D145768" w:rsidR="00B857A6" w:rsidRDefault="00B857A6"/>
    <w:p w14:paraId="106A2CB7" w14:textId="54422CBD" w:rsidR="00B857A6" w:rsidRDefault="00B857A6"/>
    <w:p w14:paraId="09BB3AB6" w14:textId="6EC808BE" w:rsidR="00B857A6" w:rsidRDefault="00B857A6"/>
    <w:p w14:paraId="0B045CCF" w14:textId="4169275F" w:rsidR="00B857A6" w:rsidRDefault="00B857A6"/>
    <w:p w14:paraId="7A184DDC" w14:textId="116FF5C6" w:rsidR="00B857A6" w:rsidRDefault="00B857A6"/>
    <w:p w14:paraId="0F34625B" w14:textId="67AE0417" w:rsidR="00B857A6" w:rsidRDefault="00B857A6"/>
    <w:p w14:paraId="19DFC7B1" w14:textId="38FC82E7" w:rsidR="00B857A6" w:rsidRDefault="00B857A6"/>
    <w:p w14:paraId="4A36BB33" w14:textId="30B860DB" w:rsidR="00B857A6" w:rsidRDefault="00B857A6"/>
    <w:p w14:paraId="2C68766B" w14:textId="3E93BDF0" w:rsidR="00B857A6" w:rsidRDefault="00B857A6"/>
    <w:p w14:paraId="44EA7C93" w14:textId="72B9EBD1" w:rsidR="00B857A6" w:rsidRDefault="00B857A6"/>
    <w:p w14:paraId="619897A7" w14:textId="35FEBCB5" w:rsidR="00B857A6" w:rsidRDefault="00B857A6"/>
    <w:p w14:paraId="089A39D5" w14:textId="1FA95E32" w:rsidR="00B857A6" w:rsidRDefault="00B857A6"/>
    <w:p w14:paraId="3F8F7862" w14:textId="7E0A27BB" w:rsidR="00B857A6" w:rsidRDefault="00B857A6"/>
    <w:p w14:paraId="5C535A49" w14:textId="77777777" w:rsidR="00B857A6" w:rsidRDefault="00B857A6" w:rsidP="00B857A6">
      <w:pPr>
        <w:spacing w:before="120" w:after="120"/>
        <w:jc w:val="both"/>
        <w:rPr>
          <w:rFonts w:ascii="Arial" w:hAnsi="Arial" w:cs="Arial"/>
        </w:rPr>
      </w:pPr>
    </w:p>
    <w:p w14:paraId="6E24F6B6" w14:textId="7188E0D9" w:rsidR="003B5E74" w:rsidRDefault="003B5E74" w:rsidP="003B5E74">
      <w:pPr>
        <w:rPr>
          <w:rFonts w:ascii="Arial" w:hAnsi="Arial" w:cs="Arial"/>
          <w:b/>
          <w:u w:val="single"/>
        </w:rPr>
      </w:pPr>
      <w:r w:rsidRPr="0025768D">
        <w:rPr>
          <w:rFonts w:ascii="Arial" w:hAnsi="Arial" w:cs="Arial"/>
          <w:b/>
          <w:u w:val="single"/>
        </w:rPr>
        <w:t>1</w:t>
      </w:r>
      <w:r>
        <w:rPr>
          <w:rFonts w:ascii="Arial" w:hAnsi="Arial" w:cs="Arial"/>
          <w:b/>
          <w:u w:val="single"/>
        </w:rPr>
        <w:t>2</w:t>
      </w:r>
      <w:r w:rsidRPr="0025768D">
        <w:rPr>
          <w:rFonts w:ascii="Arial" w:hAnsi="Arial" w:cs="Arial"/>
          <w:b/>
          <w:u w:val="single"/>
        </w:rPr>
        <w:t xml:space="preserve">.) </w:t>
      </w:r>
      <w:r>
        <w:rPr>
          <w:rFonts w:ascii="Arial" w:hAnsi="Arial" w:cs="Arial"/>
          <w:b/>
          <w:u w:val="single"/>
        </w:rPr>
        <w:t>Příprava veřejné zakázky</w:t>
      </w:r>
    </w:p>
    <w:p w14:paraId="5FDB5ED9" w14:textId="399B873A" w:rsidR="003B5E74" w:rsidRDefault="003B5E74" w:rsidP="00B857A6">
      <w:pPr>
        <w:rPr>
          <w:rFonts w:ascii="Arial" w:hAnsi="Arial" w:cs="Arial"/>
          <w:b/>
          <w:u w:val="single"/>
        </w:rPr>
      </w:pPr>
    </w:p>
    <w:p w14:paraId="1E9F97A3" w14:textId="4B36BD18" w:rsidR="009E11D3" w:rsidRDefault="009E11D3" w:rsidP="009F574E">
      <w:pPr>
        <w:jc w:val="both"/>
        <w:rPr>
          <w:rFonts w:ascii="Arial" w:hAnsi="Arial" w:cs="Arial"/>
        </w:rPr>
      </w:pPr>
      <w:r>
        <w:rPr>
          <w:rFonts w:ascii="Arial" w:hAnsi="Arial" w:cs="Arial"/>
        </w:rPr>
        <w:t xml:space="preserve">Přípravná fáze </w:t>
      </w:r>
      <w:r w:rsidR="00F559C0">
        <w:rPr>
          <w:rFonts w:ascii="Arial" w:hAnsi="Arial" w:cs="Arial"/>
        </w:rPr>
        <w:t>veřejné zakázky je jednou z nejdůležitějších fází zadávacího řízení a zadavatel by ji měl věnovat dostatečné množství času a pozornosti. Pouze vhodně nastavené zadávací podmínky mohou vést k co největšímu uspokojení potřeb zadavatele, potažmo konkrétního pracoviště.</w:t>
      </w:r>
    </w:p>
    <w:p w14:paraId="0E011F3C" w14:textId="5C17E848" w:rsidR="00F559C0" w:rsidRDefault="00F559C0" w:rsidP="009F574E">
      <w:pPr>
        <w:jc w:val="both"/>
        <w:rPr>
          <w:rFonts w:ascii="Arial" w:hAnsi="Arial" w:cs="Arial"/>
        </w:rPr>
      </w:pPr>
    </w:p>
    <w:p w14:paraId="1C3707CC" w14:textId="3B1C04A8" w:rsidR="00F559C0" w:rsidRDefault="00F559C0" w:rsidP="009F574E">
      <w:pPr>
        <w:jc w:val="both"/>
        <w:rPr>
          <w:rFonts w:ascii="Arial" w:hAnsi="Arial" w:cs="Arial"/>
        </w:rPr>
      </w:pPr>
      <w:r>
        <w:rPr>
          <w:rFonts w:ascii="Arial" w:hAnsi="Arial" w:cs="Arial"/>
        </w:rPr>
        <w:t>Pro tuto fázi vždy platí, že zadavatel by měl mít stabilní tým starající se o přípravu zakázky a klást nároky na zadávající pracoviště (klinika, oddělení atd.), pro kterou je dodávka určena. Nelze docílit správného nákupu zboží s potřebnými parametry</w:t>
      </w:r>
      <w:r w:rsidR="009F574E">
        <w:rPr>
          <w:rFonts w:ascii="Arial" w:hAnsi="Arial" w:cs="Arial"/>
        </w:rPr>
        <w:t xml:space="preserve">, </w:t>
      </w:r>
      <w:r>
        <w:rPr>
          <w:rFonts w:ascii="Arial" w:hAnsi="Arial" w:cs="Arial"/>
        </w:rPr>
        <w:t xml:space="preserve">pokud se do přípravy zakázky </w:t>
      </w:r>
      <w:r w:rsidR="009F574E">
        <w:rPr>
          <w:rFonts w:ascii="Arial" w:hAnsi="Arial" w:cs="Arial"/>
        </w:rPr>
        <w:t xml:space="preserve">aktivně a </w:t>
      </w:r>
      <w:r>
        <w:rPr>
          <w:rFonts w:ascii="Arial" w:hAnsi="Arial" w:cs="Arial"/>
        </w:rPr>
        <w:t xml:space="preserve">zodpovědně nezapojí </w:t>
      </w:r>
      <w:r w:rsidR="009F574E">
        <w:rPr>
          <w:rFonts w:ascii="Arial" w:hAnsi="Arial" w:cs="Arial"/>
        </w:rPr>
        <w:t xml:space="preserve">pracovníci </w:t>
      </w:r>
      <w:r>
        <w:rPr>
          <w:rFonts w:ascii="Arial" w:hAnsi="Arial" w:cs="Arial"/>
        </w:rPr>
        <w:t>zadávající</w:t>
      </w:r>
      <w:r w:rsidR="009F574E">
        <w:rPr>
          <w:rFonts w:ascii="Arial" w:hAnsi="Arial" w:cs="Arial"/>
        </w:rPr>
        <w:t>ho</w:t>
      </w:r>
      <w:r>
        <w:rPr>
          <w:rFonts w:ascii="Arial" w:hAnsi="Arial" w:cs="Arial"/>
        </w:rPr>
        <w:t xml:space="preserve"> pracoviště. </w:t>
      </w:r>
    </w:p>
    <w:p w14:paraId="41AEF39A" w14:textId="5BD4EFDB" w:rsidR="00F559C0" w:rsidRDefault="00F559C0" w:rsidP="009F574E">
      <w:pPr>
        <w:jc w:val="both"/>
        <w:rPr>
          <w:rFonts w:ascii="Arial" w:hAnsi="Arial" w:cs="Arial"/>
        </w:rPr>
      </w:pPr>
    </w:p>
    <w:p w14:paraId="13029B2C" w14:textId="40DE39AF" w:rsidR="009F574E" w:rsidRDefault="009F574E" w:rsidP="009F574E">
      <w:pPr>
        <w:jc w:val="both"/>
        <w:rPr>
          <w:rFonts w:ascii="Arial" w:hAnsi="Arial" w:cs="Arial"/>
        </w:rPr>
      </w:pPr>
      <w:r>
        <w:rPr>
          <w:rFonts w:ascii="Arial" w:hAnsi="Arial" w:cs="Arial"/>
        </w:rPr>
        <w:t>Tým pro přípravu zakázky by se měl skládat z:</w:t>
      </w:r>
    </w:p>
    <w:p w14:paraId="4BEB8E75" w14:textId="26C4FCEA" w:rsidR="00F559C0" w:rsidRDefault="00F559C0" w:rsidP="009F574E">
      <w:pPr>
        <w:jc w:val="both"/>
        <w:rPr>
          <w:rFonts w:ascii="Arial" w:hAnsi="Arial" w:cs="Arial"/>
        </w:rPr>
      </w:pPr>
    </w:p>
    <w:p w14:paraId="6E2771C0" w14:textId="672DBE77" w:rsidR="00F559C0" w:rsidRDefault="00F559C0" w:rsidP="009F574E">
      <w:pPr>
        <w:pStyle w:val="Odstavecseseznamem"/>
        <w:numPr>
          <w:ilvl w:val="0"/>
          <w:numId w:val="15"/>
        </w:numPr>
        <w:jc w:val="both"/>
        <w:rPr>
          <w:rFonts w:ascii="Arial" w:hAnsi="Arial" w:cs="Arial"/>
        </w:rPr>
      </w:pPr>
      <w:r>
        <w:rPr>
          <w:rFonts w:ascii="Arial" w:hAnsi="Arial" w:cs="Arial"/>
        </w:rPr>
        <w:t xml:space="preserve">Pracovníků </w:t>
      </w:r>
      <w:r w:rsidR="003542A9">
        <w:rPr>
          <w:rFonts w:ascii="Arial" w:hAnsi="Arial" w:cs="Arial"/>
        </w:rPr>
        <w:t>veřejných zakázek</w:t>
      </w:r>
    </w:p>
    <w:p w14:paraId="1BAE69B7" w14:textId="02960EBF" w:rsidR="00F559C0" w:rsidRDefault="009F574E" w:rsidP="009F574E">
      <w:pPr>
        <w:pStyle w:val="Odstavecseseznamem"/>
        <w:numPr>
          <w:ilvl w:val="0"/>
          <w:numId w:val="15"/>
        </w:numPr>
        <w:jc w:val="both"/>
        <w:rPr>
          <w:rFonts w:ascii="Arial" w:hAnsi="Arial" w:cs="Arial"/>
        </w:rPr>
      </w:pPr>
      <w:r>
        <w:rPr>
          <w:rFonts w:ascii="Arial" w:hAnsi="Arial" w:cs="Arial"/>
        </w:rPr>
        <w:t>Koordinačních t</w:t>
      </w:r>
      <w:r w:rsidR="00F559C0">
        <w:rPr>
          <w:rFonts w:ascii="Arial" w:hAnsi="Arial" w:cs="Arial"/>
        </w:rPr>
        <w:t>echnických pracovníků</w:t>
      </w:r>
      <w:r w:rsidR="003542A9">
        <w:rPr>
          <w:rFonts w:ascii="Arial" w:hAnsi="Arial" w:cs="Arial"/>
        </w:rPr>
        <w:t xml:space="preserve"> (typicky biomedicinští inženýři)</w:t>
      </w:r>
    </w:p>
    <w:p w14:paraId="3A6BA638" w14:textId="76D6853E" w:rsidR="003542A9" w:rsidRDefault="003542A9" w:rsidP="009F574E">
      <w:pPr>
        <w:pStyle w:val="Odstavecseseznamem"/>
        <w:numPr>
          <w:ilvl w:val="0"/>
          <w:numId w:val="15"/>
        </w:numPr>
        <w:jc w:val="both"/>
        <w:rPr>
          <w:rFonts w:ascii="Arial" w:hAnsi="Arial" w:cs="Arial"/>
        </w:rPr>
      </w:pPr>
      <w:r>
        <w:rPr>
          <w:rFonts w:ascii="Arial" w:hAnsi="Arial" w:cs="Arial"/>
        </w:rPr>
        <w:t>Ekonomických pracovníků</w:t>
      </w:r>
    </w:p>
    <w:p w14:paraId="3BD911BB" w14:textId="5CA0AE0B" w:rsidR="003542A9" w:rsidRPr="009F574E" w:rsidRDefault="009F574E" w:rsidP="009F574E">
      <w:pPr>
        <w:pStyle w:val="Odstavecseseznamem"/>
        <w:numPr>
          <w:ilvl w:val="0"/>
          <w:numId w:val="15"/>
        </w:numPr>
        <w:jc w:val="both"/>
        <w:rPr>
          <w:rFonts w:ascii="Arial" w:hAnsi="Arial" w:cs="Arial"/>
        </w:rPr>
      </w:pPr>
      <w:r>
        <w:rPr>
          <w:rFonts w:ascii="Arial" w:hAnsi="Arial" w:cs="Arial"/>
        </w:rPr>
        <w:t>Zástupců zadávajícího pracoviště</w:t>
      </w:r>
    </w:p>
    <w:p w14:paraId="4E180B92" w14:textId="14190AC5" w:rsidR="003542A9" w:rsidRDefault="003542A9" w:rsidP="009F574E">
      <w:pPr>
        <w:jc w:val="both"/>
        <w:rPr>
          <w:rFonts w:ascii="Arial" w:hAnsi="Arial" w:cs="Arial"/>
        </w:rPr>
      </w:pPr>
    </w:p>
    <w:p w14:paraId="1FBEECBA" w14:textId="3CA0F40B" w:rsidR="009F574E" w:rsidRDefault="009F574E" w:rsidP="009F574E">
      <w:pPr>
        <w:jc w:val="both"/>
        <w:rPr>
          <w:rFonts w:ascii="Arial" w:hAnsi="Arial" w:cs="Arial"/>
        </w:rPr>
      </w:pPr>
      <w:r>
        <w:rPr>
          <w:rFonts w:ascii="Arial" w:hAnsi="Arial" w:cs="Arial"/>
        </w:rPr>
        <w:t xml:space="preserve">Dále lze zadavateli doporučit, aby personálně udržoval tento tým bez větších změn, a to i v případě pracovníků zadávajícího pracoviště pro jednotlivé typy zdrav. přístrojů se stejným či obdobným medicínským účelem. </w:t>
      </w:r>
    </w:p>
    <w:p w14:paraId="05BF2FFA" w14:textId="12A04577" w:rsidR="00EC3F22" w:rsidRDefault="00EC3F22" w:rsidP="009F574E">
      <w:pPr>
        <w:jc w:val="both"/>
        <w:rPr>
          <w:rFonts w:ascii="Arial" w:hAnsi="Arial" w:cs="Arial"/>
        </w:rPr>
      </w:pPr>
    </w:p>
    <w:p w14:paraId="2995B030" w14:textId="3D3C1071" w:rsidR="00EC3F22" w:rsidRDefault="00EC3F22" w:rsidP="009F574E">
      <w:pPr>
        <w:jc w:val="both"/>
        <w:rPr>
          <w:rFonts w:ascii="Arial" w:hAnsi="Arial" w:cs="Arial"/>
        </w:rPr>
      </w:pPr>
      <w:r>
        <w:rPr>
          <w:rFonts w:ascii="Arial" w:hAnsi="Arial" w:cs="Arial"/>
        </w:rPr>
        <w:t>Osoby zapojené do přípravy by se měli následně podílet na posouzení a hodnocení nabídek, především posouzení splnění technických požadavků na přístroj.</w:t>
      </w:r>
    </w:p>
    <w:p w14:paraId="1B6FD33E" w14:textId="77777777" w:rsidR="009F574E" w:rsidRDefault="009F574E" w:rsidP="009F574E">
      <w:pPr>
        <w:jc w:val="both"/>
        <w:rPr>
          <w:rFonts w:ascii="Arial" w:hAnsi="Arial" w:cs="Arial"/>
        </w:rPr>
      </w:pPr>
    </w:p>
    <w:p w14:paraId="0D28A43F" w14:textId="7D0A63FC" w:rsidR="00F559C0" w:rsidRDefault="00F559C0" w:rsidP="009F574E">
      <w:pPr>
        <w:jc w:val="both"/>
        <w:rPr>
          <w:rFonts w:ascii="Arial" w:hAnsi="Arial" w:cs="Arial"/>
        </w:rPr>
      </w:pPr>
      <w:r>
        <w:rPr>
          <w:rFonts w:ascii="Arial" w:hAnsi="Arial" w:cs="Arial"/>
        </w:rPr>
        <w:t xml:space="preserve">Podrobně se jednotlivým krokům </w:t>
      </w:r>
      <w:r w:rsidR="003542A9">
        <w:rPr>
          <w:rFonts w:ascii="Arial" w:hAnsi="Arial" w:cs="Arial"/>
        </w:rPr>
        <w:t xml:space="preserve">v přípravě zakázky </w:t>
      </w:r>
      <w:r w:rsidR="009F574E">
        <w:rPr>
          <w:rFonts w:ascii="Arial" w:hAnsi="Arial" w:cs="Arial"/>
        </w:rPr>
        <w:t xml:space="preserve">a zadávací dokumentaci </w:t>
      </w:r>
      <w:r>
        <w:rPr>
          <w:rFonts w:ascii="Arial" w:hAnsi="Arial" w:cs="Arial"/>
        </w:rPr>
        <w:t xml:space="preserve">věnuje </w:t>
      </w:r>
      <w:r w:rsidR="003542A9">
        <w:rPr>
          <w:rFonts w:ascii="Arial" w:hAnsi="Arial" w:cs="Arial"/>
        </w:rPr>
        <w:t xml:space="preserve">tato metodika v </w:t>
      </w:r>
      <w:r>
        <w:rPr>
          <w:rFonts w:ascii="Arial" w:hAnsi="Arial" w:cs="Arial"/>
        </w:rPr>
        <w:t xml:space="preserve">dalších kapitolách </w:t>
      </w:r>
      <w:r w:rsidR="003542A9">
        <w:rPr>
          <w:rFonts w:ascii="Arial" w:hAnsi="Arial" w:cs="Arial"/>
        </w:rPr>
        <w:t>(zejm. č. 13, 15, 17 18</w:t>
      </w:r>
      <w:r w:rsidR="009F574E">
        <w:rPr>
          <w:rFonts w:ascii="Arial" w:hAnsi="Arial" w:cs="Arial"/>
        </w:rPr>
        <w:t xml:space="preserve">, 26 </w:t>
      </w:r>
      <w:r w:rsidR="003542A9">
        <w:rPr>
          <w:rFonts w:ascii="Arial" w:hAnsi="Arial" w:cs="Arial"/>
        </w:rPr>
        <w:t>atd.)</w:t>
      </w:r>
      <w:r w:rsidR="009F574E">
        <w:rPr>
          <w:rFonts w:ascii="Arial" w:hAnsi="Arial" w:cs="Arial"/>
        </w:rPr>
        <w:t xml:space="preserve">. </w:t>
      </w:r>
    </w:p>
    <w:p w14:paraId="12AAC4A5" w14:textId="3C46986D" w:rsidR="00EC3F22" w:rsidRDefault="00EC3F22" w:rsidP="009F574E">
      <w:pPr>
        <w:jc w:val="both"/>
        <w:rPr>
          <w:rFonts w:ascii="Arial" w:hAnsi="Arial" w:cs="Arial"/>
        </w:rPr>
      </w:pPr>
    </w:p>
    <w:p w14:paraId="2348A602" w14:textId="77777777" w:rsidR="00EC3F22" w:rsidRDefault="00EC3F22" w:rsidP="00EC3F22">
      <w:pPr>
        <w:jc w:val="both"/>
        <w:rPr>
          <w:rFonts w:ascii="Arial" w:hAnsi="Arial" w:cs="Arial"/>
          <w:b/>
          <w:u w:val="single"/>
        </w:rPr>
      </w:pPr>
      <w:r w:rsidRPr="00767A72">
        <w:rPr>
          <w:rFonts w:ascii="Arial" w:hAnsi="Arial" w:cs="Arial"/>
          <w:b/>
          <w:u w:val="single"/>
        </w:rPr>
        <w:t>Shrnutí</w:t>
      </w:r>
      <w:r>
        <w:rPr>
          <w:rFonts w:ascii="Arial" w:hAnsi="Arial" w:cs="Arial"/>
          <w:b/>
          <w:u w:val="single"/>
        </w:rPr>
        <w:t>:</w:t>
      </w:r>
    </w:p>
    <w:p w14:paraId="3515626F" w14:textId="77777777" w:rsidR="00EC3F22" w:rsidRDefault="00EC3F22" w:rsidP="00EC3F22">
      <w:pPr>
        <w:spacing w:after="160" w:line="259" w:lineRule="auto"/>
        <w:contextualSpacing/>
        <w:jc w:val="both"/>
        <w:rPr>
          <w:rFonts w:ascii="Arial" w:hAnsi="Arial" w:cs="Arial"/>
          <w:b/>
          <w:u w:val="single"/>
        </w:rPr>
      </w:pPr>
    </w:p>
    <w:p w14:paraId="106E0FA6" w14:textId="42FE9E46"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Stanovení interních postupů u přípravy VZ</w:t>
      </w:r>
    </w:p>
    <w:p w14:paraId="3D0AC849" w14:textId="1A7604C0"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Důraz na aktivní zapojení koncových uživatelů při přípravě VZ</w:t>
      </w:r>
    </w:p>
    <w:p w14:paraId="7A9FED55" w14:textId="64F40E41" w:rsidR="00EC3F22" w:rsidRPr="00767A7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Personální provázání osob z přípravy a hodnocení VZ</w:t>
      </w:r>
    </w:p>
    <w:p w14:paraId="7B52670F" w14:textId="77777777" w:rsidR="00EC3F22" w:rsidRPr="00F559C0" w:rsidRDefault="00EC3F22" w:rsidP="009F574E">
      <w:pPr>
        <w:jc w:val="both"/>
        <w:rPr>
          <w:rFonts w:ascii="Arial" w:hAnsi="Arial" w:cs="Arial"/>
        </w:rPr>
      </w:pPr>
    </w:p>
    <w:p w14:paraId="67C19A20" w14:textId="77777777" w:rsidR="003B5E74" w:rsidRDefault="003B5E74" w:rsidP="00B857A6">
      <w:pPr>
        <w:rPr>
          <w:rFonts w:ascii="Arial" w:hAnsi="Arial" w:cs="Arial"/>
          <w:b/>
          <w:u w:val="single"/>
        </w:rPr>
      </w:pPr>
    </w:p>
    <w:p w14:paraId="5E8AD5EE" w14:textId="77777777" w:rsidR="003B5E74" w:rsidRDefault="003B5E74" w:rsidP="00B857A6">
      <w:pPr>
        <w:rPr>
          <w:rFonts w:ascii="Arial" w:hAnsi="Arial" w:cs="Arial"/>
          <w:b/>
          <w:u w:val="single"/>
        </w:rPr>
      </w:pPr>
    </w:p>
    <w:p w14:paraId="04BB8F05" w14:textId="0942B0F1" w:rsidR="00B857A6" w:rsidRDefault="00B857A6" w:rsidP="00B857A6">
      <w:pPr>
        <w:rPr>
          <w:rFonts w:ascii="Arial" w:hAnsi="Arial" w:cs="Arial"/>
          <w:b/>
          <w:u w:val="single"/>
        </w:rPr>
      </w:pPr>
      <w:r w:rsidRPr="0025768D">
        <w:rPr>
          <w:rFonts w:ascii="Arial" w:hAnsi="Arial" w:cs="Arial"/>
          <w:b/>
          <w:u w:val="single"/>
        </w:rPr>
        <w:t>13.) Stanovení předmětu veřejné zakázky pro nákup zdravotn</w:t>
      </w:r>
      <w:r>
        <w:rPr>
          <w:rFonts w:ascii="Arial" w:hAnsi="Arial" w:cs="Arial"/>
          <w:b/>
          <w:u w:val="single"/>
        </w:rPr>
        <w:t>ických prostředků</w:t>
      </w:r>
    </w:p>
    <w:p w14:paraId="48A6722D" w14:textId="77777777" w:rsidR="00512F05" w:rsidRDefault="00B857A6" w:rsidP="000459C8">
      <w:pPr>
        <w:jc w:val="both"/>
        <w:rPr>
          <w:rFonts w:ascii="Arial" w:hAnsi="Arial" w:cs="Arial"/>
        </w:rPr>
      </w:pPr>
      <w:r>
        <w:rPr>
          <w:rFonts w:ascii="Arial" w:hAnsi="Arial" w:cs="Arial"/>
        </w:rPr>
        <w:t xml:space="preserve">Při stanovení předmětu veřejné </w:t>
      </w:r>
      <w:r w:rsidRPr="00925A1F">
        <w:rPr>
          <w:rFonts w:ascii="Arial" w:hAnsi="Arial" w:cs="Arial"/>
        </w:rPr>
        <w:t xml:space="preserve">zakázky </w:t>
      </w:r>
      <w:r>
        <w:rPr>
          <w:rFonts w:ascii="Arial" w:hAnsi="Arial" w:cs="Arial"/>
        </w:rPr>
        <w:t xml:space="preserve">na </w:t>
      </w:r>
      <w:r w:rsidRPr="00925A1F">
        <w:rPr>
          <w:rFonts w:ascii="Arial" w:hAnsi="Arial" w:cs="Arial"/>
        </w:rPr>
        <w:t>nákup zdravotnických prostředků</w:t>
      </w:r>
      <w:r>
        <w:rPr>
          <w:rFonts w:ascii="Arial" w:hAnsi="Arial" w:cs="Arial"/>
        </w:rPr>
        <w:t xml:space="preserve"> je zadavatel povinen postupovat podle příslušných ustanovení ZZVZ, zejména §§ 36, 89 </w:t>
      </w:r>
      <w:proofErr w:type="spellStart"/>
      <w:r>
        <w:rPr>
          <w:rFonts w:ascii="Arial" w:hAnsi="Arial" w:cs="Arial"/>
        </w:rPr>
        <w:t>an</w:t>
      </w:r>
      <w:proofErr w:type="spellEnd"/>
      <w:r>
        <w:rPr>
          <w:rFonts w:ascii="Arial" w:hAnsi="Arial" w:cs="Arial"/>
        </w:rPr>
        <w:t xml:space="preserve">. V rámci stanovení technických podmínek pořizovaných zdravotnických prostředků je zadavatel povinen postupovat především podle </w:t>
      </w:r>
      <w:r w:rsidRPr="00E07AD2">
        <w:rPr>
          <w:rFonts w:ascii="Arial" w:hAnsi="Arial" w:cs="Arial"/>
        </w:rPr>
        <w:t xml:space="preserve">§ 39 </w:t>
      </w:r>
      <w:r>
        <w:rPr>
          <w:rFonts w:ascii="Arial" w:hAnsi="Arial" w:cs="Arial"/>
        </w:rPr>
        <w:t xml:space="preserve">zákona č. 375/2022 Sb., </w:t>
      </w:r>
      <w:r w:rsidRPr="00E07AD2">
        <w:rPr>
          <w:rFonts w:ascii="Arial" w:hAnsi="Arial" w:cs="Arial"/>
        </w:rPr>
        <w:t>o zdravotnických prostředcích a diagnostických zdrav</w:t>
      </w:r>
      <w:r>
        <w:rPr>
          <w:rFonts w:ascii="Arial" w:hAnsi="Arial" w:cs="Arial"/>
        </w:rPr>
        <w:t xml:space="preserve">otnických prostředcích in vitro, ve znění pozdějších předpisů (dále jen „ZZP“), dle kterého je zadavatel, jakožto poskytovatel zdravotních služeb zajistit splnění povinností uvedených v tomto zákonném ustanovení. </w:t>
      </w:r>
    </w:p>
    <w:p w14:paraId="567EA762" w14:textId="77777777" w:rsidR="00512F05" w:rsidRDefault="00512F05" w:rsidP="000459C8">
      <w:pPr>
        <w:jc w:val="both"/>
        <w:rPr>
          <w:rFonts w:ascii="Arial" w:hAnsi="Arial" w:cs="Arial"/>
        </w:rPr>
      </w:pPr>
    </w:p>
    <w:p w14:paraId="4B50BF37" w14:textId="7109F438" w:rsidR="00027BB7" w:rsidRDefault="008A6C88" w:rsidP="000459C8">
      <w:pPr>
        <w:jc w:val="both"/>
        <w:rPr>
          <w:rFonts w:ascii="Arial" w:hAnsi="Arial" w:cs="Arial"/>
        </w:rPr>
      </w:pPr>
      <w:r>
        <w:rPr>
          <w:rFonts w:ascii="Arial" w:hAnsi="Arial" w:cs="Arial"/>
        </w:rPr>
        <w:t>Zadavatel si musí být vědom složitost</w:t>
      </w:r>
      <w:r w:rsidR="00512F05">
        <w:rPr>
          <w:rFonts w:ascii="Arial" w:hAnsi="Arial" w:cs="Arial"/>
        </w:rPr>
        <w:t>í</w:t>
      </w:r>
      <w:r>
        <w:rPr>
          <w:rFonts w:ascii="Arial" w:hAnsi="Arial" w:cs="Arial"/>
        </w:rPr>
        <w:t xml:space="preserve"> legislativního rámce souvisejícího s požadavky na zdravotnickou techniku a </w:t>
      </w:r>
      <w:r w:rsidR="00D40756">
        <w:rPr>
          <w:rFonts w:ascii="Arial" w:hAnsi="Arial" w:cs="Arial"/>
        </w:rPr>
        <w:t xml:space="preserve">je tedy nutností </w:t>
      </w:r>
      <w:r>
        <w:rPr>
          <w:rFonts w:ascii="Arial" w:hAnsi="Arial" w:cs="Arial"/>
        </w:rPr>
        <w:t xml:space="preserve">sledovat </w:t>
      </w:r>
      <w:r w:rsidR="00DB7E6F">
        <w:rPr>
          <w:rFonts w:ascii="Arial" w:hAnsi="Arial" w:cs="Arial"/>
        </w:rPr>
        <w:t>vývoj</w:t>
      </w:r>
      <w:r w:rsidR="00D40756">
        <w:rPr>
          <w:rFonts w:ascii="Arial" w:hAnsi="Arial" w:cs="Arial"/>
        </w:rPr>
        <w:t xml:space="preserve"> a </w:t>
      </w:r>
      <w:r w:rsidR="00512F05">
        <w:rPr>
          <w:rFonts w:ascii="Arial" w:hAnsi="Arial" w:cs="Arial"/>
        </w:rPr>
        <w:t xml:space="preserve">promítnout jeho </w:t>
      </w:r>
      <w:r w:rsidR="00D40756">
        <w:rPr>
          <w:rFonts w:ascii="Arial" w:hAnsi="Arial" w:cs="Arial"/>
        </w:rPr>
        <w:t xml:space="preserve">dopad </w:t>
      </w:r>
      <w:r w:rsidR="00794F57">
        <w:rPr>
          <w:rFonts w:ascii="Arial" w:hAnsi="Arial" w:cs="Arial"/>
        </w:rPr>
        <w:t xml:space="preserve">do </w:t>
      </w:r>
      <w:r w:rsidR="00D40756">
        <w:rPr>
          <w:rFonts w:ascii="Arial" w:hAnsi="Arial" w:cs="Arial"/>
        </w:rPr>
        <w:t>zadávací</w:t>
      </w:r>
      <w:r w:rsidR="00794F57">
        <w:rPr>
          <w:rFonts w:ascii="Arial" w:hAnsi="Arial" w:cs="Arial"/>
        </w:rPr>
        <w:t xml:space="preserve">ch </w:t>
      </w:r>
      <w:r w:rsidR="00D40756">
        <w:rPr>
          <w:rFonts w:ascii="Arial" w:hAnsi="Arial" w:cs="Arial"/>
        </w:rPr>
        <w:t>podmín</w:t>
      </w:r>
      <w:r w:rsidR="00794F57">
        <w:rPr>
          <w:rFonts w:ascii="Arial" w:hAnsi="Arial" w:cs="Arial"/>
        </w:rPr>
        <w:t>ek. Lze zmínit například problematiku certifikace zdravotnického prostředku, náležitosti prohlášení o shodě aj.</w:t>
      </w:r>
    </w:p>
    <w:p w14:paraId="66C22538" w14:textId="411ACE34" w:rsidR="008A6C88" w:rsidRDefault="008A6C88" w:rsidP="000459C8">
      <w:pPr>
        <w:jc w:val="both"/>
        <w:rPr>
          <w:rFonts w:ascii="Arial" w:hAnsi="Arial" w:cs="Arial"/>
        </w:rPr>
      </w:pPr>
    </w:p>
    <w:p w14:paraId="53805DC5" w14:textId="77777777" w:rsidR="00027BB7" w:rsidRDefault="00027BB7" w:rsidP="000459C8">
      <w:pPr>
        <w:jc w:val="both"/>
        <w:rPr>
          <w:rFonts w:ascii="Arial" w:hAnsi="Arial" w:cs="Arial"/>
        </w:rPr>
      </w:pPr>
    </w:p>
    <w:p w14:paraId="160DE390" w14:textId="77777777" w:rsidR="003B5E74" w:rsidRDefault="003B5E74" w:rsidP="003B5E74">
      <w:pPr>
        <w:jc w:val="both"/>
        <w:rPr>
          <w:rFonts w:ascii="Arial" w:hAnsi="Arial" w:cs="Arial"/>
        </w:rPr>
      </w:pPr>
    </w:p>
    <w:p w14:paraId="54448851" w14:textId="44121093" w:rsidR="003A6B0F" w:rsidRDefault="00767A72" w:rsidP="003B5E74">
      <w:pPr>
        <w:jc w:val="both"/>
        <w:rPr>
          <w:rFonts w:ascii="Arial" w:hAnsi="Arial" w:cs="Arial"/>
          <w:b/>
          <w:u w:val="single"/>
        </w:rPr>
      </w:pPr>
      <w:r w:rsidRPr="00767A72">
        <w:rPr>
          <w:rFonts w:ascii="Arial" w:hAnsi="Arial" w:cs="Arial"/>
          <w:b/>
          <w:u w:val="single"/>
        </w:rPr>
        <w:t>Shrnutí</w:t>
      </w:r>
      <w:r>
        <w:rPr>
          <w:rFonts w:ascii="Arial" w:hAnsi="Arial" w:cs="Arial"/>
          <w:b/>
          <w:u w:val="single"/>
        </w:rPr>
        <w:t>:</w:t>
      </w:r>
    </w:p>
    <w:p w14:paraId="7D17792E" w14:textId="77777777" w:rsidR="00767A72" w:rsidRDefault="00767A72" w:rsidP="003A6B0F">
      <w:pPr>
        <w:spacing w:after="160" w:line="259" w:lineRule="auto"/>
        <w:contextualSpacing/>
        <w:jc w:val="both"/>
        <w:rPr>
          <w:rFonts w:ascii="Arial" w:hAnsi="Arial" w:cs="Arial"/>
          <w:b/>
          <w:u w:val="single"/>
        </w:rPr>
      </w:pPr>
    </w:p>
    <w:p w14:paraId="5C5E5762" w14:textId="656C050D"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Technická specifikace</w:t>
      </w:r>
    </w:p>
    <w:p w14:paraId="7C0AAD5E" w14:textId="52F6D9F1"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Kompatibilita</w:t>
      </w:r>
    </w:p>
    <w:p w14:paraId="74A21623" w14:textId="1D83327A"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Medicinský účel</w:t>
      </w:r>
    </w:p>
    <w:p w14:paraId="4D343037" w14:textId="660CBC84"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Dostupnost na trhu</w:t>
      </w:r>
    </w:p>
    <w:p w14:paraId="11A8FB95" w14:textId="23DC2DA3"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Legislativní požadavky</w:t>
      </w:r>
    </w:p>
    <w:p w14:paraId="50CF98C9" w14:textId="6313CA11" w:rsidR="00767A72" w:rsidRPr="00767A72" w:rsidRDefault="00767A72" w:rsidP="003A6B0F">
      <w:pPr>
        <w:spacing w:after="160" w:line="259" w:lineRule="auto"/>
        <w:contextualSpacing/>
        <w:jc w:val="both"/>
        <w:rPr>
          <w:rFonts w:ascii="Arial" w:hAnsi="Arial" w:cs="Arial"/>
        </w:rPr>
      </w:pPr>
    </w:p>
    <w:p w14:paraId="04A64CAE" w14:textId="77777777" w:rsidR="00B857A6" w:rsidRPr="004E007C" w:rsidRDefault="00B857A6" w:rsidP="00B857A6">
      <w:pPr>
        <w:jc w:val="both"/>
        <w:rPr>
          <w:rFonts w:ascii="Arial" w:hAnsi="Arial" w:cs="Arial"/>
        </w:rPr>
      </w:pPr>
    </w:p>
    <w:p w14:paraId="7AD8677B" w14:textId="77777777" w:rsidR="00B857A6" w:rsidRPr="004E007C" w:rsidRDefault="00B857A6" w:rsidP="00B857A6">
      <w:pPr>
        <w:rPr>
          <w:rFonts w:ascii="Arial" w:hAnsi="Arial" w:cs="Arial"/>
          <w:b/>
          <w:u w:val="single"/>
        </w:rPr>
      </w:pPr>
      <w:r w:rsidRPr="004E007C">
        <w:rPr>
          <w:rFonts w:ascii="Arial" w:hAnsi="Arial" w:cs="Arial"/>
          <w:b/>
          <w:u w:val="single"/>
        </w:rPr>
        <w:t>17. Úvaha nad základními parametry zadávacího řízení</w:t>
      </w:r>
    </w:p>
    <w:p w14:paraId="5B06C355" w14:textId="77777777" w:rsidR="00B857A6" w:rsidRDefault="00B857A6" w:rsidP="00B857A6">
      <w:pPr>
        <w:jc w:val="both"/>
        <w:rPr>
          <w:rFonts w:ascii="Arial" w:hAnsi="Arial" w:cs="Arial"/>
          <w:bCs/>
        </w:rPr>
      </w:pPr>
      <w:r w:rsidRPr="00C364FB">
        <w:rPr>
          <w:rFonts w:ascii="Arial" w:hAnsi="Arial" w:cs="Arial"/>
          <w:bCs/>
        </w:rPr>
        <w:t xml:space="preserve">Jednou z oblastí, kterou by se měl zadavatel v samotném počátku přípravy zadávacího řízení zabývat, je mimo jiné také obchodní model, prostřednictvím kterého je schopen co nejefektivněji své potřeby naplnit. </w:t>
      </w:r>
      <w:r>
        <w:rPr>
          <w:rFonts w:ascii="Arial" w:hAnsi="Arial" w:cs="Arial"/>
          <w:bCs/>
        </w:rPr>
        <w:t>V případě pořízení zdravotnických prostředků (typicky v podobě zdravotnické přístrojové techniky spotřebovávající nezbytný unikátní spotřební materiál) připadá v úvahu nejčastěji volba mezi výpůjčkou a nákupem dané techniky.</w:t>
      </w:r>
    </w:p>
    <w:p w14:paraId="2D807237" w14:textId="77777777" w:rsidR="00B857A6" w:rsidRDefault="00B857A6" w:rsidP="00B857A6">
      <w:pPr>
        <w:jc w:val="both"/>
        <w:rPr>
          <w:rFonts w:ascii="Arial" w:hAnsi="Arial" w:cs="Arial"/>
          <w:bCs/>
        </w:rPr>
      </w:pPr>
      <w:r>
        <w:rPr>
          <w:rFonts w:ascii="Arial" w:hAnsi="Arial" w:cs="Arial"/>
          <w:bCs/>
        </w:rPr>
        <w:t>V případě výpůjčky přístrojového vybavení se může jednat jednak o bezplatnou formu, kdy je cena zapůjčeného přístroje „rozpuštěna“ do zadavatelem nakupovaného a přístrojem spotřebovávaného spotřebního materiálu (varianta operativního leasingu) nebo o výpůjčku placenou, kdy bývá za zapůjčení placena zpravidla nějaký paušální poplatek a cena nakupovaného spotřebního materiálu pak nebývá danou zápůjčkou zatížena formou nějakého příplatku. Výpůjčka (ať již bezplatná či za úplatu) v sobě obvykle zahrnuje zároveň provozní zajištění daného zdravotnického přístroje v podobě servisu, BTK a ostatních dalších činností nezbytný pro provoz vypůjčeného vybavení.</w:t>
      </w:r>
    </w:p>
    <w:p w14:paraId="33AA75C2" w14:textId="77777777" w:rsidR="00B857A6" w:rsidRDefault="00B857A6" w:rsidP="00B857A6">
      <w:pPr>
        <w:jc w:val="both"/>
        <w:rPr>
          <w:rFonts w:ascii="Arial" w:hAnsi="Arial" w:cs="Arial"/>
          <w:bCs/>
        </w:rPr>
      </w:pPr>
      <w:r>
        <w:rPr>
          <w:rFonts w:ascii="Arial" w:hAnsi="Arial" w:cs="Arial"/>
          <w:bCs/>
        </w:rPr>
        <w:t xml:space="preserve">Variantním řešením, který může zadavatel v případě zajištění nezbytného přístrojového vybavení zvážit, je jeho nákup. V takovém případě je nutné vzpomenout i na další náklady spojené s provozem dané techniky, kdy kromě potřebného spotřebního materiálu bude nezbytné </w:t>
      </w:r>
      <w:proofErr w:type="spellStart"/>
      <w:r>
        <w:rPr>
          <w:rFonts w:ascii="Arial" w:hAnsi="Arial" w:cs="Arial"/>
          <w:bCs/>
        </w:rPr>
        <w:t>zasmluvnit</w:t>
      </w:r>
      <w:proofErr w:type="spellEnd"/>
      <w:r>
        <w:rPr>
          <w:rFonts w:ascii="Arial" w:hAnsi="Arial" w:cs="Arial"/>
          <w:bCs/>
        </w:rPr>
        <w:t xml:space="preserve"> také pozáruční servis vč. BTK a ostatních činností nezbytných pro bezvadný provoz nakoupeného vybavení.</w:t>
      </w:r>
    </w:p>
    <w:p w14:paraId="2D745BC9" w14:textId="77777777" w:rsidR="00B857A6" w:rsidRDefault="00B857A6" w:rsidP="00B857A6">
      <w:pPr>
        <w:jc w:val="both"/>
        <w:rPr>
          <w:rFonts w:ascii="Arial" w:hAnsi="Arial" w:cs="Arial"/>
          <w:bCs/>
        </w:rPr>
      </w:pPr>
      <w:r>
        <w:rPr>
          <w:rFonts w:ascii="Arial" w:hAnsi="Arial" w:cs="Arial"/>
          <w:bCs/>
        </w:rPr>
        <w:t>V rámci rozhodovacího procesu nad tímto základním parametrem zadávacího řízení je vhodné vzít do úvahy minimálně následující faktory na relevantním trhu a možnosti/potřeby samotného zadavatele:</w:t>
      </w:r>
    </w:p>
    <w:p w14:paraId="63F1EC5C" w14:textId="77777777" w:rsidR="00B857A6" w:rsidRDefault="00B857A6" w:rsidP="00B857A6">
      <w:pPr>
        <w:pStyle w:val="Odstavecseseznamem"/>
        <w:numPr>
          <w:ilvl w:val="0"/>
          <w:numId w:val="10"/>
        </w:numPr>
        <w:spacing w:after="160" w:line="259" w:lineRule="auto"/>
        <w:contextualSpacing/>
        <w:jc w:val="both"/>
        <w:rPr>
          <w:rFonts w:ascii="Arial" w:hAnsi="Arial" w:cs="Arial"/>
          <w:bCs/>
        </w:rPr>
      </w:pPr>
      <w:r>
        <w:rPr>
          <w:rFonts w:ascii="Arial" w:hAnsi="Arial" w:cs="Arial"/>
          <w:bCs/>
        </w:rPr>
        <w:t>Lze požadovaný předmět plnění pořídit jak formou výpůjčky, tak prostřednictvím nákupu?</w:t>
      </w:r>
    </w:p>
    <w:p w14:paraId="5305640E"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Ne každý dodavatel musí v rámci svých obchodních vztahů nabízet obě uvedené varianty</w:t>
      </w:r>
    </w:p>
    <w:p w14:paraId="10DC56BD" w14:textId="77777777" w:rsidR="00B857A6" w:rsidRDefault="00B857A6" w:rsidP="00B857A6">
      <w:pPr>
        <w:pStyle w:val="Odstavecseseznamem"/>
        <w:numPr>
          <w:ilvl w:val="0"/>
          <w:numId w:val="10"/>
        </w:numPr>
        <w:spacing w:before="360" w:line="259" w:lineRule="auto"/>
        <w:ind w:left="714" w:hanging="357"/>
        <w:jc w:val="both"/>
        <w:rPr>
          <w:rFonts w:ascii="Arial" w:hAnsi="Arial" w:cs="Arial"/>
          <w:bCs/>
        </w:rPr>
      </w:pPr>
      <w:r>
        <w:rPr>
          <w:rFonts w:ascii="Arial" w:hAnsi="Arial" w:cs="Arial"/>
          <w:bCs/>
        </w:rPr>
        <w:t>Jaký je očekávaný vývoj na trhu s požadovaným předmětem plnění?</w:t>
      </w:r>
    </w:p>
    <w:p w14:paraId="6FF8487B"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V případě velmi rychle se vyvíjejícího trhu může být pro zadavatele nevýhodné si předmět plnění koupit (rychlé zastarání pořízené technologie)</w:t>
      </w:r>
    </w:p>
    <w:p w14:paraId="23017CE3" w14:textId="77777777" w:rsidR="00B857A6" w:rsidRDefault="00B857A6" w:rsidP="00B857A6">
      <w:pPr>
        <w:pStyle w:val="Odstavecseseznamem"/>
        <w:numPr>
          <w:ilvl w:val="0"/>
          <w:numId w:val="10"/>
        </w:numPr>
        <w:spacing w:before="360" w:line="259" w:lineRule="auto"/>
        <w:ind w:left="714" w:hanging="357"/>
        <w:jc w:val="both"/>
        <w:rPr>
          <w:rFonts w:ascii="Arial" w:hAnsi="Arial" w:cs="Arial"/>
          <w:bCs/>
        </w:rPr>
      </w:pPr>
      <w:r>
        <w:rPr>
          <w:rFonts w:ascii="Arial" w:hAnsi="Arial" w:cs="Arial"/>
          <w:bCs/>
        </w:rPr>
        <w:t>Jak velký dopad do procesů zadavatele bude mít případná změna technologie?</w:t>
      </w:r>
    </w:p>
    <w:p w14:paraId="0B20E104"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Souvislost s délkou období, na kterou bude daný předmět plnění zajištěn</w:t>
      </w:r>
    </w:p>
    <w:p w14:paraId="0765140C" w14:textId="77777777" w:rsidR="00B857A6" w:rsidRDefault="00B857A6" w:rsidP="00B857A6">
      <w:pPr>
        <w:pStyle w:val="Odstavecseseznamem"/>
        <w:numPr>
          <w:ilvl w:val="2"/>
          <w:numId w:val="10"/>
        </w:numPr>
        <w:spacing w:after="160" w:line="259" w:lineRule="auto"/>
        <w:contextualSpacing/>
        <w:jc w:val="both"/>
        <w:rPr>
          <w:rFonts w:ascii="Arial" w:hAnsi="Arial" w:cs="Arial"/>
          <w:bCs/>
        </w:rPr>
      </w:pPr>
      <w:r>
        <w:rPr>
          <w:rFonts w:ascii="Arial" w:hAnsi="Arial" w:cs="Arial"/>
          <w:bCs/>
        </w:rPr>
        <w:t>Nákup – na dobu životnosti pořízené technologie/doba neurčitá</w:t>
      </w:r>
    </w:p>
    <w:p w14:paraId="4BBECFAC" w14:textId="77777777" w:rsidR="00B857A6" w:rsidRDefault="00B857A6" w:rsidP="00B857A6">
      <w:pPr>
        <w:pStyle w:val="Odstavecseseznamem"/>
        <w:numPr>
          <w:ilvl w:val="2"/>
          <w:numId w:val="10"/>
        </w:numPr>
        <w:spacing w:after="160" w:line="259" w:lineRule="auto"/>
        <w:contextualSpacing/>
        <w:jc w:val="both"/>
        <w:rPr>
          <w:rFonts w:ascii="Arial" w:hAnsi="Arial" w:cs="Arial"/>
          <w:bCs/>
        </w:rPr>
      </w:pPr>
      <w:r>
        <w:rPr>
          <w:rFonts w:ascii="Arial" w:hAnsi="Arial" w:cs="Arial"/>
          <w:bCs/>
        </w:rPr>
        <w:t>Výpůjčka – zpravidla na dobu určitou</w:t>
      </w:r>
    </w:p>
    <w:p w14:paraId="7231E5FA"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 xml:space="preserve">Čím složitější přechod na novou technologii, tím může být vhodnější zajištění předmětu plnění na delší dobu (zaškolení personálu, porovnatelnost výsledků </w:t>
      </w:r>
      <w:proofErr w:type="gramStart"/>
      <w:r>
        <w:rPr>
          <w:rFonts w:ascii="Arial" w:hAnsi="Arial" w:cs="Arial"/>
          <w:bCs/>
        </w:rPr>
        <w:t>vyšetření,…</w:t>
      </w:r>
      <w:proofErr w:type="gramEnd"/>
      <w:r>
        <w:rPr>
          <w:rFonts w:ascii="Arial" w:hAnsi="Arial" w:cs="Arial"/>
          <w:bCs/>
        </w:rPr>
        <w:t>)</w:t>
      </w:r>
    </w:p>
    <w:p w14:paraId="7F50A89E" w14:textId="77777777" w:rsidR="00B857A6" w:rsidRDefault="00B857A6" w:rsidP="00B857A6">
      <w:pPr>
        <w:pStyle w:val="Odstavecseseznamem"/>
        <w:numPr>
          <w:ilvl w:val="0"/>
          <w:numId w:val="10"/>
        </w:numPr>
        <w:spacing w:before="360" w:line="259" w:lineRule="auto"/>
        <w:ind w:left="714" w:hanging="357"/>
        <w:jc w:val="both"/>
        <w:rPr>
          <w:rFonts w:ascii="Arial" w:hAnsi="Arial" w:cs="Arial"/>
          <w:bCs/>
        </w:rPr>
      </w:pPr>
      <w:r>
        <w:rPr>
          <w:rFonts w:ascii="Arial" w:hAnsi="Arial" w:cs="Arial"/>
          <w:bCs/>
        </w:rPr>
        <w:t>Ekonomika</w:t>
      </w:r>
    </w:p>
    <w:p w14:paraId="5461BEE4"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Porovnání nákladů jednotlivých variant (ekonomická výhodnost možných řešení)</w:t>
      </w:r>
    </w:p>
    <w:p w14:paraId="44E516A8"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lastRenderedPageBreak/>
        <w:t>Finanční možnosti zadavatele (investiční vs. provozní prostředky jednotlivých variant)</w:t>
      </w:r>
    </w:p>
    <w:p w14:paraId="46B7544B" w14:textId="3ADEBBAA" w:rsidR="00767A72" w:rsidRDefault="00767A72" w:rsidP="00767A72">
      <w:pPr>
        <w:spacing w:after="160" w:line="259" w:lineRule="auto"/>
        <w:contextualSpacing/>
        <w:jc w:val="both"/>
        <w:rPr>
          <w:rFonts w:ascii="Arial" w:hAnsi="Arial" w:cs="Arial"/>
          <w:b/>
          <w:u w:val="single"/>
        </w:rPr>
      </w:pPr>
      <w:r w:rsidRPr="00767A72">
        <w:rPr>
          <w:rFonts w:ascii="Arial" w:hAnsi="Arial" w:cs="Arial"/>
          <w:b/>
          <w:u w:val="single"/>
        </w:rPr>
        <w:t>Shrnutí:</w:t>
      </w:r>
    </w:p>
    <w:p w14:paraId="0DD23B68" w14:textId="553DC5AB" w:rsidR="00767A72" w:rsidRDefault="00767A72" w:rsidP="00767A72">
      <w:pPr>
        <w:spacing w:after="160" w:line="259" w:lineRule="auto"/>
        <w:contextualSpacing/>
        <w:jc w:val="both"/>
        <w:rPr>
          <w:rFonts w:ascii="Arial" w:hAnsi="Arial" w:cs="Arial"/>
          <w:b/>
          <w:u w:val="single"/>
        </w:rPr>
      </w:pPr>
    </w:p>
    <w:p w14:paraId="3DD51680" w14:textId="2A4F05DC" w:rsidR="00767A72" w:rsidRPr="00767A72" w:rsidRDefault="00767A72" w:rsidP="00767A72">
      <w:pPr>
        <w:pStyle w:val="Odstavecseseznamem"/>
        <w:numPr>
          <w:ilvl w:val="0"/>
          <w:numId w:val="14"/>
        </w:numPr>
        <w:spacing w:after="160" w:line="259" w:lineRule="auto"/>
        <w:contextualSpacing/>
        <w:jc w:val="both"/>
        <w:rPr>
          <w:rFonts w:ascii="Arial" w:hAnsi="Arial" w:cs="Arial"/>
        </w:rPr>
      </w:pPr>
      <w:r w:rsidRPr="00767A72">
        <w:rPr>
          <w:rFonts w:ascii="Arial" w:hAnsi="Arial" w:cs="Arial"/>
        </w:rPr>
        <w:t>Pořízení x výpůjčka</w:t>
      </w:r>
    </w:p>
    <w:p w14:paraId="51BC9416" w14:textId="03B803E6" w:rsidR="00767A72" w:rsidRPr="00767A72" w:rsidRDefault="00767A72" w:rsidP="00767A72">
      <w:pPr>
        <w:pStyle w:val="Odstavecseseznamem"/>
        <w:numPr>
          <w:ilvl w:val="0"/>
          <w:numId w:val="14"/>
        </w:numPr>
        <w:spacing w:after="160" w:line="259" w:lineRule="auto"/>
        <w:contextualSpacing/>
        <w:jc w:val="both"/>
        <w:rPr>
          <w:rFonts w:ascii="Arial" w:hAnsi="Arial" w:cs="Arial"/>
        </w:rPr>
      </w:pPr>
      <w:r w:rsidRPr="00767A72">
        <w:rPr>
          <w:rFonts w:ascii="Arial" w:hAnsi="Arial" w:cs="Arial"/>
        </w:rPr>
        <w:t>Ekonomická návratnost</w:t>
      </w:r>
    </w:p>
    <w:p w14:paraId="457A3A3D" w14:textId="2CF9D639" w:rsidR="00767A72" w:rsidRPr="00767A72" w:rsidRDefault="00767A72" w:rsidP="00767A72">
      <w:pPr>
        <w:pStyle w:val="Odstavecseseznamem"/>
        <w:numPr>
          <w:ilvl w:val="0"/>
          <w:numId w:val="14"/>
        </w:numPr>
        <w:spacing w:after="160" w:line="259" w:lineRule="auto"/>
        <w:contextualSpacing/>
        <w:jc w:val="both"/>
        <w:rPr>
          <w:rFonts w:ascii="Arial" w:hAnsi="Arial" w:cs="Arial"/>
        </w:rPr>
      </w:pPr>
      <w:r w:rsidRPr="00767A72">
        <w:rPr>
          <w:rFonts w:ascii="Arial" w:hAnsi="Arial" w:cs="Arial"/>
        </w:rPr>
        <w:t>Dynamika technologického vývoje</w:t>
      </w:r>
    </w:p>
    <w:p w14:paraId="079C19B5" w14:textId="0CCA1F83" w:rsidR="00767A72" w:rsidRPr="00767A72" w:rsidRDefault="00767A72" w:rsidP="00767A72">
      <w:pPr>
        <w:pStyle w:val="Odstavecseseznamem"/>
        <w:numPr>
          <w:ilvl w:val="0"/>
          <w:numId w:val="14"/>
        </w:numPr>
        <w:spacing w:after="160" w:line="259" w:lineRule="auto"/>
        <w:contextualSpacing/>
        <w:jc w:val="both"/>
        <w:rPr>
          <w:rFonts w:ascii="Arial" w:hAnsi="Arial" w:cs="Arial"/>
        </w:rPr>
      </w:pPr>
      <w:r w:rsidRPr="00767A72">
        <w:rPr>
          <w:rFonts w:ascii="Arial" w:hAnsi="Arial" w:cs="Arial"/>
        </w:rPr>
        <w:t>Související náklady (provoz, personál, servis atd.)</w:t>
      </w:r>
    </w:p>
    <w:p w14:paraId="412797FE" w14:textId="77777777" w:rsidR="00767A72" w:rsidRPr="00767A72" w:rsidRDefault="00767A72" w:rsidP="00767A72">
      <w:pPr>
        <w:spacing w:after="160" w:line="259" w:lineRule="auto"/>
        <w:contextualSpacing/>
        <w:jc w:val="both"/>
        <w:rPr>
          <w:rFonts w:ascii="Arial" w:hAnsi="Arial" w:cs="Arial"/>
          <w:b/>
          <w:u w:val="single"/>
        </w:rPr>
      </w:pPr>
    </w:p>
    <w:p w14:paraId="23A2FF1A" w14:textId="77777777" w:rsidR="00B857A6" w:rsidRPr="004E007C" w:rsidRDefault="00B857A6" w:rsidP="00B857A6">
      <w:pPr>
        <w:rPr>
          <w:rFonts w:ascii="Arial" w:hAnsi="Arial" w:cs="Arial"/>
          <w:b/>
          <w:u w:val="single"/>
        </w:rPr>
      </w:pPr>
    </w:p>
    <w:p w14:paraId="3F215AA4" w14:textId="77777777" w:rsidR="00B857A6" w:rsidRPr="004E007C" w:rsidRDefault="00B857A6" w:rsidP="00B857A6">
      <w:pPr>
        <w:rPr>
          <w:rFonts w:ascii="Arial" w:hAnsi="Arial" w:cs="Arial"/>
          <w:b/>
          <w:u w:val="single"/>
        </w:rPr>
      </w:pPr>
      <w:r w:rsidRPr="001D355E">
        <w:rPr>
          <w:rFonts w:ascii="Arial" w:hAnsi="Arial" w:cs="Arial"/>
          <w:b/>
          <w:u w:val="single"/>
        </w:rPr>
        <w:t>18. Příprava podrobné technické specifikace</w:t>
      </w:r>
    </w:p>
    <w:p w14:paraId="0BA323F1" w14:textId="1BB101F1" w:rsidR="00696BC0" w:rsidRDefault="00696BC0" w:rsidP="00B857A6">
      <w:pPr>
        <w:jc w:val="both"/>
        <w:rPr>
          <w:rFonts w:ascii="Arial" w:hAnsi="Arial" w:cs="Arial"/>
        </w:rPr>
      </w:pPr>
      <w:r>
        <w:rPr>
          <w:rFonts w:ascii="Arial" w:hAnsi="Arial" w:cs="Arial"/>
        </w:rPr>
        <w:t xml:space="preserve">Zadavatel by </w:t>
      </w:r>
      <w:r w:rsidR="0035740A">
        <w:rPr>
          <w:rFonts w:ascii="Arial" w:hAnsi="Arial" w:cs="Arial"/>
        </w:rPr>
        <w:t xml:space="preserve">měl při </w:t>
      </w:r>
      <w:r>
        <w:rPr>
          <w:rFonts w:ascii="Arial" w:hAnsi="Arial" w:cs="Arial"/>
        </w:rPr>
        <w:t>přípravě technické specifikace u zdravotnické techniky věnovat zásadní pozornost a do této přípravy zapojit veškerá pracoviště podílející se na zadávacím řízení</w:t>
      </w:r>
      <w:r w:rsidR="003D3829">
        <w:rPr>
          <w:rFonts w:ascii="Arial" w:hAnsi="Arial" w:cs="Arial"/>
        </w:rPr>
        <w:t>.</w:t>
      </w:r>
      <w:r>
        <w:rPr>
          <w:rFonts w:ascii="Arial" w:hAnsi="Arial" w:cs="Arial"/>
        </w:rPr>
        <w:t xml:space="preserve"> </w:t>
      </w:r>
      <w:r w:rsidR="003D3829">
        <w:rPr>
          <w:rFonts w:ascii="Arial" w:hAnsi="Arial" w:cs="Arial"/>
        </w:rPr>
        <w:t>Jen taková spolupráce zajistí</w:t>
      </w:r>
      <w:r>
        <w:rPr>
          <w:rFonts w:ascii="Arial" w:hAnsi="Arial" w:cs="Arial"/>
        </w:rPr>
        <w:t xml:space="preserve"> sestavení </w:t>
      </w:r>
      <w:r w:rsidR="003D3829">
        <w:rPr>
          <w:rFonts w:ascii="Arial" w:hAnsi="Arial" w:cs="Arial"/>
        </w:rPr>
        <w:t xml:space="preserve">vhodné </w:t>
      </w:r>
      <w:r>
        <w:rPr>
          <w:rFonts w:ascii="Arial" w:hAnsi="Arial" w:cs="Arial"/>
        </w:rPr>
        <w:t>technické specifikace, které povede k zajištění vybavení uspokojující potřeb</w:t>
      </w:r>
      <w:r w:rsidR="003D3829">
        <w:rPr>
          <w:rFonts w:ascii="Arial" w:hAnsi="Arial" w:cs="Arial"/>
        </w:rPr>
        <w:t xml:space="preserve"> zadavatele.</w:t>
      </w:r>
    </w:p>
    <w:p w14:paraId="7D9F2961" w14:textId="4DBE35B8" w:rsidR="00B857A6" w:rsidRDefault="00B857A6" w:rsidP="00B857A6">
      <w:pPr>
        <w:jc w:val="both"/>
        <w:rPr>
          <w:rFonts w:ascii="Arial" w:hAnsi="Arial" w:cs="Arial"/>
        </w:rPr>
      </w:pPr>
      <w:r>
        <w:rPr>
          <w:rFonts w:ascii="Arial" w:hAnsi="Arial" w:cs="Arial"/>
        </w:rPr>
        <w:t>Technická specifikace musí být ze strany zadavatele uvedena v zadávacích podmínkách v podrobnostech nezbytných pro podání nabídky. Zájemcům o danou veřejnou zakázku tak musí být ze zadávací dokumentace zřejmé, jakými minimálními parametry musí jimi nabízený předmět plnění disponovat. Ke stanovení technických podmínek může dojít prostřednictvím parametrů vyjadřujících požadavky na výkon nebo funkci, odkazu na normy, technické dokumenty nebo např. na štítky. Zadavatel zároveň nesmí při definování technických podmínek poptávaného předmětu plnění bezdůvodně zvýhodnit nebo znevýhodnit určité dodavatele nebo výrobky prostřednictvím přímého odkazu na určité dodavatele, výrobky, patenty nebo např. ochranné známky.</w:t>
      </w:r>
      <w:r w:rsidR="00125714">
        <w:rPr>
          <w:rFonts w:ascii="Arial" w:hAnsi="Arial" w:cs="Arial"/>
        </w:rPr>
        <w:t xml:space="preserve"> V případě, že zadavatel takové odkazy užije, a to z důvodu jedinečnosti technického řešení takového přístroje</w:t>
      </w:r>
      <w:r w:rsidR="00E7224B">
        <w:rPr>
          <w:rFonts w:ascii="Arial" w:hAnsi="Arial" w:cs="Arial"/>
        </w:rPr>
        <w:t xml:space="preserve"> a kdy není schopen do detailu definovat technické parametry</w:t>
      </w:r>
      <w:r w:rsidR="00125714">
        <w:rPr>
          <w:rFonts w:ascii="Arial" w:hAnsi="Arial" w:cs="Arial"/>
        </w:rPr>
        <w:t>, musí u každého tohoto odkazu uvést možnost nabídnout rovnocenné technické řešení, které povede k uspokojení stejných potřeb.</w:t>
      </w:r>
    </w:p>
    <w:p w14:paraId="4C244836" w14:textId="77777777" w:rsidR="00511773" w:rsidRDefault="00511773" w:rsidP="00B857A6">
      <w:pPr>
        <w:jc w:val="both"/>
        <w:rPr>
          <w:rFonts w:ascii="Arial" w:hAnsi="Arial" w:cs="Arial"/>
        </w:rPr>
      </w:pPr>
    </w:p>
    <w:p w14:paraId="62380CF8" w14:textId="21ACA156" w:rsidR="00696BC0" w:rsidRDefault="00696BC0" w:rsidP="00B857A6">
      <w:pPr>
        <w:jc w:val="both"/>
        <w:rPr>
          <w:rFonts w:ascii="Arial" w:hAnsi="Arial" w:cs="Arial"/>
        </w:rPr>
      </w:pPr>
      <w:r>
        <w:rPr>
          <w:rFonts w:ascii="Arial" w:hAnsi="Arial" w:cs="Arial"/>
        </w:rPr>
        <w:t xml:space="preserve">Zadavatel by </w:t>
      </w:r>
      <w:r w:rsidR="00125714">
        <w:rPr>
          <w:rFonts w:ascii="Arial" w:hAnsi="Arial" w:cs="Arial"/>
        </w:rPr>
        <w:t xml:space="preserve">měl </w:t>
      </w:r>
      <w:r>
        <w:rPr>
          <w:rFonts w:ascii="Arial" w:hAnsi="Arial" w:cs="Arial"/>
        </w:rPr>
        <w:t xml:space="preserve">při přípravě technické specifikace v maximální možné míře využít </w:t>
      </w:r>
      <w:r w:rsidR="00125714">
        <w:rPr>
          <w:rFonts w:ascii="Arial" w:hAnsi="Arial" w:cs="Arial"/>
        </w:rPr>
        <w:t>instituty průzkumu trhu</w:t>
      </w:r>
      <w:r w:rsidR="00F67C70">
        <w:rPr>
          <w:rFonts w:ascii="Arial" w:hAnsi="Arial" w:cs="Arial"/>
        </w:rPr>
        <w:t xml:space="preserve"> (vlastního nebo s dodavateli)</w:t>
      </w:r>
      <w:r w:rsidR="00125714">
        <w:rPr>
          <w:rFonts w:ascii="Arial" w:hAnsi="Arial" w:cs="Arial"/>
        </w:rPr>
        <w:t>, předběžných tržních konzultací, konzultací s jinými zadavateli nebo kombinace předchozích možností.</w:t>
      </w:r>
    </w:p>
    <w:p w14:paraId="5B7CB38E" w14:textId="5A012CEB" w:rsidR="003D3829" w:rsidRDefault="003D3829" w:rsidP="00B857A6">
      <w:pPr>
        <w:jc w:val="both"/>
        <w:rPr>
          <w:rFonts w:ascii="Arial" w:hAnsi="Arial" w:cs="Arial"/>
        </w:rPr>
      </w:pPr>
    </w:p>
    <w:p w14:paraId="5262C15E" w14:textId="6270D765" w:rsidR="003D3829" w:rsidRPr="00EC3F22" w:rsidRDefault="003D3829" w:rsidP="00EC3F22">
      <w:pPr>
        <w:spacing w:after="160" w:line="259" w:lineRule="auto"/>
        <w:contextualSpacing/>
        <w:jc w:val="both"/>
        <w:rPr>
          <w:rFonts w:ascii="Arial" w:hAnsi="Arial" w:cs="Arial"/>
        </w:rPr>
      </w:pPr>
    </w:p>
    <w:p w14:paraId="364393DD" w14:textId="77777777" w:rsidR="003D3829" w:rsidRDefault="003D3829" w:rsidP="003D3829">
      <w:pPr>
        <w:spacing w:after="160" w:line="259" w:lineRule="auto"/>
        <w:contextualSpacing/>
        <w:jc w:val="both"/>
        <w:rPr>
          <w:rFonts w:ascii="Arial" w:hAnsi="Arial" w:cs="Arial"/>
          <w:b/>
          <w:u w:val="single"/>
        </w:rPr>
      </w:pPr>
      <w:r w:rsidRPr="00767A72">
        <w:rPr>
          <w:rFonts w:ascii="Arial" w:hAnsi="Arial" w:cs="Arial"/>
          <w:b/>
          <w:u w:val="single"/>
        </w:rPr>
        <w:t>Shrnutí</w:t>
      </w:r>
      <w:r>
        <w:rPr>
          <w:rFonts w:ascii="Arial" w:hAnsi="Arial" w:cs="Arial"/>
          <w:b/>
          <w:u w:val="single"/>
        </w:rPr>
        <w:t>:</w:t>
      </w:r>
    </w:p>
    <w:p w14:paraId="598C4ECA" w14:textId="77777777" w:rsidR="003D3829" w:rsidRDefault="003D3829" w:rsidP="003D3829">
      <w:pPr>
        <w:spacing w:after="160" w:line="259" w:lineRule="auto"/>
        <w:contextualSpacing/>
        <w:jc w:val="both"/>
        <w:rPr>
          <w:rFonts w:ascii="Arial" w:hAnsi="Arial" w:cs="Arial"/>
          <w:b/>
          <w:u w:val="single"/>
        </w:rPr>
      </w:pPr>
    </w:p>
    <w:p w14:paraId="76B77C7D" w14:textId="704D8984" w:rsidR="003D3829" w:rsidRPr="00767A72" w:rsidRDefault="003D3829" w:rsidP="003D3829">
      <w:pPr>
        <w:pStyle w:val="Odstavecseseznamem"/>
        <w:numPr>
          <w:ilvl w:val="0"/>
          <w:numId w:val="13"/>
        </w:numPr>
        <w:spacing w:after="160" w:line="259" w:lineRule="auto"/>
        <w:contextualSpacing/>
        <w:jc w:val="both"/>
        <w:rPr>
          <w:rFonts w:ascii="Arial" w:hAnsi="Arial" w:cs="Arial"/>
        </w:rPr>
      </w:pPr>
      <w:r>
        <w:rPr>
          <w:rFonts w:ascii="Arial" w:hAnsi="Arial" w:cs="Arial"/>
        </w:rPr>
        <w:t xml:space="preserve">Důsledná koordinace pracovišť při tvorbě techn. podmínek </w:t>
      </w:r>
    </w:p>
    <w:p w14:paraId="782FB0D5" w14:textId="16A94E71" w:rsidR="003D3829" w:rsidRPr="00767A72" w:rsidRDefault="003D3829" w:rsidP="003D3829">
      <w:pPr>
        <w:pStyle w:val="Odstavecseseznamem"/>
        <w:numPr>
          <w:ilvl w:val="0"/>
          <w:numId w:val="13"/>
        </w:numPr>
        <w:spacing w:after="160" w:line="259" w:lineRule="auto"/>
        <w:contextualSpacing/>
        <w:jc w:val="both"/>
        <w:rPr>
          <w:rFonts w:ascii="Arial" w:hAnsi="Arial" w:cs="Arial"/>
        </w:rPr>
      </w:pPr>
      <w:r>
        <w:rPr>
          <w:rFonts w:ascii="Arial" w:hAnsi="Arial" w:cs="Arial"/>
        </w:rPr>
        <w:t>Odůvodnění požadavku na kompatibilitu</w:t>
      </w:r>
    </w:p>
    <w:p w14:paraId="589FCB19" w14:textId="212377E0" w:rsidR="003D3829" w:rsidRPr="00767A72" w:rsidRDefault="00E7224B" w:rsidP="003D3829">
      <w:pPr>
        <w:pStyle w:val="Odstavecseseznamem"/>
        <w:numPr>
          <w:ilvl w:val="0"/>
          <w:numId w:val="13"/>
        </w:numPr>
        <w:spacing w:after="160" w:line="259" w:lineRule="auto"/>
        <w:contextualSpacing/>
        <w:jc w:val="both"/>
        <w:rPr>
          <w:rFonts w:ascii="Arial" w:hAnsi="Arial" w:cs="Arial"/>
        </w:rPr>
      </w:pPr>
      <w:r>
        <w:rPr>
          <w:rFonts w:ascii="Arial" w:hAnsi="Arial" w:cs="Arial"/>
        </w:rPr>
        <w:t>Definice samotného přístroje, ale také jeho potřebného příslušenství nutného pro provoz</w:t>
      </w:r>
      <w:r w:rsidR="00EC3F22">
        <w:rPr>
          <w:rFonts w:ascii="Arial" w:hAnsi="Arial" w:cs="Arial"/>
        </w:rPr>
        <w:t xml:space="preserve"> a servisních úkonů</w:t>
      </w:r>
    </w:p>
    <w:p w14:paraId="44603A6B" w14:textId="77777777" w:rsidR="00B857A6" w:rsidRPr="004E007C" w:rsidRDefault="00B857A6" w:rsidP="00B857A6">
      <w:pPr>
        <w:rPr>
          <w:rFonts w:ascii="Arial" w:hAnsi="Arial" w:cs="Arial"/>
          <w:b/>
          <w:u w:val="single"/>
        </w:rPr>
      </w:pPr>
    </w:p>
    <w:p w14:paraId="3AADFB87" w14:textId="77777777" w:rsidR="00B857A6" w:rsidRPr="004E007C" w:rsidRDefault="00B857A6" w:rsidP="00B857A6">
      <w:pPr>
        <w:rPr>
          <w:rFonts w:ascii="Arial" w:hAnsi="Arial" w:cs="Arial"/>
          <w:b/>
          <w:u w:val="single"/>
        </w:rPr>
      </w:pPr>
      <w:r w:rsidRPr="004E007C">
        <w:rPr>
          <w:rFonts w:ascii="Arial" w:hAnsi="Arial" w:cs="Arial"/>
          <w:b/>
          <w:u w:val="single"/>
        </w:rPr>
        <w:t xml:space="preserve">19. Podmínky </w:t>
      </w:r>
      <w:r>
        <w:rPr>
          <w:rFonts w:ascii="Arial" w:hAnsi="Arial" w:cs="Arial"/>
          <w:b/>
          <w:u w:val="single"/>
        </w:rPr>
        <w:t>způsobilosti/</w:t>
      </w:r>
      <w:r w:rsidRPr="004E007C">
        <w:rPr>
          <w:rFonts w:ascii="Arial" w:hAnsi="Arial" w:cs="Arial"/>
          <w:b/>
          <w:u w:val="single"/>
        </w:rPr>
        <w:t>kvalifikace potenciálních dodavatelů</w:t>
      </w:r>
    </w:p>
    <w:p w14:paraId="3F975005" w14:textId="3A741890" w:rsidR="00B857A6" w:rsidRDefault="00B857A6" w:rsidP="00B857A6">
      <w:pPr>
        <w:jc w:val="both"/>
        <w:rPr>
          <w:rFonts w:ascii="Arial" w:hAnsi="Arial" w:cs="Arial"/>
        </w:rPr>
      </w:pPr>
      <w:r>
        <w:rPr>
          <w:rFonts w:ascii="Arial" w:hAnsi="Arial" w:cs="Arial"/>
        </w:rPr>
        <w:t>Zadavatel je při tvorbě zadávacích podmínek oprávněn požadovat předložení dokladů a informací prokazujících skutečnost, že účastník zadávacího řízení je způsobilý (má dostatečnou kvalifikaci) k realizaci předmětu plnění definovaného v zadávací dokumentaci.</w:t>
      </w:r>
      <w:r w:rsidRPr="004E007C">
        <w:rPr>
          <w:rFonts w:ascii="Arial" w:hAnsi="Arial" w:cs="Arial"/>
        </w:rPr>
        <w:t xml:space="preserve"> </w:t>
      </w:r>
      <w:r>
        <w:rPr>
          <w:rFonts w:ascii="Arial" w:hAnsi="Arial" w:cs="Arial"/>
        </w:rPr>
        <w:t>Nad rámec zákonem stanoveného minima (zákonem definované požadavky zadavatele na kvalifikaci pro nadlimitní režim</w:t>
      </w:r>
      <w:r w:rsidR="000F021C">
        <w:rPr>
          <w:rFonts w:ascii="Arial" w:hAnsi="Arial" w:cs="Arial"/>
        </w:rPr>
        <w:t xml:space="preserve"> – základní způsobilost a obchodní rejstřík</w:t>
      </w:r>
      <w:r>
        <w:rPr>
          <w:rFonts w:ascii="Arial" w:hAnsi="Arial" w:cs="Arial"/>
        </w:rPr>
        <w:t>) může zadavatel pro veřejné zakázky na dodávku zdravotnických prostředků typicky vyžadovat:</w:t>
      </w:r>
    </w:p>
    <w:p w14:paraId="2AE5B1D3" w14:textId="77777777" w:rsidR="00B857A6" w:rsidRPr="004E007C" w:rsidRDefault="00B857A6" w:rsidP="00B857A6">
      <w:pPr>
        <w:numPr>
          <w:ilvl w:val="0"/>
          <w:numId w:val="6"/>
        </w:numPr>
        <w:spacing w:before="120" w:after="120"/>
        <w:jc w:val="both"/>
        <w:rPr>
          <w:rFonts w:ascii="Arial" w:eastAsia="Times New Roman" w:hAnsi="Arial" w:cs="Arial"/>
        </w:rPr>
      </w:pPr>
      <w:r>
        <w:rPr>
          <w:rFonts w:ascii="Arial" w:eastAsia="Times New Roman" w:hAnsi="Arial" w:cs="Arial"/>
          <w:b/>
        </w:rPr>
        <w:t>Profesní způsobilost</w:t>
      </w:r>
    </w:p>
    <w:p w14:paraId="48E3B59B" w14:textId="77777777" w:rsidR="00B857A6" w:rsidRPr="004E007C" w:rsidRDefault="00B857A6" w:rsidP="00B857A6">
      <w:pPr>
        <w:spacing w:before="120" w:after="120"/>
        <w:ind w:left="720"/>
        <w:jc w:val="both"/>
        <w:rPr>
          <w:rFonts w:ascii="Arial" w:eastAsia="Times New Roman" w:hAnsi="Arial" w:cs="Arial"/>
        </w:rPr>
      </w:pPr>
      <w:r w:rsidRPr="004E007C">
        <w:rPr>
          <w:rFonts w:ascii="Arial" w:eastAsia="Times New Roman" w:hAnsi="Arial" w:cs="Arial"/>
        </w:rPr>
        <w:lastRenderedPageBreak/>
        <w:t xml:space="preserve">Zadavatel </w:t>
      </w:r>
      <w:r>
        <w:rPr>
          <w:rFonts w:ascii="Arial" w:eastAsia="Times New Roman" w:hAnsi="Arial" w:cs="Arial"/>
        </w:rPr>
        <w:t xml:space="preserve">může v souladu s ustanovením § 77 odst. 2 písm. c) ZZVZ požadovat předložení dokladu prokazujícího oprávnění dodavatele podnikat v rozsahu odpovídajícímu předmětu plnění veřejné zakázky, pokud jiné právní předpisy takové oprávnění vyžadují. V takovém případě musí být zadavatel schopen definovat ta oprávnění, která jsou pro realizace předmětu plnění relevantní a připustit i ta, které zadavatelem požadované oprávnění obsahují. </w:t>
      </w:r>
    </w:p>
    <w:p w14:paraId="62BADFDC" w14:textId="77777777" w:rsidR="00B857A6" w:rsidRPr="004E007C" w:rsidRDefault="00B857A6" w:rsidP="00B857A6">
      <w:pPr>
        <w:numPr>
          <w:ilvl w:val="0"/>
          <w:numId w:val="6"/>
        </w:numPr>
        <w:spacing w:before="120" w:after="120"/>
        <w:jc w:val="both"/>
        <w:rPr>
          <w:rFonts w:ascii="Arial" w:eastAsia="Times New Roman" w:hAnsi="Arial" w:cs="Arial"/>
          <w:b/>
        </w:rPr>
      </w:pPr>
      <w:r>
        <w:rPr>
          <w:rFonts w:ascii="Arial" w:eastAsia="Times New Roman" w:hAnsi="Arial" w:cs="Arial"/>
          <w:b/>
        </w:rPr>
        <w:t>Technickou kvalifikaci</w:t>
      </w:r>
    </w:p>
    <w:p w14:paraId="362AF1FC" w14:textId="77777777" w:rsidR="00B857A6" w:rsidRPr="00053775" w:rsidRDefault="00B857A6" w:rsidP="00B857A6">
      <w:pPr>
        <w:pStyle w:val="Odstavecseseznamem"/>
        <w:numPr>
          <w:ilvl w:val="1"/>
          <w:numId w:val="6"/>
        </w:numPr>
        <w:spacing w:before="120" w:after="120"/>
        <w:ind w:left="1434" w:hanging="357"/>
        <w:jc w:val="both"/>
        <w:rPr>
          <w:rFonts w:ascii="Arial" w:eastAsia="Times New Roman" w:hAnsi="Arial" w:cs="Arial"/>
          <w:b/>
          <w:bCs/>
          <w:i/>
          <w:iCs/>
        </w:rPr>
      </w:pPr>
      <w:r w:rsidRPr="00053775">
        <w:rPr>
          <w:rFonts w:ascii="Arial" w:eastAsia="Times New Roman" w:hAnsi="Arial" w:cs="Arial"/>
          <w:b/>
          <w:bCs/>
          <w:i/>
          <w:iCs/>
        </w:rPr>
        <w:t>Seznam významných dodávek/služeb</w:t>
      </w:r>
      <w:r>
        <w:rPr>
          <w:rFonts w:ascii="Arial" w:eastAsia="Times New Roman" w:hAnsi="Arial" w:cs="Arial"/>
          <w:b/>
          <w:bCs/>
          <w:i/>
          <w:iCs/>
        </w:rPr>
        <w:t xml:space="preserve"> (§ 79 odst. 2 písm. b) ZZVZ)</w:t>
      </w:r>
    </w:p>
    <w:p w14:paraId="28921C14" w14:textId="77777777" w:rsidR="00B857A6" w:rsidRPr="00053775" w:rsidRDefault="00B857A6" w:rsidP="00B857A6">
      <w:pPr>
        <w:pStyle w:val="Odstavecseseznamem"/>
        <w:spacing w:before="120" w:after="120"/>
        <w:ind w:left="1440"/>
        <w:jc w:val="both"/>
        <w:rPr>
          <w:rFonts w:ascii="Arial" w:eastAsia="Times New Roman" w:hAnsi="Arial" w:cs="Arial"/>
        </w:rPr>
      </w:pPr>
      <w:r>
        <w:rPr>
          <w:rFonts w:ascii="Arial" w:eastAsia="Times New Roman" w:hAnsi="Arial" w:cs="Arial"/>
        </w:rPr>
        <w:t xml:space="preserve">Zadavatelem definovaný požadavek na předložení seznamu významných dodávek nebo služeb poskytnutých za poslední 3 roky před zahájením zadávacího řízení musí být vždy stanoven přiměřeně s ohledem na konkrétní předmět veřejné zakázky. Přiměřenost je nutno hledat nejen ve vymezení toho, co bylo předmětem významné dodávky/služby, ale také v požadované objemu či počtu požadovaných zkušeností. </w:t>
      </w:r>
    </w:p>
    <w:p w14:paraId="084BE257" w14:textId="77777777" w:rsidR="00B857A6" w:rsidRDefault="00B857A6" w:rsidP="00B857A6">
      <w:pPr>
        <w:pStyle w:val="Odstavecseseznamem"/>
        <w:numPr>
          <w:ilvl w:val="1"/>
          <w:numId w:val="6"/>
        </w:numPr>
        <w:spacing w:before="120" w:after="120"/>
        <w:ind w:left="1434" w:hanging="357"/>
        <w:jc w:val="both"/>
        <w:rPr>
          <w:rFonts w:ascii="Arial" w:eastAsia="Times New Roman" w:hAnsi="Arial" w:cs="Arial"/>
          <w:b/>
          <w:bCs/>
          <w:i/>
          <w:iCs/>
        </w:rPr>
      </w:pPr>
      <w:r w:rsidRPr="00053775">
        <w:rPr>
          <w:rFonts w:ascii="Arial" w:eastAsia="Times New Roman" w:hAnsi="Arial" w:cs="Arial"/>
          <w:b/>
          <w:bCs/>
          <w:i/>
          <w:iCs/>
        </w:rPr>
        <w:t>Popis a fotografie nabízeného předmětu plnění</w:t>
      </w:r>
      <w:r>
        <w:rPr>
          <w:rFonts w:ascii="Arial" w:eastAsia="Times New Roman" w:hAnsi="Arial" w:cs="Arial"/>
          <w:b/>
          <w:bCs/>
          <w:i/>
          <w:iCs/>
        </w:rPr>
        <w:t xml:space="preserve"> (§ 79 odst. 2 písm. k) ZZVZ)</w:t>
      </w:r>
    </w:p>
    <w:p w14:paraId="6236EA7C" w14:textId="77777777" w:rsidR="00B857A6" w:rsidRPr="001F2214" w:rsidRDefault="00B857A6" w:rsidP="00B857A6">
      <w:pPr>
        <w:pStyle w:val="Odstavecseseznamem"/>
        <w:spacing w:before="120" w:after="120"/>
        <w:ind w:left="1440"/>
        <w:jc w:val="both"/>
        <w:rPr>
          <w:rFonts w:ascii="Arial" w:eastAsia="Times New Roman" w:hAnsi="Arial" w:cs="Arial"/>
        </w:rPr>
      </w:pPr>
      <w:r w:rsidRPr="001F2214">
        <w:rPr>
          <w:rFonts w:ascii="Arial" w:eastAsia="Times New Roman" w:hAnsi="Arial" w:cs="Arial"/>
        </w:rPr>
        <w:t>Požadavek na předložení popisu a vyobrazení nabízeného předmětu by měl být ze strany zadava</w:t>
      </w:r>
      <w:r>
        <w:rPr>
          <w:rFonts w:ascii="Arial" w:eastAsia="Times New Roman" w:hAnsi="Arial" w:cs="Arial"/>
        </w:rPr>
        <w:t>tele požadován v rozsahu, který bude zajišťovat prokázání splnění požadavků zadavatele na předmět plnění, případně parametrů, které jsou předmětem hodnocení v případě kvalitativních hodnotících parametrů.</w:t>
      </w:r>
    </w:p>
    <w:p w14:paraId="6FCE90CE" w14:textId="77777777" w:rsidR="00B857A6" w:rsidRDefault="00B857A6" w:rsidP="00B857A6">
      <w:pPr>
        <w:pStyle w:val="Odstavecseseznamem"/>
        <w:numPr>
          <w:ilvl w:val="1"/>
          <w:numId w:val="6"/>
        </w:numPr>
        <w:spacing w:before="120" w:after="120"/>
        <w:ind w:left="1434" w:hanging="357"/>
        <w:jc w:val="both"/>
        <w:rPr>
          <w:rFonts w:ascii="Arial" w:eastAsia="Times New Roman" w:hAnsi="Arial" w:cs="Arial"/>
          <w:b/>
          <w:bCs/>
          <w:i/>
          <w:iCs/>
        </w:rPr>
      </w:pPr>
      <w:r w:rsidRPr="00053775">
        <w:rPr>
          <w:rFonts w:ascii="Arial" w:eastAsia="Times New Roman" w:hAnsi="Arial" w:cs="Arial"/>
          <w:b/>
          <w:bCs/>
          <w:i/>
          <w:iCs/>
        </w:rPr>
        <w:t>Prohlášení o shodě</w:t>
      </w:r>
      <w:r>
        <w:rPr>
          <w:rFonts w:ascii="Arial" w:eastAsia="Times New Roman" w:hAnsi="Arial" w:cs="Arial"/>
          <w:b/>
          <w:bCs/>
          <w:i/>
          <w:iCs/>
        </w:rPr>
        <w:t xml:space="preserve"> (§ 79 odst. 2 písm. l) ZZVZ)</w:t>
      </w:r>
    </w:p>
    <w:p w14:paraId="62960F0B" w14:textId="77777777" w:rsidR="00B857A6" w:rsidRPr="00F66A07" w:rsidRDefault="00B857A6" w:rsidP="00B857A6">
      <w:pPr>
        <w:pStyle w:val="Odstavecseseznamem"/>
        <w:spacing w:before="120" w:after="120"/>
        <w:ind w:left="1434"/>
        <w:jc w:val="both"/>
        <w:rPr>
          <w:rFonts w:ascii="Arial" w:eastAsia="Times New Roman" w:hAnsi="Arial" w:cs="Arial"/>
          <w:i/>
          <w:iCs/>
        </w:rPr>
      </w:pPr>
      <w:r w:rsidRPr="00002B25">
        <w:rPr>
          <w:rFonts w:ascii="Arial" w:eastAsia="Times New Roman" w:hAnsi="Arial" w:cs="Arial"/>
        </w:rPr>
        <w:t>Požadavek na předložení prohlášení o shodě k předmětu plnění (jedná-li se o předmět plnění, ke kterému se prohlášení o shodě standardně vydává) by mělo zadavateli zajistit dodávku takového předmětu plnění, který bude moci v souladu s platnou legislativou používat, a proto lze využívání tohoto institutu zadavatelům doporučit</w:t>
      </w:r>
      <w:r>
        <w:rPr>
          <w:rFonts w:ascii="Arial" w:eastAsia="Times New Roman" w:hAnsi="Arial" w:cs="Arial"/>
          <w:i/>
          <w:iCs/>
        </w:rPr>
        <w:t>.</w:t>
      </w:r>
    </w:p>
    <w:p w14:paraId="31CBFB87" w14:textId="77777777" w:rsidR="00B857A6" w:rsidRPr="00053775" w:rsidRDefault="00B857A6" w:rsidP="00B857A6">
      <w:pPr>
        <w:pStyle w:val="Odstavecseseznamem"/>
        <w:numPr>
          <w:ilvl w:val="1"/>
          <w:numId w:val="6"/>
        </w:numPr>
        <w:spacing w:before="120" w:after="120"/>
        <w:ind w:left="1434" w:hanging="357"/>
        <w:jc w:val="both"/>
        <w:rPr>
          <w:rFonts w:ascii="Arial" w:eastAsia="Times New Roman" w:hAnsi="Arial" w:cs="Arial"/>
          <w:b/>
          <w:bCs/>
          <w:i/>
          <w:iCs/>
        </w:rPr>
      </w:pPr>
      <w:r w:rsidRPr="00053775">
        <w:rPr>
          <w:rFonts w:ascii="Arial" w:eastAsia="Times New Roman" w:hAnsi="Arial" w:cs="Arial"/>
          <w:b/>
          <w:bCs/>
          <w:i/>
          <w:iCs/>
        </w:rPr>
        <w:t>Vzorky</w:t>
      </w:r>
      <w:r>
        <w:rPr>
          <w:rFonts w:ascii="Arial" w:eastAsia="Times New Roman" w:hAnsi="Arial" w:cs="Arial"/>
          <w:b/>
          <w:bCs/>
          <w:i/>
          <w:iCs/>
        </w:rPr>
        <w:t xml:space="preserve"> (§ 79 odst. 2 písm. k) ZZVZ)</w:t>
      </w:r>
    </w:p>
    <w:p w14:paraId="797D3E69" w14:textId="77777777" w:rsidR="00B857A6" w:rsidRDefault="00B857A6" w:rsidP="00B857A6">
      <w:pPr>
        <w:pStyle w:val="Odstavecseseznamem"/>
        <w:spacing w:before="120" w:after="120"/>
        <w:ind w:left="1440"/>
        <w:jc w:val="both"/>
        <w:rPr>
          <w:rFonts w:ascii="Arial" w:eastAsia="Times New Roman" w:hAnsi="Arial" w:cs="Arial"/>
        </w:rPr>
      </w:pPr>
      <w:r>
        <w:rPr>
          <w:rFonts w:ascii="Arial" w:eastAsia="Times New Roman" w:hAnsi="Arial" w:cs="Arial"/>
        </w:rPr>
        <w:t>Vhodným nástrojem pro zajištění kontroly, zda nabízený předmět plnění odpovídá zadavatelem definovaným zadávacím podmínkám, je požadavek na předložení vzorku. V takovém případě by zadávací podmínky měly obsahovat minimálně následující informace:</w:t>
      </w:r>
    </w:p>
    <w:p w14:paraId="54D03037" w14:textId="77777777" w:rsidR="00B857A6" w:rsidRDefault="00B857A6" w:rsidP="00B857A6">
      <w:pPr>
        <w:pStyle w:val="Odstavecseseznamem"/>
        <w:numPr>
          <w:ilvl w:val="2"/>
          <w:numId w:val="6"/>
        </w:numPr>
        <w:spacing w:before="120" w:after="120"/>
        <w:jc w:val="both"/>
        <w:rPr>
          <w:rFonts w:ascii="Arial" w:eastAsia="Times New Roman" w:hAnsi="Arial" w:cs="Arial"/>
        </w:rPr>
      </w:pPr>
      <w:r>
        <w:rPr>
          <w:rFonts w:ascii="Arial" w:eastAsia="Times New Roman" w:hAnsi="Arial" w:cs="Arial"/>
        </w:rPr>
        <w:t>Lhůta pro předložení vzorků</w:t>
      </w:r>
    </w:p>
    <w:p w14:paraId="51D68160" w14:textId="77777777" w:rsidR="00B857A6" w:rsidRDefault="00B857A6" w:rsidP="00B857A6">
      <w:pPr>
        <w:pStyle w:val="Odstavecseseznamem"/>
        <w:numPr>
          <w:ilvl w:val="2"/>
          <w:numId w:val="6"/>
        </w:numPr>
        <w:spacing w:before="120" w:after="120"/>
        <w:jc w:val="both"/>
        <w:rPr>
          <w:rFonts w:ascii="Arial" w:eastAsia="Times New Roman" w:hAnsi="Arial" w:cs="Arial"/>
        </w:rPr>
      </w:pPr>
      <w:r>
        <w:rPr>
          <w:rFonts w:ascii="Arial" w:eastAsia="Times New Roman" w:hAnsi="Arial" w:cs="Arial"/>
        </w:rPr>
        <w:t>Množství požadovaných vzorků</w:t>
      </w:r>
    </w:p>
    <w:p w14:paraId="2D2E2016" w14:textId="77777777" w:rsidR="00B857A6" w:rsidRDefault="00B857A6" w:rsidP="00B857A6">
      <w:pPr>
        <w:pStyle w:val="Odstavecseseznamem"/>
        <w:numPr>
          <w:ilvl w:val="2"/>
          <w:numId w:val="6"/>
        </w:numPr>
        <w:spacing w:before="120" w:after="120"/>
        <w:jc w:val="both"/>
        <w:rPr>
          <w:rFonts w:ascii="Arial" w:eastAsia="Times New Roman" w:hAnsi="Arial" w:cs="Arial"/>
        </w:rPr>
      </w:pPr>
      <w:r>
        <w:rPr>
          <w:rFonts w:ascii="Arial" w:eastAsia="Times New Roman" w:hAnsi="Arial" w:cs="Arial"/>
        </w:rPr>
        <w:t>Parametry, které budou předmětem posouzení vzorků</w:t>
      </w:r>
    </w:p>
    <w:p w14:paraId="5D91A828" w14:textId="77777777" w:rsidR="00B857A6" w:rsidRDefault="00B857A6" w:rsidP="00B857A6">
      <w:pPr>
        <w:pStyle w:val="Odstavecseseznamem"/>
        <w:numPr>
          <w:ilvl w:val="2"/>
          <w:numId w:val="6"/>
        </w:numPr>
        <w:spacing w:before="120" w:after="120"/>
        <w:jc w:val="both"/>
        <w:rPr>
          <w:rFonts w:ascii="Arial" w:eastAsia="Times New Roman" w:hAnsi="Arial" w:cs="Arial"/>
        </w:rPr>
      </w:pPr>
      <w:r>
        <w:rPr>
          <w:rFonts w:ascii="Arial" w:eastAsia="Times New Roman" w:hAnsi="Arial" w:cs="Arial"/>
        </w:rPr>
        <w:t>Způsob, jak budou vzorky posuzovány</w:t>
      </w:r>
    </w:p>
    <w:p w14:paraId="37ED0144" w14:textId="77777777" w:rsidR="00B857A6" w:rsidRDefault="00B857A6" w:rsidP="00B857A6">
      <w:pPr>
        <w:pStyle w:val="Odstavecseseznamem"/>
        <w:spacing w:before="120" w:after="120"/>
        <w:ind w:left="1440"/>
        <w:jc w:val="both"/>
        <w:rPr>
          <w:rFonts w:ascii="Arial" w:eastAsia="Times New Roman" w:hAnsi="Arial" w:cs="Arial"/>
        </w:rPr>
      </w:pPr>
    </w:p>
    <w:p w14:paraId="1A56556A" w14:textId="77777777" w:rsidR="00B857A6" w:rsidRPr="00E7224B" w:rsidRDefault="00B857A6" w:rsidP="00E7224B">
      <w:pPr>
        <w:spacing w:before="120" w:after="120"/>
        <w:jc w:val="both"/>
        <w:rPr>
          <w:rFonts w:ascii="Arial" w:eastAsia="Times New Roman" w:hAnsi="Arial" w:cs="Arial"/>
        </w:rPr>
      </w:pPr>
      <w:r w:rsidRPr="00E7224B">
        <w:rPr>
          <w:rFonts w:ascii="Arial" w:eastAsia="Times New Roman" w:hAnsi="Arial" w:cs="Arial"/>
        </w:rPr>
        <w:t>V případě opakujících se dodávek je vhodné, aby si zadavatel část vzorků předložených v rámci zadávacího řízení uschoval pro účely budoucí kontroly dodávaného zboží (kontrola, zda dodavatel dodává stále stejné zboží, jež bylo předmětem jeho nabídky).</w:t>
      </w:r>
    </w:p>
    <w:p w14:paraId="7D177076" w14:textId="1B949A6D" w:rsidR="00B857A6" w:rsidRDefault="00B857A6" w:rsidP="00E7224B">
      <w:pPr>
        <w:spacing w:before="120" w:after="120"/>
        <w:jc w:val="both"/>
        <w:rPr>
          <w:rFonts w:ascii="Arial" w:eastAsia="Times New Roman" w:hAnsi="Arial" w:cs="Arial"/>
        </w:rPr>
      </w:pPr>
      <w:r w:rsidRPr="00E7224B">
        <w:rPr>
          <w:rFonts w:ascii="Arial" w:eastAsia="Times New Roman" w:hAnsi="Arial" w:cs="Arial"/>
        </w:rPr>
        <w:t>Zároveň je však nutné upozornit na skutečnost, že by zadavatel, v případě požadavku na předložení vzorků, měl počítat se situací, kdy bude účastník v souladu se ZZVZ požadovat vrácení či proplacení předložených vzorků.</w:t>
      </w:r>
    </w:p>
    <w:p w14:paraId="2EF51A2C" w14:textId="441894FB" w:rsidR="00E7224B" w:rsidRPr="00E7224B" w:rsidRDefault="00F67C70" w:rsidP="00E7224B">
      <w:pPr>
        <w:spacing w:before="120" w:after="120"/>
        <w:jc w:val="both"/>
        <w:rPr>
          <w:rFonts w:ascii="Arial" w:eastAsia="Times New Roman" w:hAnsi="Arial" w:cs="Arial"/>
        </w:rPr>
      </w:pPr>
      <w:r>
        <w:rPr>
          <w:rFonts w:ascii="Arial" w:eastAsia="Times New Roman" w:hAnsi="Arial" w:cs="Arial"/>
        </w:rPr>
        <w:t xml:space="preserve">Zadavatel může také zvážit, zda některé požadavky vycházející z jiné legislativy musí nutně požadovat v rámci kvalifikace, nebo postačí předložení příslušných dokladů v rámci nabídky jako podmínku splnění zadávacích podmínek. Typicky jde například o doklady týkající se registrace/ohlášení činností dodavatele u SÚKL, prohlášení o shodě, prohlášení od výrobce, certifikát technika/školitele apod. </w:t>
      </w:r>
    </w:p>
    <w:p w14:paraId="07425E79" w14:textId="2398AB06" w:rsidR="00B857A6" w:rsidRPr="004E007C" w:rsidRDefault="00B857A6" w:rsidP="00B857A6">
      <w:pPr>
        <w:jc w:val="both"/>
        <w:rPr>
          <w:rFonts w:ascii="Arial" w:hAnsi="Arial" w:cs="Arial"/>
        </w:rPr>
      </w:pPr>
      <w:r>
        <w:rPr>
          <w:rFonts w:ascii="Arial" w:hAnsi="Arial" w:cs="Arial"/>
        </w:rPr>
        <w:lastRenderedPageBreak/>
        <w:t>Stanovení požadavků na způsobilost, resp. kvalifikaci musí být vždy s ohledem na předmět plnění tak, aby zadavatel bych schopen odůvodnit přiměřenost svých požadavků s ohledem na předmět plnění. Jinými slovy musí být zadavatel schopen prokázat, proč by dodavatel nesplňující definované požadavky na způsobilost/kvalifikaci nebyl schopen zadavatelem definovaný předmět plnění řádně zajistit. Obecně lze zadavatelům doporučit, v případě nejistoty, zařazení požadavků na prokázání profesní způsobilosti, resp. technické kvalifikace do případných předběžných tržních konzultací před zahájením zadávacího řízení.</w:t>
      </w:r>
      <w:r w:rsidR="00F87CC7">
        <w:rPr>
          <w:rFonts w:ascii="Arial" w:hAnsi="Arial" w:cs="Arial"/>
        </w:rPr>
        <w:t xml:space="preserve"> Další možností pro stanovení přiměřených kvalifikačních požadavků je vlastní rešerše zadávacích řízení jiných zadavatelů poptávající stejný nebo podobný předmět plnění.</w:t>
      </w:r>
    </w:p>
    <w:p w14:paraId="4B5A624D" w14:textId="0BF9C3E8" w:rsidR="00B857A6" w:rsidRDefault="00B857A6" w:rsidP="00B857A6">
      <w:pPr>
        <w:jc w:val="both"/>
        <w:rPr>
          <w:rFonts w:ascii="Arial" w:hAnsi="Arial" w:cs="Arial"/>
          <w:b/>
          <w:u w:val="single"/>
        </w:rPr>
      </w:pPr>
    </w:p>
    <w:p w14:paraId="2D6EA35D" w14:textId="77777777" w:rsidR="00E7224B" w:rsidRDefault="00E7224B" w:rsidP="00E7224B">
      <w:pPr>
        <w:spacing w:after="160" w:line="259" w:lineRule="auto"/>
        <w:contextualSpacing/>
        <w:jc w:val="both"/>
        <w:rPr>
          <w:rFonts w:ascii="Arial" w:hAnsi="Arial" w:cs="Arial"/>
          <w:b/>
          <w:u w:val="single"/>
        </w:rPr>
      </w:pPr>
      <w:r w:rsidRPr="00767A72">
        <w:rPr>
          <w:rFonts w:ascii="Arial" w:hAnsi="Arial" w:cs="Arial"/>
          <w:b/>
          <w:u w:val="single"/>
        </w:rPr>
        <w:t>Shrnutí</w:t>
      </w:r>
      <w:r>
        <w:rPr>
          <w:rFonts w:ascii="Arial" w:hAnsi="Arial" w:cs="Arial"/>
          <w:b/>
          <w:u w:val="single"/>
        </w:rPr>
        <w:t>:</w:t>
      </w:r>
    </w:p>
    <w:p w14:paraId="087DFE74" w14:textId="77777777" w:rsidR="00E7224B" w:rsidRDefault="00E7224B" w:rsidP="00E7224B">
      <w:pPr>
        <w:spacing w:after="160" w:line="259" w:lineRule="auto"/>
        <w:contextualSpacing/>
        <w:jc w:val="both"/>
        <w:rPr>
          <w:rFonts w:ascii="Arial" w:hAnsi="Arial" w:cs="Arial"/>
          <w:b/>
          <w:u w:val="single"/>
        </w:rPr>
      </w:pPr>
    </w:p>
    <w:p w14:paraId="64976F8C" w14:textId="1FAF54FA" w:rsidR="00E7224B" w:rsidRDefault="00E7224B" w:rsidP="00E7224B">
      <w:pPr>
        <w:pStyle w:val="Odstavecseseznamem"/>
        <w:numPr>
          <w:ilvl w:val="0"/>
          <w:numId w:val="13"/>
        </w:numPr>
        <w:spacing w:after="160" w:line="259" w:lineRule="auto"/>
        <w:contextualSpacing/>
        <w:jc w:val="both"/>
        <w:rPr>
          <w:rFonts w:ascii="Arial" w:hAnsi="Arial" w:cs="Arial"/>
        </w:rPr>
      </w:pPr>
      <w:r>
        <w:rPr>
          <w:rFonts w:ascii="Arial" w:hAnsi="Arial" w:cs="Arial"/>
        </w:rPr>
        <w:t>Vedle povinné kvalifikace (</w:t>
      </w:r>
      <w:proofErr w:type="spellStart"/>
      <w:r>
        <w:rPr>
          <w:rFonts w:ascii="Arial" w:hAnsi="Arial" w:cs="Arial"/>
        </w:rPr>
        <w:t>nadlimit</w:t>
      </w:r>
      <w:proofErr w:type="spellEnd"/>
      <w:r>
        <w:rPr>
          <w:rFonts w:ascii="Arial" w:hAnsi="Arial" w:cs="Arial"/>
        </w:rPr>
        <w:t>) možnost další kvalifikace</w:t>
      </w:r>
    </w:p>
    <w:p w14:paraId="245BAC80" w14:textId="01D3CCED" w:rsidR="00F67C70" w:rsidRDefault="00F67C70" w:rsidP="00E7224B">
      <w:pPr>
        <w:pStyle w:val="Odstavecseseznamem"/>
        <w:numPr>
          <w:ilvl w:val="0"/>
          <w:numId w:val="13"/>
        </w:numPr>
        <w:spacing w:after="160" w:line="259" w:lineRule="auto"/>
        <w:contextualSpacing/>
        <w:jc w:val="both"/>
        <w:rPr>
          <w:rFonts w:ascii="Arial" w:hAnsi="Arial" w:cs="Arial"/>
        </w:rPr>
      </w:pPr>
      <w:r>
        <w:rPr>
          <w:rFonts w:ascii="Arial" w:hAnsi="Arial" w:cs="Arial"/>
        </w:rPr>
        <w:t>Definice požadavků na vzorky</w:t>
      </w:r>
    </w:p>
    <w:p w14:paraId="3569567F" w14:textId="726DFB05" w:rsidR="00EC3F22" w:rsidRDefault="00EC3F22" w:rsidP="00E7224B">
      <w:pPr>
        <w:pStyle w:val="Odstavecseseznamem"/>
        <w:numPr>
          <w:ilvl w:val="0"/>
          <w:numId w:val="13"/>
        </w:numPr>
        <w:spacing w:after="160" w:line="259" w:lineRule="auto"/>
        <w:contextualSpacing/>
        <w:jc w:val="both"/>
        <w:rPr>
          <w:rFonts w:ascii="Arial" w:hAnsi="Arial" w:cs="Arial"/>
        </w:rPr>
      </w:pPr>
      <w:r>
        <w:rPr>
          <w:rFonts w:ascii="Arial" w:hAnsi="Arial" w:cs="Arial"/>
        </w:rPr>
        <w:t>Zvážení nutnosti požadovat i technickou kvalifikaci (seznam významných dodávek)</w:t>
      </w:r>
    </w:p>
    <w:p w14:paraId="22DA1EFD" w14:textId="172FCC0E" w:rsidR="00F67C70" w:rsidRDefault="00070082" w:rsidP="00E7224B">
      <w:pPr>
        <w:pStyle w:val="Odstavecseseznamem"/>
        <w:numPr>
          <w:ilvl w:val="0"/>
          <w:numId w:val="13"/>
        </w:numPr>
        <w:spacing w:after="160" w:line="259" w:lineRule="auto"/>
        <w:contextualSpacing/>
        <w:jc w:val="both"/>
        <w:rPr>
          <w:rFonts w:ascii="Arial" w:hAnsi="Arial" w:cs="Arial"/>
        </w:rPr>
      </w:pPr>
      <w:r>
        <w:rPr>
          <w:rFonts w:ascii="Arial" w:hAnsi="Arial" w:cs="Arial"/>
        </w:rPr>
        <w:t>Zvážení nutnosti zařazení podmínek účasti pod kvalifikaci</w:t>
      </w:r>
    </w:p>
    <w:p w14:paraId="07DD5E6C" w14:textId="77777777" w:rsidR="00E7224B" w:rsidRPr="004E007C" w:rsidRDefault="00E7224B" w:rsidP="00B857A6">
      <w:pPr>
        <w:jc w:val="both"/>
        <w:rPr>
          <w:rFonts w:ascii="Arial" w:hAnsi="Arial" w:cs="Arial"/>
          <w:b/>
          <w:u w:val="single"/>
        </w:rPr>
      </w:pPr>
    </w:p>
    <w:p w14:paraId="6579FEEF" w14:textId="77777777" w:rsidR="00B857A6" w:rsidRPr="004E007C" w:rsidRDefault="00B857A6" w:rsidP="00B857A6">
      <w:pPr>
        <w:rPr>
          <w:rFonts w:ascii="Arial" w:hAnsi="Arial" w:cs="Arial"/>
          <w:b/>
          <w:u w:val="single"/>
        </w:rPr>
      </w:pPr>
      <w:r w:rsidRPr="004E007C">
        <w:rPr>
          <w:rFonts w:ascii="Arial" w:hAnsi="Arial" w:cs="Arial"/>
          <w:b/>
          <w:u w:val="single"/>
        </w:rPr>
        <w:t>26. Stavení obchodních nebo jiných smluvních podmínek</w:t>
      </w:r>
    </w:p>
    <w:p w14:paraId="298CBFC5" w14:textId="36E6E51C" w:rsidR="003D3829" w:rsidRDefault="00B857A6" w:rsidP="00B857A6">
      <w:pPr>
        <w:spacing w:before="120" w:after="120" w:line="259" w:lineRule="auto"/>
        <w:jc w:val="both"/>
        <w:rPr>
          <w:rFonts w:ascii="Arial" w:eastAsia="Calibri" w:hAnsi="Arial" w:cs="Arial"/>
        </w:rPr>
      </w:pPr>
      <w:r w:rsidRPr="004E007C">
        <w:rPr>
          <w:rFonts w:ascii="Arial" w:eastAsia="Calibri" w:hAnsi="Arial" w:cs="Arial"/>
        </w:rPr>
        <w:t>Obchodní podmínky</w:t>
      </w:r>
      <w:r w:rsidR="003D3829">
        <w:rPr>
          <w:rFonts w:ascii="Arial" w:eastAsia="Calibri" w:hAnsi="Arial" w:cs="Arial"/>
        </w:rPr>
        <w:t xml:space="preserve">, technické </w:t>
      </w:r>
      <w:r w:rsidRPr="004E007C">
        <w:rPr>
          <w:rFonts w:ascii="Arial" w:eastAsia="Calibri" w:hAnsi="Arial" w:cs="Arial"/>
        </w:rPr>
        <w:t xml:space="preserve">a jiné smluvní podmínky jsou hlavním nástrojem, kterým si zadavatel může zajistit a následně vynutit, aby dodavatel skutečně plnil to, k čemu se ve své nabídce zavázal. Lze doporučit, aby zadavatel jako součást zadávací dokumentace zpracoval </w:t>
      </w:r>
      <w:r w:rsidR="003D3829">
        <w:rPr>
          <w:rFonts w:ascii="Arial" w:eastAsia="Calibri" w:hAnsi="Arial" w:cs="Arial"/>
        </w:rPr>
        <w:t xml:space="preserve">vlastní </w:t>
      </w:r>
      <w:r w:rsidRPr="004E007C">
        <w:rPr>
          <w:rFonts w:ascii="Arial" w:eastAsia="Calibri" w:hAnsi="Arial" w:cs="Arial"/>
        </w:rPr>
        <w:t xml:space="preserve">závazný návrh smlouvy. </w:t>
      </w:r>
      <w:r w:rsidR="003D3829">
        <w:rPr>
          <w:rFonts w:ascii="Arial" w:eastAsia="Calibri" w:hAnsi="Arial" w:cs="Arial"/>
        </w:rPr>
        <w:t xml:space="preserve">Zadavatel musí brát zřetel na to, že smluvní podmínku jsou součástí zadávacích </w:t>
      </w:r>
      <w:r w:rsidR="00137F62">
        <w:rPr>
          <w:rFonts w:ascii="Arial" w:eastAsia="Calibri" w:hAnsi="Arial" w:cs="Arial"/>
        </w:rPr>
        <w:t>podmínek,</w:t>
      </w:r>
      <w:r w:rsidR="003D3829">
        <w:rPr>
          <w:rFonts w:ascii="Arial" w:eastAsia="Calibri" w:hAnsi="Arial" w:cs="Arial"/>
        </w:rPr>
        <w:t xml:space="preserve"> a tak mohou vést k omezení okruhu dodavatelů. Při tvorbě návrhu smlouvy, tak zadavatel musí zvolit takové smluvní podmínky, které jsou v případě omezení hospodářské soutěže zdůvodnitelné.</w:t>
      </w:r>
      <w:r w:rsidR="00AD551A">
        <w:rPr>
          <w:rFonts w:ascii="Arial" w:eastAsia="Calibri" w:hAnsi="Arial" w:cs="Arial"/>
        </w:rPr>
        <w:t xml:space="preserve"> Smluvní podmínky, respektive jejich podoba a obsah, nejsou nikde v ZZVZ vymezovány. Zadavatel tak musí k těmto přistupovat </w:t>
      </w:r>
      <w:r w:rsidR="00137F62">
        <w:rPr>
          <w:rFonts w:ascii="Arial" w:eastAsia="Calibri" w:hAnsi="Arial" w:cs="Arial"/>
        </w:rPr>
        <w:t>v souvislosti s výše uvedeným a také s přihlédnutím na další normy upravující povinnosti smluvních stran, především zákon č. 89/2012 Sb., občanský zákoník</w:t>
      </w:r>
      <w:r w:rsidR="006E4B81">
        <w:rPr>
          <w:rFonts w:ascii="Arial" w:eastAsia="Calibri" w:hAnsi="Arial" w:cs="Arial"/>
        </w:rPr>
        <w:t xml:space="preserve"> (dále jen </w:t>
      </w:r>
      <w:proofErr w:type="spellStart"/>
      <w:r w:rsidR="006E4B81">
        <w:rPr>
          <w:rFonts w:ascii="Arial" w:eastAsia="Calibri" w:hAnsi="Arial" w:cs="Arial"/>
        </w:rPr>
        <w:t>o.z</w:t>
      </w:r>
      <w:proofErr w:type="spellEnd"/>
      <w:r w:rsidR="006E4B81">
        <w:rPr>
          <w:rFonts w:ascii="Arial" w:eastAsia="Calibri" w:hAnsi="Arial" w:cs="Arial"/>
        </w:rPr>
        <w:t>.)</w:t>
      </w:r>
      <w:r w:rsidR="00137F62">
        <w:rPr>
          <w:rFonts w:ascii="Arial" w:eastAsia="Calibri" w:hAnsi="Arial" w:cs="Arial"/>
        </w:rPr>
        <w:t>.</w:t>
      </w:r>
      <w:r w:rsidR="00AD551A">
        <w:rPr>
          <w:rFonts w:ascii="Arial" w:eastAsia="Calibri" w:hAnsi="Arial" w:cs="Arial"/>
        </w:rPr>
        <w:t xml:space="preserve"> </w:t>
      </w:r>
    </w:p>
    <w:p w14:paraId="1436044C" w14:textId="1B12567D" w:rsidR="00B857A6" w:rsidRPr="004E007C" w:rsidRDefault="00B857A6" w:rsidP="00B857A6">
      <w:pPr>
        <w:spacing w:before="120" w:after="120" w:line="259" w:lineRule="auto"/>
        <w:jc w:val="both"/>
        <w:rPr>
          <w:rFonts w:ascii="Arial" w:eastAsia="Calibri" w:hAnsi="Arial" w:cs="Arial"/>
        </w:rPr>
      </w:pPr>
      <w:r w:rsidRPr="004E007C">
        <w:rPr>
          <w:rFonts w:ascii="Arial" w:eastAsia="Calibri" w:hAnsi="Arial" w:cs="Arial"/>
        </w:rPr>
        <w:t>Návrh smlouvy by měl obsahovat minimálně tyto podmínky:</w:t>
      </w:r>
    </w:p>
    <w:p w14:paraId="774F998B" w14:textId="77777777" w:rsidR="00B857A6" w:rsidRPr="004E007C" w:rsidRDefault="00B857A6" w:rsidP="00B857A6">
      <w:pPr>
        <w:numPr>
          <w:ilvl w:val="0"/>
          <w:numId w:val="6"/>
        </w:numPr>
        <w:spacing w:before="120" w:after="120"/>
        <w:jc w:val="both"/>
        <w:rPr>
          <w:rFonts w:ascii="Arial" w:eastAsia="Times New Roman" w:hAnsi="Arial" w:cs="Arial"/>
        </w:rPr>
      </w:pPr>
      <w:r w:rsidRPr="004E007C">
        <w:rPr>
          <w:rFonts w:ascii="Arial" w:eastAsia="Times New Roman" w:hAnsi="Arial" w:cs="Arial"/>
          <w:b/>
        </w:rPr>
        <w:t>Jednoznačná definice předmětu plnění</w:t>
      </w:r>
    </w:p>
    <w:p w14:paraId="43C263B4" w14:textId="77777777" w:rsidR="00B857A6" w:rsidRPr="004E007C" w:rsidRDefault="00B857A6" w:rsidP="00B857A6">
      <w:pPr>
        <w:spacing w:before="120" w:after="120"/>
        <w:ind w:left="720"/>
        <w:jc w:val="both"/>
        <w:rPr>
          <w:rFonts w:ascii="Arial" w:eastAsia="Times New Roman" w:hAnsi="Arial" w:cs="Arial"/>
        </w:rPr>
      </w:pPr>
      <w:r w:rsidRPr="004E007C">
        <w:rPr>
          <w:rFonts w:ascii="Arial" w:eastAsia="Times New Roman" w:hAnsi="Arial" w:cs="Arial"/>
        </w:rPr>
        <w:t>Zadavatel musí předmět plnění vymezit tak, aby naplnil své potřeby.</w:t>
      </w:r>
    </w:p>
    <w:p w14:paraId="1377D420"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Dodací lhůta</w:t>
      </w:r>
    </w:p>
    <w:p w14:paraId="77117A08" w14:textId="47F2B4F7" w:rsidR="00B857A6" w:rsidRPr="004E007C" w:rsidRDefault="00B857A6" w:rsidP="00B857A6">
      <w:pPr>
        <w:spacing w:before="120" w:after="120"/>
        <w:ind w:left="720"/>
        <w:jc w:val="both"/>
        <w:rPr>
          <w:rFonts w:ascii="Arial" w:eastAsia="Times New Roman" w:hAnsi="Arial" w:cs="Arial"/>
          <w:b/>
        </w:rPr>
      </w:pPr>
      <w:r w:rsidRPr="004E007C">
        <w:rPr>
          <w:rFonts w:ascii="Arial" w:eastAsia="Times New Roman" w:hAnsi="Arial" w:cs="Arial"/>
        </w:rPr>
        <w:t xml:space="preserve">Zadavatel by měl při stanovení dodací lhůty pro plnění postupovat individuálně v závislosti na předmětu plnění. Konkrétní termín může být ovlivněn </w:t>
      </w:r>
      <w:r>
        <w:rPr>
          <w:rFonts w:ascii="Arial" w:eastAsia="Times New Roman" w:hAnsi="Arial" w:cs="Arial"/>
        </w:rPr>
        <w:t>nezbytností vyrábět předmět plnění na míru zadavateli, nezbytností zajištění stavební připravenosti nezbytné k realizaci předmětu plnění</w:t>
      </w:r>
      <w:r w:rsidRPr="004E007C">
        <w:rPr>
          <w:rFonts w:ascii="Arial" w:eastAsia="Times New Roman" w:hAnsi="Arial" w:cs="Arial"/>
        </w:rPr>
        <w:t>, možnostmi na trhu, realizačními možnostmi dodavatelů</w:t>
      </w:r>
      <w:r>
        <w:rPr>
          <w:rFonts w:ascii="Arial" w:eastAsia="Times New Roman" w:hAnsi="Arial" w:cs="Arial"/>
        </w:rPr>
        <w:t>, provozními možnosti zadavatele</w:t>
      </w:r>
      <w:r w:rsidRPr="004E007C">
        <w:rPr>
          <w:rFonts w:ascii="Arial" w:eastAsia="Times New Roman" w:hAnsi="Arial" w:cs="Arial"/>
        </w:rPr>
        <w:t xml:space="preserve"> apod.</w:t>
      </w:r>
      <w:r w:rsidR="00560F9C">
        <w:rPr>
          <w:rFonts w:ascii="Arial" w:eastAsia="Times New Roman" w:hAnsi="Arial" w:cs="Arial"/>
        </w:rPr>
        <w:t xml:space="preserve"> Jednou z možností je také </w:t>
      </w:r>
      <w:r w:rsidR="00CB468A">
        <w:rPr>
          <w:rFonts w:ascii="Arial" w:eastAsia="Times New Roman" w:hAnsi="Arial" w:cs="Arial"/>
        </w:rPr>
        <w:t>ponechat volbu na dodavateli, který dodací lhůtu doplní do návrhu smlouvy (případně do nabídky)</w:t>
      </w:r>
    </w:p>
    <w:p w14:paraId="74837DC3"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Platební podmínky</w:t>
      </w:r>
      <w:r w:rsidRPr="004E007C">
        <w:rPr>
          <w:rFonts w:ascii="Arial" w:eastAsia="Times New Roman" w:hAnsi="Arial" w:cs="Arial"/>
          <w:b/>
          <w:color w:val="000000"/>
        </w:rPr>
        <w:t xml:space="preserve"> (splatnost ceny, povinné náležitosti faktury)</w:t>
      </w:r>
    </w:p>
    <w:p w14:paraId="737CA197" w14:textId="52F0276E" w:rsidR="00B857A6" w:rsidRPr="004E007C" w:rsidRDefault="00B857A6" w:rsidP="00B857A6">
      <w:pPr>
        <w:spacing w:before="120" w:after="120"/>
        <w:ind w:left="720"/>
        <w:jc w:val="both"/>
        <w:rPr>
          <w:rFonts w:ascii="Arial" w:eastAsia="Times New Roman" w:hAnsi="Arial" w:cs="Arial"/>
          <w:b/>
        </w:rPr>
      </w:pPr>
      <w:r w:rsidRPr="004E007C">
        <w:rPr>
          <w:rFonts w:ascii="Arial" w:eastAsia="Times New Roman" w:hAnsi="Arial" w:cs="Arial"/>
        </w:rPr>
        <w:t xml:space="preserve">Zadavatel by v obligatorním návrhu smlouvy měl mít definovány požadované náležitosti faktury, resp. daňového dokladu. Pro lepší přehlednost je doporučováno, aby jednotlivé faktury obsahovaly evidenční číslo veřejné zakázky proto, aby faktura mohla být spárována s veřejnou zakázkou na základě které je smluvní vztah realizován. Při stanovení délky splatnosti je zadavatel vázán § 1963 </w:t>
      </w:r>
      <w:proofErr w:type="spellStart"/>
      <w:r w:rsidR="006E4B81">
        <w:rPr>
          <w:rFonts w:ascii="Arial" w:eastAsia="Times New Roman" w:hAnsi="Arial" w:cs="Arial"/>
        </w:rPr>
        <w:t>o.z</w:t>
      </w:r>
      <w:proofErr w:type="spellEnd"/>
      <w:r w:rsidR="006E4B81">
        <w:rPr>
          <w:rFonts w:ascii="Arial" w:eastAsia="Times New Roman" w:hAnsi="Arial" w:cs="Arial"/>
        </w:rPr>
        <w:t xml:space="preserve">. </w:t>
      </w:r>
      <w:r w:rsidR="002C2950">
        <w:rPr>
          <w:rFonts w:ascii="Arial" w:eastAsia="Times New Roman" w:hAnsi="Arial" w:cs="Arial"/>
        </w:rPr>
        <w:t>Veřejný z</w:t>
      </w:r>
      <w:r w:rsidR="00CB468A">
        <w:rPr>
          <w:rFonts w:ascii="Arial" w:eastAsia="Times New Roman" w:hAnsi="Arial" w:cs="Arial"/>
        </w:rPr>
        <w:t xml:space="preserve">adavatel je oprávněn na základě § 1963 </w:t>
      </w:r>
      <w:r w:rsidR="002C2950">
        <w:rPr>
          <w:rFonts w:ascii="Arial" w:eastAsia="Times New Roman" w:hAnsi="Arial" w:cs="Arial"/>
        </w:rPr>
        <w:t>o</w:t>
      </w:r>
      <w:r w:rsidR="008F229C">
        <w:rPr>
          <w:rFonts w:ascii="Arial" w:eastAsia="Times New Roman" w:hAnsi="Arial" w:cs="Arial"/>
        </w:rPr>
        <w:t>d</w:t>
      </w:r>
      <w:r w:rsidR="002C2950">
        <w:rPr>
          <w:rFonts w:ascii="Arial" w:eastAsia="Times New Roman" w:hAnsi="Arial" w:cs="Arial"/>
        </w:rPr>
        <w:t xml:space="preserve">st. 3 </w:t>
      </w:r>
      <w:proofErr w:type="spellStart"/>
      <w:r w:rsidR="006E4B81">
        <w:rPr>
          <w:rFonts w:ascii="Arial" w:eastAsia="Times New Roman" w:hAnsi="Arial" w:cs="Arial"/>
        </w:rPr>
        <w:t>o.z</w:t>
      </w:r>
      <w:proofErr w:type="spellEnd"/>
      <w:r w:rsidR="006E4B81">
        <w:rPr>
          <w:rFonts w:ascii="Arial" w:eastAsia="Times New Roman" w:hAnsi="Arial" w:cs="Arial"/>
        </w:rPr>
        <w:t xml:space="preserve">. </w:t>
      </w:r>
      <w:r w:rsidR="00CB468A">
        <w:rPr>
          <w:rFonts w:ascii="Arial" w:eastAsia="Times New Roman" w:hAnsi="Arial" w:cs="Arial"/>
        </w:rPr>
        <w:t xml:space="preserve">stanovit splatnost faktur i delší </w:t>
      </w:r>
      <w:r w:rsidR="002C2950">
        <w:rPr>
          <w:rFonts w:ascii="Arial" w:eastAsia="Times New Roman" w:hAnsi="Arial" w:cs="Arial"/>
        </w:rPr>
        <w:t>než 30 dnů, max. však 60 dnů.</w:t>
      </w:r>
    </w:p>
    <w:p w14:paraId="0F501286"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Definice sankcí</w:t>
      </w:r>
      <w:r w:rsidRPr="004E007C">
        <w:rPr>
          <w:rFonts w:ascii="Arial" w:eastAsia="Times New Roman" w:hAnsi="Arial" w:cs="Arial"/>
          <w:b/>
          <w:color w:val="000000"/>
        </w:rPr>
        <w:t xml:space="preserve"> </w:t>
      </w:r>
    </w:p>
    <w:p w14:paraId="27E909DA" w14:textId="56858AB8" w:rsidR="00070082" w:rsidRDefault="00F67C70" w:rsidP="00B857A6">
      <w:pPr>
        <w:spacing w:before="120" w:after="120"/>
        <w:ind w:left="720"/>
        <w:jc w:val="both"/>
        <w:rPr>
          <w:rFonts w:ascii="Arial" w:eastAsia="Calibri" w:hAnsi="Arial" w:cs="Arial"/>
        </w:rPr>
      </w:pPr>
      <w:r>
        <w:rPr>
          <w:rFonts w:ascii="Arial" w:eastAsia="Calibri" w:hAnsi="Arial" w:cs="Arial"/>
        </w:rPr>
        <w:lastRenderedPageBreak/>
        <w:t>Zadavatel by měl při stanovení sankcí postupovat přiměřeně, avšak brát v</w:t>
      </w:r>
      <w:r w:rsidR="00070082">
        <w:rPr>
          <w:rFonts w:ascii="Arial" w:eastAsia="Calibri" w:hAnsi="Arial" w:cs="Arial"/>
        </w:rPr>
        <w:t> </w:t>
      </w:r>
      <w:r>
        <w:rPr>
          <w:rFonts w:ascii="Arial" w:eastAsia="Calibri" w:hAnsi="Arial" w:cs="Arial"/>
        </w:rPr>
        <w:t>úvahu</w:t>
      </w:r>
      <w:r w:rsidR="00070082">
        <w:rPr>
          <w:rFonts w:ascii="Arial" w:eastAsia="Calibri" w:hAnsi="Arial" w:cs="Arial"/>
        </w:rPr>
        <w:t xml:space="preserve"> prostředí zdravotní péče. Sankce a jejich podoba (výše) by měla odpovídat nutnosti </w:t>
      </w:r>
      <w:r w:rsidR="00AD551A">
        <w:rPr>
          <w:rFonts w:ascii="Arial" w:eastAsia="Calibri" w:hAnsi="Arial" w:cs="Arial"/>
        </w:rPr>
        <w:t xml:space="preserve">v maximální možné míře </w:t>
      </w:r>
      <w:r w:rsidR="00070082">
        <w:rPr>
          <w:rFonts w:ascii="Arial" w:eastAsia="Calibri" w:hAnsi="Arial" w:cs="Arial"/>
        </w:rPr>
        <w:t xml:space="preserve">eliminovat rizika ohrožení zdraví a života pacientů při zanedbaní smluvních povinnosti dodavatelem. </w:t>
      </w:r>
      <w:r w:rsidR="00B857A6" w:rsidRPr="004E007C">
        <w:rPr>
          <w:rFonts w:ascii="Arial" w:eastAsia="Calibri" w:hAnsi="Arial" w:cs="Arial"/>
        </w:rPr>
        <w:t xml:space="preserve">Nadto je nutné akcentovat skutečnost, že nastavené smluvní pokuty je následně nutné vymáhat. Nevymáhání smluvních pokut znamená změnu ekonomické výhodnosti ve prospěch vybraného dodavatele, tudíž nepřípustnou podstatnou změnu </w:t>
      </w:r>
      <w:r w:rsidR="00B857A6">
        <w:rPr>
          <w:rFonts w:ascii="Arial" w:eastAsia="Calibri" w:hAnsi="Arial" w:cs="Arial"/>
        </w:rPr>
        <w:t xml:space="preserve">závazku ze </w:t>
      </w:r>
      <w:r w:rsidR="00B857A6" w:rsidRPr="004E007C">
        <w:rPr>
          <w:rFonts w:ascii="Arial" w:eastAsia="Calibri" w:hAnsi="Arial" w:cs="Arial"/>
        </w:rPr>
        <w:t xml:space="preserve">smlouvy ve smyslu § 222 ZZVZ. </w:t>
      </w:r>
      <w:r w:rsidR="00070082">
        <w:rPr>
          <w:rFonts w:ascii="Arial" w:eastAsia="Calibri" w:hAnsi="Arial" w:cs="Arial"/>
        </w:rPr>
        <w:t>Zadavatel musí vymáhat sankce ve stanovém rozsahu i z toho ohledu, že k moderaci (např. snižování) sankce není oprávněn (moderace sankce přísluší pouze soudu)</w:t>
      </w:r>
    </w:p>
    <w:p w14:paraId="0DE34B1E" w14:textId="31CD314C" w:rsidR="00B857A6" w:rsidRPr="004E007C" w:rsidRDefault="00B857A6" w:rsidP="00B857A6">
      <w:pPr>
        <w:spacing w:before="120" w:after="120"/>
        <w:ind w:left="720"/>
        <w:jc w:val="both"/>
        <w:rPr>
          <w:rFonts w:ascii="Arial" w:eastAsia="Times New Roman" w:hAnsi="Arial" w:cs="Arial"/>
          <w:b/>
        </w:rPr>
      </w:pPr>
      <w:r w:rsidRPr="004E007C">
        <w:rPr>
          <w:rFonts w:ascii="Arial" w:eastAsia="Calibri" w:hAnsi="Arial" w:cs="Arial"/>
        </w:rPr>
        <w:t xml:space="preserve">Výše uvedené však neznamená, že vhodné sankční mechanismy, včetně smluvní pokuty, nemají být součástí smluvní dokumentace. Mimo jiné lze uvažovat o </w:t>
      </w:r>
      <w:r w:rsidRPr="004E007C">
        <w:rPr>
          <w:rFonts w:ascii="Arial" w:eastAsia="Times New Roman" w:hAnsi="Arial" w:cs="Arial"/>
          <w:color w:val="000000"/>
        </w:rPr>
        <w:t>sankci za pozdní dodání</w:t>
      </w:r>
      <w:r>
        <w:rPr>
          <w:rFonts w:ascii="Arial" w:eastAsia="Times New Roman" w:hAnsi="Arial" w:cs="Arial"/>
          <w:color w:val="000000"/>
        </w:rPr>
        <w:t>/poskytnutí související služby</w:t>
      </w:r>
      <w:r w:rsidRPr="004E007C">
        <w:rPr>
          <w:rFonts w:ascii="Arial" w:eastAsia="Times New Roman" w:hAnsi="Arial" w:cs="Arial"/>
          <w:color w:val="000000"/>
        </w:rPr>
        <w:t xml:space="preserve">, sankci za dodání předmětu plnění v neodpovídající kvalitě, sankci za nedodání nutných dokladů apod. </w:t>
      </w:r>
    </w:p>
    <w:p w14:paraId="63C5665C"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Vymezení doby trvání smlouvy</w:t>
      </w:r>
      <w:r w:rsidRPr="004E007C">
        <w:rPr>
          <w:rFonts w:ascii="Arial" w:eastAsia="Times New Roman" w:hAnsi="Arial" w:cs="Arial"/>
          <w:b/>
          <w:color w:val="000000"/>
        </w:rPr>
        <w:t xml:space="preserve"> </w:t>
      </w:r>
    </w:p>
    <w:p w14:paraId="26F4B48F" w14:textId="77777777" w:rsidR="00B857A6" w:rsidRPr="004E007C" w:rsidRDefault="00B857A6" w:rsidP="00B857A6">
      <w:pPr>
        <w:spacing w:before="120" w:after="120"/>
        <w:ind w:left="720"/>
        <w:jc w:val="both"/>
        <w:rPr>
          <w:rFonts w:ascii="Arial" w:eastAsia="Times New Roman" w:hAnsi="Arial" w:cs="Arial"/>
          <w:b/>
        </w:rPr>
      </w:pPr>
      <w:r w:rsidRPr="004E007C">
        <w:rPr>
          <w:rFonts w:ascii="Arial" w:eastAsia="Calibri" w:hAnsi="Arial" w:cs="Arial"/>
        </w:rPr>
        <w:t>Délka trvání smluvního vztahu by měla zohledňovat specifika předmětu plnění, provozní možnosti zadavatele, situaci na trhu a možnosti dodavatelů. Přiměřená délka smluvního vztahu by tak měla být alespoň 1 rok. Trvání vztahu z rámcové dohody nesmí být dle ZZVZ</w:t>
      </w:r>
      <w:r>
        <w:rPr>
          <w:rFonts w:ascii="Arial" w:eastAsia="Calibri" w:hAnsi="Arial" w:cs="Arial"/>
        </w:rPr>
        <w:t>,</w:t>
      </w:r>
      <w:r w:rsidRPr="004E007C">
        <w:rPr>
          <w:rFonts w:ascii="Arial" w:eastAsia="Calibri" w:hAnsi="Arial" w:cs="Arial"/>
        </w:rPr>
        <w:t xml:space="preserve"> kromě výjimečných případů vztahujících se k předmětu rámcové dohody</w:t>
      </w:r>
      <w:r>
        <w:rPr>
          <w:rFonts w:ascii="Arial" w:eastAsia="Calibri" w:hAnsi="Arial" w:cs="Arial"/>
        </w:rPr>
        <w:t>,</w:t>
      </w:r>
      <w:r w:rsidRPr="004E007C">
        <w:rPr>
          <w:rFonts w:ascii="Arial" w:eastAsia="Calibri" w:hAnsi="Arial" w:cs="Arial"/>
        </w:rPr>
        <w:t xml:space="preserve"> delší než 4 roky. Trvání vztahu z rámcové dohody delší než 4 roky může být odůvodněno objektivními příčinami, které se vztahují k předmětu rámcové dohody.</w:t>
      </w:r>
    </w:p>
    <w:p w14:paraId="14BFA353"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Vyhrazená změna závazku</w:t>
      </w:r>
    </w:p>
    <w:p w14:paraId="16E964AC" w14:textId="77777777" w:rsidR="00B857A6" w:rsidRPr="004E007C" w:rsidRDefault="00B857A6" w:rsidP="00B857A6">
      <w:pPr>
        <w:spacing w:before="120" w:after="120"/>
        <w:ind w:left="720"/>
        <w:jc w:val="both"/>
        <w:rPr>
          <w:rFonts w:ascii="Arial" w:eastAsia="Times New Roman" w:hAnsi="Arial" w:cs="Arial"/>
          <w:b/>
        </w:rPr>
      </w:pPr>
      <w:r w:rsidRPr="004E007C">
        <w:rPr>
          <w:rFonts w:ascii="Arial" w:eastAsia="Times New Roman" w:hAnsi="Arial" w:cs="Arial"/>
          <w:color w:val="000000"/>
          <w:lang w:eastAsia="cs-CZ"/>
        </w:rPr>
        <w:t xml:space="preserve">ZZVZ ve svém § 100 umožňuje v zadávacích podmínkách, typicky přímo ve vzorovém návrhu smlouvy, vyhradit změnu závazku ze smlouvy na veřejnou zakázku neměnící celkovou povahu veřejné zakázky. Taková změna se může týkat rozsahu dodávek, délky trvání smlouvy, ale také ceny nebo jiných obchodních či technických podmínek, vždy však s přihlédnutím k předpokládané hodnotě veřejné zakázky. Zadavatel je v takovém případě povinen podmínky pro tuto změnu a její obsah jednoznačně vymezit. Typickým příkladem vyžití vyhrazené změny závazku je inflační doložka. V případě, že se ji zadavatel rozhodne využít, musí dbát na to, aby byla vymezena jednoznačně, zejména za jakých podmínek ji lze využít, jakým způsobem se vypočítá zvýšení / snížení smluvní ceny a od jakého okamžiku ke změně dojde. </w:t>
      </w:r>
    </w:p>
    <w:p w14:paraId="12C7D2D5" w14:textId="5C278A43" w:rsidR="00B857A6" w:rsidRPr="004E007C" w:rsidRDefault="00AD551A" w:rsidP="00B857A6">
      <w:pPr>
        <w:numPr>
          <w:ilvl w:val="0"/>
          <w:numId w:val="6"/>
        </w:numPr>
        <w:spacing w:before="120" w:after="120"/>
        <w:jc w:val="both"/>
        <w:rPr>
          <w:rFonts w:ascii="Arial" w:eastAsia="Times New Roman" w:hAnsi="Arial" w:cs="Arial"/>
          <w:b/>
        </w:rPr>
      </w:pPr>
      <w:r>
        <w:rPr>
          <w:rFonts w:ascii="Arial" w:eastAsia="Times New Roman" w:hAnsi="Arial" w:cs="Arial"/>
          <w:b/>
        </w:rPr>
        <w:t xml:space="preserve">Práva z vad </w:t>
      </w:r>
      <w:r w:rsidR="003D3829">
        <w:rPr>
          <w:rFonts w:ascii="Arial" w:eastAsia="Times New Roman" w:hAnsi="Arial" w:cs="Arial"/>
          <w:b/>
        </w:rPr>
        <w:t>a záruka za jakost</w:t>
      </w:r>
    </w:p>
    <w:p w14:paraId="5915DA51" w14:textId="65BAFAEF" w:rsidR="00AD551A" w:rsidRPr="00137F62" w:rsidRDefault="00AD551A" w:rsidP="00B857A6">
      <w:pPr>
        <w:spacing w:before="120" w:after="120"/>
        <w:ind w:left="720"/>
        <w:jc w:val="both"/>
        <w:rPr>
          <w:rFonts w:ascii="Arial" w:eastAsia="Times New Roman" w:hAnsi="Arial" w:cs="Arial"/>
        </w:rPr>
      </w:pPr>
      <w:r w:rsidRPr="00137F62">
        <w:rPr>
          <w:rFonts w:ascii="Arial" w:eastAsia="Times New Roman" w:hAnsi="Arial" w:cs="Arial"/>
        </w:rPr>
        <w:t xml:space="preserve">Zadavatel musí rozlišovat mezi dvěma smluvními instituty: práva z vad a záruky za jakost. Práva z vad má právo zadavatel uplatnit </w:t>
      </w:r>
      <w:r w:rsidR="00137F62">
        <w:rPr>
          <w:rFonts w:ascii="Arial" w:eastAsia="Times New Roman" w:hAnsi="Arial" w:cs="Arial"/>
        </w:rPr>
        <w:t xml:space="preserve">přímo </w:t>
      </w:r>
      <w:r w:rsidRPr="00137F62">
        <w:rPr>
          <w:rFonts w:ascii="Arial" w:eastAsia="Times New Roman" w:hAnsi="Arial" w:cs="Arial"/>
        </w:rPr>
        <w:t xml:space="preserve">ze zákona (§ 2165 </w:t>
      </w:r>
      <w:proofErr w:type="spellStart"/>
      <w:r w:rsidR="006E4B81">
        <w:rPr>
          <w:rFonts w:ascii="Arial" w:eastAsia="Times New Roman" w:hAnsi="Arial" w:cs="Arial"/>
        </w:rPr>
        <w:t>o.z</w:t>
      </w:r>
      <w:proofErr w:type="spellEnd"/>
      <w:r w:rsidR="006E4B81">
        <w:rPr>
          <w:rFonts w:ascii="Arial" w:eastAsia="Times New Roman" w:hAnsi="Arial" w:cs="Arial"/>
        </w:rPr>
        <w:t>.</w:t>
      </w:r>
      <w:r w:rsidRPr="00137F62">
        <w:rPr>
          <w:rFonts w:ascii="Arial" w:eastAsia="Times New Roman" w:hAnsi="Arial" w:cs="Arial"/>
        </w:rPr>
        <w:t xml:space="preserve">) a váže se k povinnosti prodávajícího zajistit, aby mohl kupující po určitou dobu (24 měsíců) používat věc bez vad. Naproti tomu záruka za jakost, která je zadavateli často používaná, </w:t>
      </w:r>
      <w:r w:rsidR="00137F62" w:rsidRPr="00137F62">
        <w:rPr>
          <w:rFonts w:ascii="Arial" w:eastAsia="Times New Roman" w:hAnsi="Arial" w:cs="Arial"/>
        </w:rPr>
        <w:t xml:space="preserve">je na smluvní akceptaci obou smluvních stran a je to norma dispozitivní, tedy její podoba není jasně stanovena zákonem jako u práva z vad viz § 2113 </w:t>
      </w:r>
      <w:proofErr w:type="spellStart"/>
      <w:r w:rsidR="00137F62" w:rsidRPr="00137F62">
        <w:rPr>
          <w:rFonts w:ascii="Arial" w:eastAsia="Times New Roman" w:hAnsi="Arial" w:cs="Arial"/>
        </w:rPr>
        <w:t>o.z</w:t>
      </w:r>
      <w:proofErr w:type="spellEnd"/>
      <w:r w:rsidR="00137F62" w:rsidRPr="00137F62">
        <w:rPr>
          <w:rFonts w:ascii="Arial" w:eastAsia="Times New Roman" w:hAnsi="Arial" w:cs="Arial"/>
        </w:rPr>
        <w:t>. Z</w:t>
      </w:r>
      <w:r w:rsidR="00137F62" w:rsidRPr="00137F62">
        <w:rPr>
          <w:rFonts w:ascii="Arial" w:hAnsi="Arial" w:cs="Arial"/>
          <w:color w:val="000000"/>
          <w:shd w:val="clear" w:color="auto" w:fill="FFFFFF"/>
        </w:rPr>
        <w:t>áruka za jakost vzniká prohlášením poskytovatele záruky, že kupujícího uspokojí nad rámec jeho zákonných práv z vadného plnění.</w:t>
      </w:r>
    </w:p>
    <w:p w14:paraId="102EC3EB"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 xml:space="preserve">Ukončení smlouvy </w:t>
      </w:r>
    </w:p>
    <w:p w14:paraId="6D1ECE95" w14:textId="35EA5A78" w:rsidR="00B857A6" w:rsidRDefault="00B857A6" w:rsidP="00B857A6">
      <w:pPr>
        <w:spacing w:before="120" w:after="120"/>
        <w:ind w:left="720"/>
        <w:jc w:val="both"/>
        <w:rPr>
          <w:rFonts w:ascii="Arial" w:eastAsia="Calibri" w:hAnsi="Arial" w:cs="Arial"/>
        </w:rPr>
      </w:pPr>
      <w:r w:rsidRPr="004E007C">
        <w:rPr>
          <w:rFonts w:ascii="Arial" w:eastAsia="Calibri" w:hAnsi="Arial" w:cs="Arial"/>
        </w:rPr>
        <w:t xml:space="preserve">Do návrhů smluv by měl zadavatel nastavit mechanismus, na </w:t>
      </w:r>
      <w:proofErr w:type="gramStart"/>
      <w:r w:rsidRPr="004E007C">
        <w:rPr>
          <w:rFonts w:ascii="Arial" w:eastAsia="Calibri" w:hAnsi="Arial" w:cs="Arial"/>
        </w:rPr>
        <w:t>základě</w:t>
      </w:r>
      <w:proofErr w:type="gramEnd"/>
      <w:r w:rsidRPr="004E007C">
        <w:rPr>
          <w:rFonts w:ascii="Arial" w:eastAsia="Calibri" w:hAnsi="Arial" w:cs="Arial"/>
        </w:rPr>
        <w:t xml:space="preserve"> kterého lze smlouvu oboustranně vypovědět, neexistuje-li objektivní důvod, proč tak nečinit. Zadavatel by měl délku výpovědní doby </w:t>
      </w:r>
      <w:r>
        <w:rPr>
          <w:rFonts w:ascii="Arial" w:eastAsia="Calibri" w:hAnsi="Arial" w:cs="Arial"/>
        </w:rPr>
        <w:t>stanovit s ohledem na délku případného</w:t>
      </w:r>
      <w:r w:rsidRPr="004E007C">
        <w:rPr>
          <w:rFonts w:ascii="Arial" w:eastAsia="Calibri" w:hAnsi="Arial" w:cs="Arial"/>
        </w:rPr>
        <w:t xml:space="preserve"> navazujícího zadávacího řízení</w:t>
      </w:r>
      <w:r w:rsidR="00A06B3C">
        <w:rPr>
          <w:rFonts w:ascii="Arial" w:eastAsia="Calibri" w:hAnsi="Arial" w:cs="Arial"/>
        </w:rPr>
        <w:t xml:space="preserve"> (</w:t>
      </w:r>
      <w:r w:rsidR="003D3829">
        <w:rPr>
          <w:rFonts w:ascii="Arial" w:eastAsia="Calibri" w:hAnsi="Arial" w:cs="Arial"/>
        </w:rPr>
        <w:t>doba potřebná k </w:t>
      </w:r>
      <w:proofErr w:type="spellStart"/>
      <w:r w:rsidR="003D3829">
        <w:rPr>
          <w:rFonts w:ascii="Arial" w:eastAsia="Calibri" w:hAnsi="Arial" w:cs="Arial"/>
        </w:rPr>
        <w:t>přesoutěžení</w:t>
      </w:r>
      <w:proofErr w:type="spellEnd"/>
      <w:r w:rsidR="003D3829">
        <w:rPr>
          <w:rFonts w:ascii="Arial" w:eastAsia="Calibri" w:hAnsi="Arial" w:cs="Arial"/>
        </w:rPr>
        <w:t xml:space="preserve"> totožného předmětu plnění)</w:t>
      </w:r>
      <w:r>
        <w:rPr>
          <w:rFonts w:ascii="Arial" w:eastAsia="Calibri" w:hAnsi="Arial" w:cs="Arial"/>
        </w:rPr>
        <w:t>. Zadavatel je rovněž oprávněn v rámci smluvních podmínek definovat délku, po kterou je daná smlouva nevypověditelná (tj.</w:t>
      </w:r>
      <w:r w:rsidRPr="004E007C">
        <w:rPr>
          <w:rFonts w:ascii="Arial" w:eastAsia="Calibri" w:hAnsi="Arial" w:cs="Arial"/>
        </w:rPr>
        <w:t xml:space="preserve"> minimální délku trvání smluvního vztahu</w:t>
      </w:r>
      <w:r>
        <w:rPr>
          <w:rFonts w:ascii="Arial" w:eastAsia="Calibri" w:hAnsi="Arial" w:cs="Arial"/>
        </w:rPr>
        <w:t>)</w:t>
      </w:r>
      <w:r w:rsidRPr="004E007C">
        <w:rPr>
          <w:rFonts w:ascii="Arial" w:eastAsia="Calibri" w:hAnsi="Arial" w:cs="Arial"/>
        </w:rPr>
        <w:t>. Zadavatel je dále oprávněn nad rámec důvodů stanovených zákonem uvést do návrhu smlouvy okolnosti, za kterých jsou smluvní strany oprávněny od smlouvy odstoupit.</w:t>
      </w:r>
    </w:p>
    <w:p w14:paraId="7A9D85DB" w14:textId="082521B7" w:rsidR="00EC3F22" w:rsidRDefault="00EC3F22" w:rsidP="00B857A6">
      <w:pPr>
        <w:spacing w:before="120" w:after="120"/>
        <w:ind w:left="720"/>
        <w:jc w:val="both"/>
        <w:rPr>
          <w:rFonts w:ascii="Arial" w:eastAsia="Times New Roman" w:hAnsi="Arial" w:cs="Arial"/>
          <w:b/>
        </w:rPr>
      </w:pPr>
    </w:p>
    <w:p w14:paraId="5C4CE461" w14:textId="77777777" w:rsidR="00EC3F22" w:rsidRDefault="00EC3F22" w:rsidP="00EC3F22">
      <w:pPr>
        <w:spacing w:after="160" w:line="259" w:lineRule="auto"/>
        <w:contextualSpacing/>
        <w:jc w:val="both"/>
        <w:rPr>
          <w:rFonts w:ascii="Arial" w:hAnsi="Arial" w:cs="Arial"/>
          <w:b/>
          <w:u w:val="single"/>
        </w:rPr>
      </w:pPr>
      <w:r w:rsidRPr="00767A72">
        <w:rPr>
          <w:rFonts w:ascii="Arial" w:hAnsi="Arial" w:cs="Arial"/>
          <w:b/>
          <w:u w:val="single"/>
        </w:rPr>
        <w:lastRenderedPageBreak/>
        <w:t>Shrnutí</w:t>
      </w:r>
      <w:r>
        <w:rPr>
          <w:rFonts w:ascii="Arial" w:hAnsi="Arial" w:cs="Arial"/>
          <w:b/>
          <w:u w:val="single"/>
        </w:rPr>
        <w:t>:</w:t>
      </w:r>
    </w:p>
    <w:p w14:paraId="0CE24877" w14:textId="77777777" w:rsidR="00EC3F22" w:rsidRDefault="00EC3F22" w:rsidP="00EC3F22">
      <w:pPr>
        <w:spacing w:after="160" w:line="259" w:lineRule="auto"/>
        <w:contextualSpacing/>
        <w:jc w:val="both"/>
        <w:rPr>
          <w:rFonts w:ascii="Arial" w:hAnsi="Arial" w:cs="Arial"/>
          <w:b/>
          <w:u w:val="single"/>
        </w:rPr>
      </w:pPr>
    </w:p>
    <w:p w14:paraId="6002ADEF" w14:textId="77777777"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Vhodný vlastní návrh smluvních podmínek zadavatele</w:t>
      </w:r>
    </w:p>
    <w:p w14:paraId="61D78636" w14:textId="77777777"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Minimální smluvní, obchodní a technické podmínky (předmět, termín plnění, platební podmínky, sankce, způsob ukončení smlouvy)</w:t>
      </w:r>
    </w:p>
    <w:p w14:paraId="24449E09" w14:textId="77777777"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Zvážení nutnosti zařazení podmínek účasti pod kvalifikaci</w:t>
      </w:r>
    </w:p>
    <w:p w14:paraId="138B2666" w14:textId="77777777" w:rsidR="00EC3F22" w:rsidRPr="004E007C" w:rsidRDefault="00EC3F22" w:rsidP="00B857A6">
      <w:pPr>
        <w:spacing w:before="120" w:after="120"/>
        <w:ind w:left="720"/>
        <w:jc w:val="both"/>
        <w:rPr>
          <w:rFonts w:ascii="Arial" w:eastAsia="Times New Roman" w:hAnsi="Arial" w:cs="Arial"/>
          <w:b/>
        </w:rPr>
      </w:pPr>
    </w:p>
    <w:p w14:paraId="51E81D85" w14:textId="77777777" w:rsidR="00B857A6" w:rsidRPr="004E007C" w:rsidRDefault="00B857A6" w:rsidP="00B857A6">
      <w:pPr>
        <w:rPr>
          <w:rFonts w:ascii="Arial" w:hAnsi="Arial" w:cs="Arial"/>
          <w:b/>
          <w:u w:val="single"/>
        </w:rPr>
      </w:pPr>
    </w:p>
    <w:p w14:paraId="780D0016" w14:textId="77777777" w:rsidR="00FB2B46" w:rsidRPr="003B5E74" w:rsidRDefault="00FB2B46" w:rsidP="00FB2B46">
      <w:pPr>
        <w:rPr>
          <w:b/>
          <w:u w:val="single"/>
        </w:rPr>
      </w:pPr>
      <w:bookmarkStart w:id="0" w:name="_GoBack"/>
      <w:r w:rsidRPr="003B5E74">
        <w:rPr>
          <w:b/>
          <w:u w:val="single"/>
        </w:rPr>
        <w:t>6</w:t>
      </w:r>
      <w:r>
        <w:rPr>
          <w:b/>
          <w:u w:val="single"/>
        </w:rPr>
        <w:t>.</w:t>
      </w:r>
      <w:r w:rsidRPr="003B5E74">
        <w:rPr>
          <w:b/>
          <w:u w:val="single"/>
        </w:rPr>
        <w:t xml:space="preserve"> Nákup zdravotnických prostředků → opakované dodávky</w:t>
      </w:r>
      <w:bookmarkEnd w:id="0"/>
    </w:p>
    <w:p w14:paraId="34A5811F" w14:textId="77777777" w:rsidR="00FB2B46" w:rsidRDefault="00FB2B46" w:rsidP="00FB2B46">
      <w:pPr>
        <w:jc w:val="both"/>
      </w:pPr>
    </w:p>
    <w:p w14:paraId="4C5753EF" w14:textId="77777777" w:rsidR="00FB2B46" w:rsidRDefault="00FB2B46" w:rsidP="00FB2B46">
      <w:pPr>
        <w:jc w:val="both"/>
      </w:pPr>
      <w:r>
        <w:t>Zadavatel v souvislosti s nákupem zdravotnické techniky často pořizuje i zdravotnický spotřební materiál, který je nutný k zajištění funkce a provozu daného přístroje. Zadavatel by měl v ideálním případě při nákupu přístroje, vedle jeho servisního zajištění, rovnou poptávat i spotřební materiál. Zadavatel při komplexní soutěží pak šetří časové i personální náklady a zároveň má sjednocené smluvní zajištění servisu i spotřebního materiálu např. po dobu živostnosti přístroje.</w:t>
      </w:r>
    </w:p>
    <w:p w14:paraId="4D3BD137" w14:textId="77777777" w:rsidR="00FB2B46" w:rsidRDefault="00FB2B46" w:rsidP="00FB2B46"/>
    <w:p w14:paraId="0AD5F936" w14:textId="77777777" w:rsidR="00FB2B46" w:rsidRDefault="00FB2B46" w:rsidP="00FB2B46"/>
    <w:p w14:paraId="4DC63202" w14:textId="77777777" w:rsidR="00FB2B46" w:rsidRPr="00333C25" w:rsidRDefault="00FB2B46" w:rsidP="00FB2B46"/>
    <w:p w14:paraId="477942B4" w14:textId="77777777" w:rsidR="00FB2B46" w:rsidRPr="003B5E74" w:rsidRDefault="00FB2B46" w:rsidP="00FB2B46">
      <w:pPr>
        <w:rPr>
          <w:b/>
          <w:u w:val="single"/>
        </w:rPr>
      </w:pPr>
      <w:r w:rsidRPr="003B5E74">
        <w:rPr>
          <w:b/>
          <w:u w:val="single"/>
        </w:rPr>
        <w:t xml:space="preserve">7. Nákup zdravotnických prostředků jednorázových → zdravotnická technika </w:t>
      </w:r>
    </w:p>
    <w:p w14:paraId="1200D447" w14:textId="77777777" w:rsidR="00FB2B46" w:rsidRDefault="00FB2B46" w:rsidP="00FB2B46">
      <w:r>
        <w:t xml:space="preserve">Nákupy zdravotnické techniky jsou spíše jednorázové a nahodilé. Je třeba upozornit, že </w:t>
      </w:r>
    </w:p>
    <w:p w14:paraId="54BFF462" w14:textId="66943A0C" w:rsidR="00B857A6" w:rsidRDefault="00B857A6" w:rsidP="00B857A6"/>
    <w:p w14:paraId="5F83DB1D" w14:textId="77777777" w:rsidR="00EC3F22" w:rsidRDefault="00EC3F22" w:rsidP="00B857A6"/>
    <w:sectPr w:rsidR="00EC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900"/>
    <w:multiLevelType w:val="hybridMultilevel"/>
    <w:tmpl w:val="2EDC0F7C"/>
    <w:lvl w:ilvl="0" w:tplc="AFCE0BBE">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8855BF"/>
    <w:multiLevelType w:val="hybridMultilevel"/>
    <w:tmpl w:val="9D623C74"/>
    <w:lvl w:ilvl="0" w:tplc="EE2836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B77351"/>
    <w:multiLevelType w:val="hybridMultilevel"/>
    <w:tmpl w:val="FF168B2E"/>
    <w:lvl w:ilvl="0" w:tplc="28A6C31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1E2AC6"/>
    <w:multiLevelType w:val="hybridMultilevel"/>
    <w:tmpl w:val="37B21C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A7541"/>
    <w:multiLevelType w:val="hybridMultilevel"/>
    <w:tmpl w:val="FAEA89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8C5B85"/>
    <w:multiLevelType w:val="hybridMultilevel"/>
    <w:tmpl w:val="87C86480"/>
    <w:lvl w:ilvl="0" w:tplc="AFCE0BBE">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FE1497"/>
    <w:multiLevelType w:val="hybridMultilevel"/>
    <w:tmpl w:val="52ECB7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271122"/>
    <w:multiLevelType w:val="hybridMultilevel"/>
    <w:tmpl w:val="FF168B2E"/>
    <w:lvl w:ilvl="0" w:tplc="28A6C31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011C61"/>
    <w:multiLevelType w:val="hybridMultilevel"/>
    <w:tmpl w:val="F11679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C442E8"/>
    <w:multiLevelType w:val="hybridMultilevel"/>
    <w:tmpl w:val="23389D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770075"/>
    <w:multiLevelType w:val="hybridMultilevel"/>
    <w:tmpl w:val="546E84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2A223D"/>
    <w:multiLevelType w:val="hybridMultilevel"/>
    <w:tmpl w:val="FF168B2E"/>
    <w:lvl w:ilvl="0" w:tplc="28A6C31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2201B5"/>
    <w:multiLevelType w:val="hybridMultilevel"/>
    <w:tmpl w:val="D0F27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5E0805"/>
    <w:multiLevelType w:val="hybridMultilevel"/>
    <w:tmpl w:val="009A878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7"/>
  </w:num>
  <w:num w:numId="5">
    <w:abstractNumId w:val="5"/>
  </w:num>
  <w:num w:numId="6">
    <w:abstractNumId w:val="12"/>
  </w:num>
  <w:num w:numId="7">
    <w:abstractNumId w:val="0"/>
  </w:num>
  <w:num w:numId="8">
    <w:abstractNumId w:val="8"/>
  </w:num>
  <w:num w:numId="9">
    <w:abstractNumId w:val="9"/>
  </w:num>
  <w:num w:numId="10">
    <w:abstractNumId w:val="10"/>
  </w:num>
  <w:num w:numId="11">
    <w:abstractNumId w:val="3"/>
  </w:num>
  <w:num w:numId="12">
    <w:abstractNumId w:val="1"/>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4F"/>
    <w:rsid w:val="00027BB7"/>
    <w:rsid w:val="000459C8"/>
    <w:rsid w:val="00070082"/>
    <w:rsid w:val="00076B5C"/>
    <w:rsid w:val="000F021C"/>
    <w:rsid w:val="00125714"/>
    <w:rsid w:val="00137F62"/>
    <w:rsid w:val="0017591E"/>
    <w:rsid w:val="001E62F2"/>
    <w:rsid w:val="001F3B66"/>
    <w:rsid w:val="00207858"/>
    <w:rsid w:val="002241F3"/>
    <w:rsid w:val="00244658"/>
    <w:rsid w:val="002C2950"/>
    <w:rsid w:val="002D45A9"/>
    <w:rsid w:val="003542A9"/>
    <w:rsid w:val="0035740A"/>
    <w:rsid w:val="003A6B0F"/>
    <w:rsid w:val="003B5E74"/>
    <w:rsid w:val="003D3829"/>
    <w:rsid w:val="00450D2E"/>
    <w:rsid w:val="00511773"/>
    <w:rsid w:val="00512F05"/>
    <w:rsid w:val="00560F9C"/>
    <w:rsid w:val="005E40E5"/>
    <w:rsid w:val="00680030"/>
    <w:rsid w:val="00696BC0"/>
    <w:rsid w:val="006C1A6E"/>
    <w:rsid w:val="006E4B81"/>
    <w:rsid w:val="00705647"/>
    <w:rsid w:val="00767A72"/>
    <w:rsid w:val="00794F57"/>
    <w:rsid w:val="00840A70"/>
    <w:rsid w:val="008A5346"/>
    <w:rsid w:val="008A6C88"/>
    <w:rsid w:val="008F229C"/>
    <w:rsid w:val="009E11D3"/>
    <w:rsid w:val="009F574E"/>
    <w:rsid w:val="00A06B3C"/>
    <w:rsid w:val="00AD551A"/>
    <w:rsid w:val="00B857A6"/>
    <w:rsid w:val="00CB468A"/>
    <w:rsid w:val="00D169A2"/>
    <w:rsid w:val="00D40756"/>
    <w:rsid w:val="00DB7E6F"/>
    <w:rsid w:val="00E03C62"/>
    <w:rsid w:val="00E7224B"/>
    <w:rsid w:val="00EC0EF4"/>
    <w:rsid w:val="00EC3F22"/>
    <w:rsid w:val="00EC5B0D"/>
    <w:rsid w:val="00EE3E34"/>
    <w:rsid w:val="00F40C7F"/>
    <w:rsid w:val="00F559C0"/>
    <w:rsid w:val="00F67C70"/>
    <w:rsid w:val="00F71D5A"/>
    <w:rsid w:val="00F87CC7"/>
    <w:rsid w:val="00FB2B46"/>
    <w:rsid w:val="00FF1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1785"/>
  <w15:chartTrackingRefBased/>
  <w15:docId w15:val="{3DD09720-44F2-4C46-9FD5-20A693F7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1A6E"/>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1A6E"/>
    <w:pPr>
      <w:ind w:left="720"/>
    </w:pPr>
  </w:style>
  <w:style w:type="character" w:styleId="Odkaznakoment">
    <w:name w:val="annotation reference"/>
    <w:basedOn w:val="Standardnpsmoodstavce"/>
    <w:uiPriority w:val="99"/>
    <w:semiHidden/>
    <w:unhideWhenUsed/>
    <w:rsid w:val="001E62F2"/>
    <w:rPr>
      <w:sz w:val="16"/>
      <w:szCs w:val="16"/>
    </w:rPr>
  </w:style>
  <w:style w:type="paragraph" w:styleId="Textkomente">
    <w:name w:val="annotation text"/>
    <w:basedOn w:val="Normln"/>
    <w:link w:val="TextkomenteChar"/>
    <w:uiPriority w:val="99"/>
    <w:semiHidden/>
    <w:unhideWhenUsed/>
    <w:rsid w:val="001E62F2"/>
    <w:rPr>
      <w:sz w:val="20"/>
      <w:szCs w:val="20"/>
    </w:rPr>
  </w:style>
  <w:style w:type="character" w:customStyle="1" w:styleId="TextkomenteChar">
    <w:name w:val="Text komentáře Char"/>
    <w:basedOn w:val="Standardnpsmoodstavce"/>
    <w:link w:val="Textkomente"/>
    <w:uiPriority w:val="99"/>
    <w:semiHidden/>
    <w:rsid w:val="001E62F2"/>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1E62F2"/>
    <w:rPr>
      <w:b/>
      <w:bCs/>
    </w:rPr>
  </w:style>
  <w:style w:type="character" w:customStyle="1" w:styleId="PedmtkomenteChar">
    <w:name w:val="Předmět komentáře Char"/>
    <w:basedOn w:val="TextkomenteChar"/>
    <w:link w:val="Pedmtkomente"/>
    <w:uiPriority w:val="99"/>
    <w:semiHidden/>
    <w:rsid w:val="001E62F2"/>
    <w:rPr>
      <w:rFonts w:ascii="Calibri" w:hAnsi="Calibri" w:cs="Calibri"/>
      <w:b/>
      <w:bCs/>
      <w:sz w:val="20"/>
      <w:szCs w:val="20"/>
    </w:rPr>
  </w:style>
  <w:style w:type="paragraph" w:styleId="Textbubliny">
    <w:name w:val="Balloon Text"/>
    <w:basedOn w:val="Normln"/>
    <w:link w:val="TextbublinyChar"/>
    <w:uiPriority w:val="99"/>
    <w:semiHidden/>
    <w:unhideWhenUsed/>
    <w:rsid w:val="001E62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6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2987</Words>
  <Characters>17630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Kováč</dc:creator>
  <cp:keywords/>
  <dc:description/>
  <cp:lastModifiedBy>Kučera Jakub, Mgr.</cp:lastModifiedBy>
  <cp:revision>2</cp:revision>
  <dcterms:created xsi:type="dcterms:W3CDTF">2024-12-17T13:02:00Z</dcterms:created>
  <dcterms:modified xsi:type="dcterms:W3CDTF">2024-12-17T13:02:00Z</dcterms:modified>
</cp:coreProperties>
</file>