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C3C93" w14:textId="437B40E5" w:rsidR="00835A7E" w:rsidRPr="004E007C" w:rsidRDefault="00C7308C">
      <w:pPr>
        <w:rPr>
          <w:rFonts w:ascii="Arial" w:hAnsi="Arial" w:cs="Arial"/>
          <w:b/>
          <w:u w:val="single"/>
        </w:rPr>
      </w:pPr>
      <w:r w:rsidRPr="004E007C">
        <w:rPr>
          <w:rFonts w:ascii="Arial" w:hAnsi="Arial" w:cs="Arial"/>
          <w:b/>
          <w:u w:val="single"/>
        </w:rPr>
        <w:t>10. Využití rámcových dohod při opakovaných dodávkách</w:t>
      </w:r>
    </w:p>
    <w:p w14:paraId="29DF7F48" w14:textId="29DAFCB1" w:rsidR="00F77CB4" w:rsidRPr="00403FF4" w:rsidRDefault="00F77CB4" w:rsidP="00F77CB4">
      <w:pPr>
        <w:spacing w:before="120" w:after="120"/>
        <w:jc w:val="both"/>
        <w:rPr>
          <w:rFonts w:ascii="Arial" w:hAnsi="Arial" w:cs="Arial"/>
        </w:rPr>
      </w:pPr>
      <w:r w:rsidRPr="00403FF4">
        <w:rPr>
          <w:rFonts w:ascii="Arial" w:hAnsi="Arial" w:cs="Arial"/>
        </w:rPr>
        <w:t>Rámcová dohoda je zvláštním postupem pro zadávání veřejné zakázky</w:t>
      </w:r>
      <w:r>
        <w:rPr>
          <w:rFonts w:ascii="Arial" w:hAnsi="Arial" w:cs="Arial"/>
        </w:rPr>
        <w:t xml:space="preserve"> a</w:t>
      </w:r>
      <w:r w:rsidRPr="00403FF4">
        <w:rPr>
          <w:rFonts w:ascii="Arial" w:hAnsi="Arial" w:cs="Arial"/>
        </w:rPr>
        <w:t xml:space="preserve"> stejně jako dynamický nákupní systém či soutěž o návrh je upravena v části šesté ZZVZ.</w:t>
      </w:r>
    </w:p>
    <w:p w14:paraId="7E22C532" w14:textId="77777777" w:rsidR="00F77CB4" w:rsidRPr="00403FF4" w:rsidRDefault="00F77CB4" w:rsidP="00F77CB4">
      <w:pPr>
        <w:spacing w:before="120" w:after="120"/>
        <w:jc w:val="both"/>
        <w:rPr>
          <w:rFonts w:ascii="Arial" w:hAnsi="Arial" w:cs="Arial"/>
        </w:rPr>
      </w:pPr>
      <w:r w:rsidRPr="00403FF4">
        <w:rPr>
          <w:rFonts w:ascii="Arial" w:hAnsi="Arial" w:cs="Arial"/>
        </w:rPr>
        <w:t xml:space="preserve">Rámcová dohoda je vymezena pouze v rámci ZZVZ, přičemž se jedná o zvláštní druh smlouvy uzavíraný na základě zadávacího řízení, nejčastěji otevřeného zadávacího řízení. Rámcovou dohodu je nutno vnímat v kontextu práva veřejných zakázek jako institut flexibilního zadávání, neboť umožňuje vznik relativně stabilních obchodních vztahů se zajištěným financováním minimalizujícím zadavatelova i dodavatelova rizika. </w:t>
      </w:r>
    </w:p>
    <w:p w14:paraId="16F3F96A" w14:textId="7E42AE39" w:rsidR="00F77CB4" w:rsidRPr="00403FF4" w:rsidRDefault="00F77CB4" w:rsidP="00F77CB4">
      <w:pPr>
        <w:spacing w:before="120" w:after="120"/>
        <w:jc w:val="both"/>
        <w:rPr>
          <w:rFonts w:ascii="Arial" w:hAnsi="Arial" w:cs="Arial"/>
        </w:rPr>
      </w:pPr>
      <w:r w:rsidRPr="00403FF4">
        <w:rPr>
          <w:rFonts w:ascii="Arial" w:hAnsi="Arial" w:cs="Arial"/>
        </w:rPr>
        <w:t xml:space="preserve">Rámcovou dohodu lze tedy definovat jako institut zajišťující dlouhodobost, včasnost a stabilitu požadovaného plnění. Účelem rámcové dohody je vytvoření určité základní platformy, která v budoucnu usnadní postupy všech jejích účastníků tím, že stanoví rámcové smluvní podmínky pro následné pořizování </w:t>
      </w:r>
      <w:r>
        <w:rPr>
          <w:rFonts w:ascii="Arial" w:hAnsi="Arial" w:cs="Arial"/>
        </w:rPr>
        <w:t>předmětu plnění</w:t>
      </w:r>
      <w:r w:rsidRPr="00403FF4">
        <w:rPr>
          <w:rFonts w:ascii="Arial" w:hAnsi="Arial" w:cs="Arial"/>
        </w:rPr>
        <w:t xml:space="preserve"> během doby, na kterou byla uzavřena. Rámcové dohody samy o sobě však závazkové vztahy nezakládají, prostřednictvím rámcových dohod jsou vymezeny podmínky plnění následně uzavíraných konkrétních tzv. realizačních smluv (smlouvy uzavřené na základě rámcové dohody).</w:t>
      </w:r>
    </w:p>
    <w:p w14:paraId="215D9175" w14:textId="465402B2" w:rsidR="00F77CB4" w:rsidRPr="00403FF4" w:rsidRDefault="00F77CB4" w:rsidP="00F77CB4">
      <w:pPr>
        <w:spacing w:before="120" w:after="120"/>
        <w:jc w:val="both"/>
        <w:rPr>
          <w:rFonts w:ascii="Arial" w:hAnsi="Arial" w:cs="Arial"/>
        </w:rPr>
      </w:pPr>
      <w:r>
        <w:rPr>
          <w:rFonts w:ascii="Arial" w:hAnsi="Arial" w:cs="Arial"/>
        </w:rPr>
        <w:t xml:space="preserve">V případě rámcových dohod </w:t>
      </w:r>
      <w:r w:rsidRPr="00403FF4">
        <w:rPr>
          <w:rFonts w:ascii="Arial" w:hAnsi="Arial" w:cs="Arial"/>
        </w:rPr>
        <w:t>se</w:t>
      </w:r>
      <w:r>
        <w:rPr>
          <w:rFonts w:ascii="Arial" w:hAnsi="Arial" w:cs="Arial"/>
        </w:rPr>
        <w:t xml:space="preserve"> jedná de facto</w:t>
      </w:r>
      <w:r w:rsidRPr="00403FF4">
        <w:rPr>
          <w:rFonts w:ascii="Arial" w:hAnsi="Arial" w:cs="Arial"/>
        </w:rPr>
        <w:t xml:space="preserve"> o </w:t>
      </w:r>
      <w:r>
        <w:rPr>
          <w:rFonts w:ascii="Arial" w:hAnsi="Arial" w:cs="Arial"/>
        </w:rPr>
        <w:t xml:space="preserve">dvoufázový </w:t>
      </w:r>
      <w:r w:rsidRPr="00403FF4">
        <w:rPr>
          <w:rFonts w:ascii="Arial" w:hAnsi="Arial" w:cs="Arial"/>
        </w:rPr>
        <w:t>postup</w:t>
      </w:r>
      <w:r>
        <w:rPr>
          <w:rFonts w:ascii="Arial" w:hAnsi="Arial" w:cs="Arial"/>
        </w:rPr>
        <w:t>. Výsledkem první fáze je</w:t>
      </w:r>
      <w:r w:rsidRPr="00403FF4">
        <w:rPr>
          <w:rFonts w:ascii="Arial" w:hAnsi="Arial" w:cs="Arial"/>
        </w:rPr>
        <w:t xml:space="preserve"> uzavření rámcové dohody s jedním či více účastníky rámcové dohody. V rámci druhé fáze pak dochází k zadávání jednotlivých dílčích plnění, která jsou samostatnými veřejnými zakázkami. K poskytnutí samotného plnění tedy bude docházet až po uzavření dílčích realizačních smluv. Uzavření rámcové dohody na základě zadávacího řízení tedy není zadáním veřejné zakázky. Rámcovou dohodu lze uzavřít pouze na základě zadávacího řízení, které by zadavatel dle ZZVZ musel použít, jestliže by zadával veřejnou zakázku obdobného předmětu a předpokládané hodnoty.</w:t>
      </w:r>
    </w:p>
    <w:p w14:paraId="1DA200CF" w14:textId="77777777" w:rsidR="00F77CB4" w:rsidRPr="00403FF4" w:rsidRDefault="00F77CB4" w:rsidP="00F77CB4">
      <w:pPr>
        <w:spacing w:before="120" w:after="120"/>
        <w:jc w:val="both"/>
        <w:rPr>
          <w:rFonts w:ascii="Arial" w:hAnsi="Arial" w:cs="Arial"/>
        </w:rPr>
      </w:pPr>
      <w:r w:rsidRPr="00403FF4">
        <w:rPr>
          <w:rFonts w:ascii="Arial" w:hAnsi="Arial" w:cs="Arial"/>
        </w:rPr>
        <w:t>Rámcová dohoda je pojmem nově zavedeným ZZVZ, který nahradil doposud užívaný pojem rámcová smlouva. Dle gestora ZZVZ byla změna terminologie odůvodněna tím, že označení dohoda se používá jako obecný pojem, protože rámcová dohoda nemusí vždy obsahovat všechny podstatné znaky daného smluvního typu dle zákona č. 89/2012 Sb., občanský zákoník, v platném znění, proto by její označení v ZZVZ mohlo vést ke sporům. Dle gestora zákona bylo tak vhodné odlišit v textu ZZVZ smlouvy a dohody, a to z toho důvodu, že zadání veřejné zakázky se definuje právě jako uzavření smlouvy a v případě rámcových dohod dochází k uzavření smlouvy až na základě tzv. zvláštního postupu dle části šesté ZZVZ.</w:t>
      </w:r>
    </w:p>
    <w:p w14:paraId="6B05CDBA" w14:textId="77777777" w:rsidR="00F77CB4" w:rsidRPr="0058014A" w:rsidRDefault="00F77CB4" w:rsidP="00F77CB4">
      <w:pPr>
        <w:pStyle w:val="Odstavecseseznamem"/>
        <w:numPr>
          <w:ilvl w:val="0"/>
          <w:numId w:val="3"/>
        </w:numPr>
        <w:spacing w:before="120" w:after="120" w:line="256" w:lineRule="auto"/>
        <w:jc w:val="both"/>
        <w:rPr>
          <w:rFonts w:ascii="Arial" w:hAnsi="Arial" w:cs="Arial"/>
          <w:b/>
          <w:bCs/>
        </w:rPr>
      </w:pPr>
      <w:r w:rsidRPr="0058014A">
        <w:rPr>
          <w:rFonts w:ascii="Arial" w:hAnsi="Arial" w:cs="Arial"/>
          <w:b/>
          <w:bCs/>
        </w:rPr>
        <w:t>Výhody rámcové dohody</w:t>
      </w:r>
    </w:p>
    <w:p w14:paraId="58B2522E" w14:textId="77777777" w:rsidR="00F77CB4" w:rsidRPr="0058014A" w:rsidRDefault="00F77CB4" w:rsidP="00F77CB4">
      <w:pPr>
        <w:pStyle w:val="Odstavecseseznamem"/>
        <w:numPr>
          <w:ilvl w:val="0"/>
          <w:numId w:val="4"/>
        </w:numPr>
        <w:spacing w:before="120" w:after="120" w:line="256" w:lineRule="auto"/>
        <w:ind w:left="993"/>
        <w:jc w:val="both"/>
        <w:rPr>
          <w:rFonts w:ascii="Arial" w:hAnsi="Arial" w:cs="Arial"/>
        </w:rPr>
      </w:pPr>
      <w:r w:rsidRPr="0058014A">
        <w:rPr>
          <w:rFonts w:ascii="Arial" w:hAnsi="Arial" w:cs="Arial"/>
        </w:rPr>
        <w:t>zavedený prostředek, který je zadavatelům ve zdravotnictví znám</w:t>
      </w:r>
    </w:p>
    <w:p w14:paraId="4C07810F" w14:textId="77777777" w:rsidR="00F77CB4" w:rsidRPr="0058014A" w:rsidRDefault="00F77CB4" w:rsidP="00F77CB4">
      <w:pPr>
        <w:pStyle w:val="Odstavecseseznamem"/>
        <w:numPr>
          <w:ilvl w:val="0"/>
          <w:numId w:val="4"/>
        </w:numPr>
        <w:spacing w:before="120" w:after="120" w:line="256" w:lineRule="auto"/>
        <w:ind w:left="993"/>
        <w:jc w:val="both"/>
        <w:rPr>
          <w:rFonts w:ascii="Arial" w:hAnsi="Arial" w:cs="Arial"/>
        </w:rPr>
      </w:pPr>
      <w:r w:rsidRPr="0058014A">
        <w:rPr>
          <w:rFonts w:ascii="Arial" w:hAnsi="Arial" w:cs="Arial"/>
        </w:rPr>
        <w:t>objednávky jsou určeny na základě skutečných aktuálních potřeb zadavatele bez toho, že by se zadavatel dopředu musel zavázat k odběru</w:t>
      </w:r>
    </w:p>
    <w:p w14:paraId="56EEE7D3" w14:textId="77777777" w:rsidR="00F77CB4" w:rsidRPr="0058014A" w:rsidRDefault="00F77CB4" w:rsidP="00F77CB4">
      <w:pPr>
        <w:pStyle w:val="Odstavecseseznamem"/>
        <w:numPr>
          <w:ilvl w:val="0"/>
          <w:numId w:val="4"/>
        </w:numPr>
        <w:spacing w:before="120" w:after="120" w:line="256" w:lineRule="auto"/>
        <w:ind w:left="993"/>
        <w:jc w:val="both"/>
        <w:rPr>
          <w:rFonts w:ascii="Arial" w:hAnsi="Arial" w:cs="Arial"/>
        </w:rPr>
      </w:pPr>
      <w:r w:rsidRPr="0058014A">
        <w:rPr>
          <w:rFonts w:ascii="Arial" w:hAnsi="Arial" w:cs="Arial"/>
        </w:rPr>
        <w:t>v případě rámcové dohody s obnovením soutěže lze jednoduše realizovat vždy při aktuální potřebě tzv. „minitendry“ a soutěžit s více účastníky rámcové dohody na aktuální cenu</w:t>
      </w:r>
    </w:p>
    <w:p w14:paraId="26407F84" w14:textId="77777777" w:rsidR="00F77CB4" w:rsidRPr="00403FF4" w:rsidRDefault="00F77CB4" w:rsidP="00F77CB4">
      <w:pPr>
        <w:spacing w:before="120" w:after="120"/>
        <w:jc w:val="both"/>
        <w:rPr>
          <w:rFonts w:ascii="Arial" w:hAnsi="Arial" w:cs="Arial"/>
        </w:rPr>
      </w:pPr>
    </w:p>
    <w:p w14:paraId="1368BA15" w14:textId="77777777" w:rsidR="00F77CB4" w:rsidRPr="0058014A" w:rsidRDefault="00F77CB4" w:rsidP="00F77CB4">
      <w:pPr>
        <w:pStyle w:val="Odstavecseseznamem"/>
        <w:numPr>
          <w:ilvl w:val="0"/>
          <w:numId w:val="3"/>
        </w:numPr>
        <w:spacing w:before="120" w:after="120" w:line="256" w:lineRule="auto"/>
        <w:jc w:val="both"/>
        <w:rPr>
          <w:rFonts w:ascii="Arial" w:hAnsi="Arial" w:cs="Arial"/>
          <w:b/>
          <w:bCs/>
        </w:rPr>
      </w:pPr>
      <w:r w:rsidRPr="0058014A">
        <w:rPr>
          <w:rFonts w:ascii="Arial" w:hAnsi="Arial" w:cs="Arial"/>
          <w:b/>
          <w:bCs/>
        </w:rPr>
        <w:t>Nevýhody rámcové dohody</w:t>
      </w:r>
    </w:p>
    <w:p w14:paraId="33B763EA" w14:textId="77777777" w:rsidR="00F77CB4" w:rsidRDefault="00F77CB4" w:rsidP="00F77CB4">
      <w:pPr>
        <w:pStyle w:val="Odstavecseseznamem"/>
        <w:numPr>
          <w:ilvl w:val="0"/>
          <w:numId w:val="5"/>
        </w:numPr>
        <w:spacing w:before="120" w:after="120" w:line="256" w:lineRule="auto"/>
        <w:ind w:left="993"/>
        <w:jc w:val="both"/>
        <w:rPr>
          <w:rFonts w:ascii="Arial" w:hAnsi="Arial" w:cs="Arial"/>
        </w:rPr>
      </w:pPr>
      <w:r w:rsidRPr="0058014A">
        <w:rPr>
          <w:rFonts w:ascii="Arial" w:hAnsi="Arial" w:cs="Arial"/>
        </w:rPr>
        <w:t>omezena délkou trvání na 4 roky, jen výjimečně může být delší</w:t>
      </w:r>
    </w:p>
    <w:p w14:paraId="4B1ABE93" w14:textId="181E660F" w:rsidR="00F77CB4" w:rsidRPr="0058014A" w:rsidRDefault="00F77CB4" w:rsidP="00F77CB4">
      <w:pPr>
        <w:pStyle w:val="Odstavecseseznamem"/>
        <w:numPr>
          <w:ilvl w:val="0"/>
          <w:numId w:val="5"/>
        </w:numPr>
        <w:spacing w:before="120" w:after="120" w:line="256" w:lineRule="auto"/>
        <w:ind w:left="993"/>
        <w:jc w:val="both"/>
        <w:rPr>
          <w:rFonts w:ascii="Arial" w:hAnsi="Arial" w:cs="Arial"/>
        </w:rPr>
      </w:pPr>
      <w:r>
        <w:rPr>
          <w:rFonts w:ascii="Arial" w:hAnsi="Arial" w:cs="Arial"/>
        </w:rPr>
        <w:t>uzavřený okruh účastníků zařazených do rámcové dohody</w:t>
      </w:r>
    </w:p>
    <w:p w14:paraId="1D80C8E6" w14:textId="77777777" w:rsidR="00F77CB4" w:rsidRPr="00F77CB4" w:rsidRDefault="00F77CB4" w:rsidP="00F77CB4">
      <w:pPr>
        <w:pStyle w:val="Odstavecseseznamem"/>
        <w:numPr>
          <w:ilvl w:val="0"/>
          <w:numId w:val="5"/>
        </w:numPr>
        <w:spacing w:before="120" w:after="120" w:line="256" w:lineRule="auto"/>
        <w:ind w:left="993"/>
        <w:jc w:val="both"/>
        <w:rPr>
          <w:rFonts w:ascii="Arial" w:hAnsi="Arial" w:cs="Arial"/>
        </w:rPr>
      </w:pPr>
      <w:r w:rsidRPr="00F77CB4">
        <w:rPr>
          <w:rFonts w:ascii="Arial" w:hAnsi="Arial" w:cs="Arial"/>
        </w:rPr>
        <w:t>nutné podrobně definovat předmět plnění, který nelze rozšiřovat</w:t>
      </w:r>
    </w:p>
    <w:p w14:paraId="31E5706E" w14:textId="77777777" w:rsidR="00F77CB4" w:rsidRPr="00F77CB4" w:rsidRDefault="00F77CB4" w:rsidP="00F77CB4">
      <w:pPr>
        <w:pStyle w:val="Odstavecseseznamem"/>
        <w:numPr>
          <w:ilvl w:val="0"/>
          <w:numId w:val="5"/>
        </w:numPr>
        <w:ind w:left="993"/>
        <w:jc w:val="both"/>
        <w:rPr>
          <w:rFonts w:ascii="Arial" w:hAnsi="Arial" w:cs="Arial"/>
        </w:rPr>
      </w:pPr>
      <w:r w:rsidRPr="00F77CB4">
        <w:rPr>
          <w:rFonts w:ascii="Arial" w:hAnsi="Arial" w:cs="Arial"/>
        </w:rPr>
        <w:lastRenderedPageBreak/>
        <w:t>uveřejňovací povinnost ve věstníku veřejných zakázek ve vztahu k jednotlivým zadáním dle § 137 ZZVZ</w:t>
      </w:r>
    </w:p>
    <w:p w14:paraId="74DCD814" w14:textId="77777777" w:rsidR="00F77CB4" w:rsidRPr="00F77CB4" w:rsidRDefault="00F77CB4" w:rsidP="00F77CB4">
      <w:pPr>
        <w:pStyle w:val="Odstavecseseznamem"/>
        <w:spacing w:before="120" w:after="120" w:line="256" w:lineRule="auto"/>
        <w:jc w:val="both"/>
        <w:rPr>
          <w:rFonts w:ascii="Arial" w:hAnsi="Arial" w:cs="Arial"/>
        </w:rPr>
      </w:pPr>
    </w:p>
    <w:p w14:paraId="1B9A3022" w14:textId="3E16E340" w:rsidR="00E258DC" w:rsidRPr="004E007C" w:rsidRDefault="00C7308C" w:rsidP="00E258DC">
      <w:pPr>
        <w:rPr>
          <w:rFonts w:ascii="Arial" w:hAnsi="Arial" w:cs="Arial"/>
          <w:b/>
          <w:u w:val="single"/>
        </w:rPr>
      </w:pPr>
      <w:r w:rsidRPr="004E007C">
        <w:rPr>
          <w:rFonts w:ascii="Arial" w:hAnsi="Arial" w:cs="Arial"/>
          <w:b/>
          <w:u w:val="single"/>
        </w:rPr>
        <w:t xml:space="preserve">11. </w:t>
      </w:r>
      <w:r w:rsidR="00CE21F4" w:rsidRPr="004E007C">
        <w:rPr>
          <w:rFonts w:ascii="Arial" w:hAnsi="Arial" w:cs="Arial"/>
          <w:b/>
          <w:u w:val="single"/>
        </w:rPr>
        <w:t>Využití institutu sdružených nákupů při nákupu zdravotnických prostředků</w:t>
      </w:r>
    </w:p>
    <w:p w14:paraId="05353BC2" w14:textId="76628187" w:rsidR="001F04BB" w:rsidRPr="004E007C" w:rsidRDefault="001506E1" w:rsidP="00E258DC">
      <w:pPr>
        <w:jc w:val="both"/>
        <w:rPr>
          <w:rFonts w:ascii="Arial" w:hAnsi="Arial" w:cs="Arial"/>
        </w:rPr>
      </w:pPr>
      <w:r w:rsidRPr="004E007C">
        <w:rPr>
          <w:rFonts w:ascii="Arial" w:hAnsi="Arial" w:cs="Arial"/>
        </w:rPr>
        <w:t>Má-li více zadavatelů shodné potřeby spočívající v</w:t>
      </w:r>
      <w:r w:rsidR="00CE21F4" w:rsidRPr="004E007C">
        <w:rPr>
          <w:rFonts w:ascii="Arial" w:hAnsi="Arial" w:cs="Arial"/>
        </w:rPr>
        <w:t> nákupu zdravotnických prostředků (pořízení zdravotnických prostředků prostřednictvím kterých bude dosaženo naplnění shodných cílů více zadavatelů)</w:t>
      </w:r>
      <w:r w:rsidR="001F04BB" w:rsidRPr="004E007C">
        <w:rPr>
          <w:rFonts w:ascii="Arial" w:hAnsi="Arial" w:cs="Arial"/>
        </w:rPr>
        <w:t xml:space="preserve"> mohou tito zadavatelé postupovat v souladu s ustanovením § 7 ZZVZ, tedy v rámci tzv. „společného zadávání“. Daný postup může zadavatelům sníž</w:t>
      </w:r>
      <w:r w:rsidR="00CC796A" w:rsidRPr="004E007C">
        <w:rPr>
          <w:rFonts w:ascii="Arial" w:hAnsi="Arial" w:cs="Arial"/>
        </w:rPr>
        <w:t>it administrativní zátěž spojenou se zadáváním veřejných zakázek (proces administruje pouze jeden z členů společného zadávání i za ostatní členy), přinést ekonomicky výhodnější nabídky z důvodu např. vyššího objemu nakupovaného předmětu plnění nebo jen snížit náklady na samotnou administraci veřejných zakázek. Zadav</w:t>
      </w:r>
      <w:r w:rsidR="0028540A" w:rsidRPr="004E007C">
        <w:rPr>
          <w:rFonts w:ascii="Arial" w:hAnsi="Arial" w:cs="Arial"/>
        </w:rPr>
        <w:t>a</w:t>
      </w:r>
      <w:r w:rsidR="00CC796A" w:rsidRPr="004E007C">
        <w:rPr>
          <w:rFonts w:ascii="Arial" w:hAnsi="Arial" w:cs="Arial"/>
        </w:rPr>
        <w:t>telé, kteří nemají se zadávání</w:t>
      </w:r>
      <w:r w:rsidR="003A776A" w:rsidRPr="004E007C">
        <w:rPr>
          <w:rFonts w:ascii="Arial" w:hAnsi="Arial" w:cs="Arial"/>
        </w:rPr>
        <w:t>m</w:t>
      </w:r>
      <w:r w:rsidR="00CC796A" w:rsidRPr="004E007C">
        <w:rPr>
          <w:rFonts w:ascii="Arial" w:hAnsi="Arial" w:cs="Arial"/>
        </w:rPr>
        <w:t xml:space="preserve"> veřejných zakázek na dodávku </w:t>
      </w:r>
      <w:r w:rsidR="00CE21F4" w:rsidRPr="004E007C">
        <w:rPr>
          <w:rFonts w:ascii="Arial" w:hAnsi="Arial" w:cs="Arial"/>
        </w:rPr>
        <w:t>zdravotnických prostředků</w:t>
      </w:r>
      <w:r w:rsidR="00CC796A" w:rsidRPr="004E007C">
        <w:rPr>
          <w:rFonts w:ascii="Arial" w:hAnsi="Arial" w:cs="Arial"/>
        </w:rPr>
        <w:t xml:space="preserve"> dostatečné zkušenosti, mohou prostřednictvím institutu společného zadávání </w:t>
      </w:r>
      <w:r w:rsidR="0028540A" w:rsidRPr="004E007C">
        <w:rPr>
          <w:rFonts w:ascii="Arial" w:hAnsi="Arial" w:cs="Arial"/>
        </w:rPr>
        <w:t xml:space="preserve">(účast zkušenějšího zadavatele, který proces zadávání zajistí) </w:t>
      </w:r>
      <w:r w:rsidR="00CC796A" w:rsidRPr="004E007C">
        <w:rPr>
          <w:rFonts w:ascii="Arial" w:hAnsi="Arial" w:cs="Arial"/>
        </w:rPr>
        <w:t>realizovat naplnění</w:t>
      </w:r>
      <w:r w:rsidR="0028540A" w:rsidRPr="004E007C">
        <w:rPr>
          <w:rFonts w:ascii="Arial" w:hAnsi="Arial" w:cs="Arial"/>
        </w:rPr>
        <w:t xml:space="preserve"> svých potřeb</w:t>
      </w:r>
      <w:r w:rsidR="003A776A" w:rsidRPr="004E007C">
        <w:rPr>
          <w:rFonts w:ascii="Arial" w:hAnsi="Arial" w:cs="Arial"/>
        </w:rPr>
        <w:t xml:space="preserve"> v souladu se ZZVZ</w:t>
      </w:r>
      <w:r w:rsidR="0028540A" w:rsidRPr="004E007C">
        <w:rPr>
          <w:rFonts w:ascii="Arial" w:hAnsi="Arial" w:cs="Arial"/>
        </w:rPr>
        <w:t>.</w:t>
      </w:r>
      <w:r w:rsidR="00F32303" w:rsidRPr="004E007C">
        <w:rPr>
          <w:rFonts w:ascii="Arial" w:hAnsi="Arial" w:cs="Arial"/>
        </w:rPr>
        <w:t xml:space="preserve"> Předpokládanou hodnotu je</w:t>
      </w:r>
      <w:r w:rsidR="003A776A" w:rsidRPr="004E007C">
        <w:rPr>
          <w:rFonts w:ascii="Arial" w:hAnsi="Arial" w:cs="Arial"/>
        </w:rPr>
        <w:t xml:space="preserve"> v případě společného zdávání</w:t>
      </w:r>
      <w:r w:rsidR="00F32303" w:rsidRPr="004E007C">
        <w:rPr>
          <w:rFonts w:ascii="Arial" w:hAnsi="Arial" w:cs="Arial"/>
        </w:rPr>
        <w:t xml:space="preserve"> nezbytné stanovit tak, aby se rovnala součtu předpokládaných hodnot plnění všech subjektů, které se společného zadávání účastní. </w:t>
      </w:r>
      <w:r w:rsidR="00904C68" w:rsidRPr="004E007C">
        <w:rPr>
          <w:rFonts w:ascii="Arial" w:hAnsi="Arial" w:cs="Arial"/>
        </w:rPr>
        <w:t xml:space="preserve">I v tomto případě je nezbytné mít na paměti nutnost postupovat v souladu s ustanovení § 220 ZZVZ – citlivá činnost. </w:t>
      </w:r>
      <w:r w:rsidR="00F32303" w:rsidRPr="004E007C">
        <w:rPr>
          <w:rFonts w:ascii="Arial" w:hAnsi="Arial" w:cs="Arial"/>
        </w:rPr>
        <w:t xml:space="preserve">Předmětem veřejných zakázek realizovaných v rámci společného zadávání na dodávky </w:t>
      </w:r>
      <w:r w:rsidR="00CE21F4" w:rsidRPr="004E007C">
        <w:rPr>
          <w:rFonts w:ascii="Arial" w:hAnsi="Arial" w:cs="Arial"/>
        </w:rPr>
        <w:t>zdravotnických prostředků</w:t>
      </w:r>
      <w:r w:rsidR="00F32303" w:rsidRPr="004E007C">
        <w:rPr>
          <w:rFonts w:ascii="Arial" w:hAnsi="Arial" w:cs="Arial"/>
        </w:rPr>
        <w:t xml:space="preserve"> mohou být jak jednorázové smluvní vztahy, tak rámcové smlouvy</w:t>
      </w:r>
      <w:r w:rsidR="00904C68" w:rsidRPr="004E007C">
        <w:rPr>
          <w:rFonts w:ascii="Arial" w:hAnsi="Arial" w:cs="Arial"/>
        </w:rPr>
        <w:t xml:space="preserve"> na delší časové období</w:t>
      </w:r>
      <w:r w:rsidR="00F32303" w:rsidRPr="004E007C">
        <w:rPr>
          <w:rFonts w:ascii="Arial" w:hAnsi="Arial" w:cs="Arial"/>
        </w:rPr>
        <w:t>.</w:t>
      </w:r>
    </w:p>
    <w:p w14:paraId="5F38A5FC" w14:textId="2BDC77FE" w:rsidR="00C7308C" w:rsidRPr="004E007C" w:rsidRDefault="00C7308C" w:rsidP="00C7308C">
      <w:pPr>
        <w:rPr>
          <w:rFonts w:ascii="Arial" w:hAnsi="Arial" w:cs="Arial"/>
          <w:b/>
          <w:u w:val="single"/>
        </w:rPr>
      </w:pPr>
      <w:r w:rsidRPr="004E007C">
        <w:rPr>
          <w:rFonts w:ascii="Arial" w:hAnsi="Arial" w:cs="Arial"/>
          <w:b/>
          <w:u w:val="single"/>
        </w:rPr>
        <w:t>16. Využívání zadávacího řízení s jednáním s dodavateli v průběhu zadávacího řízení</w:t>
      </w:r>
    </w:p>
    <w:p w14:paraId="37F4E8AA" w14:textId="516AB834" w:rsidR="0026506A" w:rsidRDefault="0026506A" w:rsidP="00C7308C">
      <w:pPr>
        <w:jc w:val="both"/>
        <w:rPr>
          <w:rFonts w:ascii="Arial" w:hAnsi="Arial" w:cs="Arial"/>
        </w:rPr>
      </w:pPr>
      <w:r w:rsidRPr="0026506A">
        <w:rPr>
          <w:rFonts w:ascii="Arial" w:hAnsi="Arial" w:cs="Arial"/>
        </w:rPr>
        <w:t>V</w:t>
      </w:r>
      <w:r>
        <w:rPr>
          <w:rFonts w:ascii="Arial" w:hAnsi="Arial" w:cs="Arial"/>
        </w:rPr>
        <w:t> </w:t>
      </w:r>
      <w:r w:rsidRPr="0026506A">
        <w:rPr>
          <w:rFonts w:ascii="Arial" w:hAnsi="Arial" w:cs="Arial"/>
        </w:rPr>
        <w:t>některých</w:t>
      </w:r>
      <w:r>
        <w:rPr>
          <w:rFonts w:ascii="Arial" w:hAnsi="Arial" w:cs="Arial"/>
        </w:rPr>
        <w:t xml:space="preserve"> případech se může zadavatel dostat do situace, kdy není schopen, přes veškeré vynaložené úsilí, definovat zadávací podmínky tak, aby došlo jejich prostřednictvím k naplnění jeho potřeb. V takovém případě </w:t>
      </w:r>
      <w:r w:rsidR="005A78F9">
        <w:rPr>
          <w:rFonts w:ascii="Arial" w:hAnsi="Arial" w:cs="Arial"/>
        </w:rPr>
        <w:t xml:space="preserve">je </w:t>
      </w:r>
      <w:r>
        <w:rPr>
          <w:rFonts w:ascii="Arial" w:hAnsi="Arial" w:cs="Arial"/>
        </w:rPr>
        <w:t xml:space="preserve">nezbytné vést s potenciálními dodavateli jednání, a to </w:t>
      </w:r>
      <w:r w:rsidR="005A78F9">
        <w:rPr>
          <w:rFonts w:ascii="Arial" w:hAnsi="Arial" w:cs="Arial"/>
        </w:rPr>
        <w:t xml:space="preserve">dokonce i </w:t>
      </w:r>
      <w:r>
        <w:rPr>
          <w:rFonts w:ascii="Arial" w:hAnsi="Arial" w:cs="Arial"/>
        </w:rPr>
        <w:t>v průběhu již zahájeného zadávacího řízení (narozdíl od průzkumu trhu</w:t>
      </w:r>
      <w:r w:rsidR="00A74B6E">
        <w:rPr>
          <w:rFonts w:ascii="Arial" w:hAnsi="Arial" w:cs="Arial"/>
        </w:rPr>
        <w:t xml:space="preserve"> nebo</w:t>
      </w:r>
      <w:r>
        <w:rPr>
          <w:rFonts w:ascii="Arial" w:hAnsi="Arial" w:cs="Arial"/>
        </w:rPr>
        <w:t xml:space="preserve"> při předběžných tržních konzultací). Zpravidla se tak může jednat o jednací řízení s uveřejnění</w:t>
      </w:r>
      <w:r w:rsidR="00A74B6E">
        <w:rPr>
          <w:rFonts w:ascii="Arial" w:hAnsi="Arial" w:cs="Arial"/>
        </w:rPr>
        <w:t>m</w:t>
      </w:r>
      <w:r>
        <w:rPr>
          <w:rFonts w:ascii="Arial" w:hAnsi="Arial" w:cs="Arial"/>
        </w:rPr>
        <w:t xml:space="preserve"> nebo jednací řízení bez uveřejnění.</w:t>
      </w:r>
    </w:p>
    <w:p w14:paraId="6B238081" w14:textId="0AE24901" w:rsidR="002D5AD0" w:rsidRPr="002D5AD0" w:rsidRDefault="002D5AD0" w:rsidP="002D5AD0">
      <w:pPr>
        <w:pStyle w:val="Odstavecseseznamem"/>
        <w:numPr>
          <w:ilvl w:val="0"/>
          <w:numId w:val="9"/>
        </w:numPr>
        <w:jc w:val="both"/>
        <w:rPr>
          <w:rFonts w:ascii="Arial" w:hAnsi="Arial" w:cs="Arial"/>
          <w:b/>
          <w:bCs/>
          <w:i/>
          <w:iCs/>
        </w:rPr>
      </w:pPr>
      <w:r w:rsidRPr="002D5AD0">
        <w:rPr>
          <w:rFonts w:ascii="Arial" w:hAnsi="Arial" w:cs="Arial"/>
          <w:b/>
          <w:bCs/>
          <w:i/>
          <w:iCs/>
        </w:rPr>
        <w:t>Jednací řízení s uveřejněním</w:t>
      </w:r>
    </w:p>
    <w:p w14:paraId="7C6A6B7A" w14:textId="785DD463" w:rsidR="0026506A" w:rsidRDefault="002D5AD0" w:rsidP="002D5AD0">
      <w:pPr>
        <w:ind w:left="708"/>
        <w:jc w:val="both"/>
        <w:rPr>
          <w:rFonts w:ascii="Arial" w:hAnsi="Arial" w:cs="Arial"/>
        </w:rPr>
      </w:pPr>
      <w:r w:rsidRPr="002D5AD0">
        <w:rPr>
          <w:rFonts w:ascii="Arial" w:hAnsi="Arial" w:cs="Arial"/>
        </w:rPr>
        <w:t xml:space="preserve">Daný druh zadávacího řízení je typický pro takový předmět plnění, který není na trhu běžně dostupný vůbec nebo je třeba standardně nabízené produkty významně upravit pro naplnění potřeb zadavatele. </w:t>
      </w:r>
      <w:r>
        <w:rPr>
          <w:rFonts w:ascii="Arial" w:hAnsi="Arial" w:cs="Arial"/>
        </w:rPr>
        <w:t xml:space="preserve">V případě veřejných zakázek na zdravotnický materiál bude daný druh zadávacího řízení připadat v úvahu nejčastěji právě s podmínkou nezbytné úpravy dostupných produktů na trhu pro specifické </w:t>
      </w:r>
      <w:r w:rsidR="00035B43">
        <w:rPr>
          <w:rFonts w:ascii="Arial" w:hAnsi="Arial" w:cs="Arial"/>
        </w:rPr>
        <w:t xml:space="preserve">potřeby zadavatele nebo </w:t>
      </w:r>
      <w:r w:rsidR="00AE34DB">
        <w:rPr>
          <w:rFonts w:ascii="Arial" w:hAnsi="Arial" w:cs="Arial"/>
        </w:rPr>
        <w:t xml:space="preserve">případně </w:t>
      </w:r>
      <w:r w:rsidR="00035B43">
        <w:rPr>
          <w:rFonts w:ascii="Arial" w:hAnsi="Arial" w:cs="Arial"/>
        </w:rPr>
        <w:t xml:space="preserve">za situace, kdy zadavatel nebude schopen stanovit technické podmínky </w:t>
      </w:r>
      <w:r w:rsidR="00AE34DB">
        <w:rPr>
          <w:rFonts w:ascii="Arial" w:hAnsi="Arial" w:cs="Arial"/>
        </w:rPr>
        <w:t>odkazem na normy či technické dokumenty.</w:t>
      </w:r>
    </w:p>
    <w:p w14:paraId="0626D7C6" w14:textId="6AE2BA20" w:rsidR="00AE34DB" w:rsidRDefault="00AE34DB" w:rsidP="002D5AD0">
      <w:pPr>
        <w:ind w:left="708"/>
        <w:jc w:val="both"/>
        <w:rPr>
          <w:rFonts w:ascii="Arial" w:hAnsi="Arial" w:cs="Arial"/>
        </w:rPr>
      </w:pPr>
      <w:r>
        <w:rPr>
          <w:rFonts w:ascii="Arial" w:hAnsi="Arial" w:cs="Arial"/>
        </w:rPr>
        <w:t>Postup v rámci jednacího řízení s uveřejněním se pak řídí striktně zákonnými ustanoveními definovanými v § 60 a násl</w:t>
      </w:r>
      <w:r w:rsidR="00A74B6E">
        <w:rPr>
          <w:rFonts w:ascii="Arial" w:hAnsi="Arial" w:cs="Arial"/>
        </w:rPr>
        <w:t xml:space="preserve"> zákona</w:t>
      </w:r>
      <w:r>
        <w:rPr>
          <w:rFonts w:ascii="Arial" w:hAnsi="Arial" w:cs="Arial"/>
        </w:rPr>
        <w:t>.</w:t>
      </w:r>
    </w:p>
    <w:p w14:paraId="1373CD47" w14:textId="2E6346DB" w:rsidR="00AE34DB" w:rsidRPr="002D5AD0" w:rsidRDefault="00AE34DB" w:rsidP="00AE34DB">
      <w:pPr>
        <w:pStyle w:val="Odstavecseseznamem"/>
        <w:numPr>
          <w:ilvl w:val="0"/>
          <w:numId w:val="9"/>
        </w:numPr>
        <w:jc w:val="both"/>
        <w:rPr>
          <w:rFonts w:ascii="Arial" w:hAnsi="Arial" w:cs="Arial"/>
          <w:b/>
          <w:bCs/>
          <w:i/>
          <w:iCs/>
        </w:rPr>
      </w:pPr>
      <w:r w:rsidRPr="002D5AD0">
        <w:rPr>
          <w:rFonts w:ascii="Arial" w:hAnsi="Arial" w:cs="Arial"/>
          <w:b/>
          <w:bCs/>
          <w:i/>
          <w:iCs/>
        </w:rPr>
        <w:t xml:space="preserve">Jednací řízení </w:t>
      </w:r>
      <w:r>
        <w:rPr>
          <w:rFonts w:ascii="Arial" w:hAnsi="Arial" w:cs="Arial"/>
          <w:b/>
          <w:bCs/>
          <w:i/>
          <w:iCs/>
        </w:rPr>
        <w:t>bez</w:t>
      </w:r>
      <w:r w:rsidRPr="002D5AD0">
        <w:rPr>
          <w:rFonts w:ascii="Arial" w:hAnsi="Arial" w:cs="Arial"/>
          <w:b/>
          <w:bCs/>
          <w:i/>
          <w:iCs/>
        </w:rPr>
        <w:t xml:space="preserve"> uveřejnění</w:t>
      </w:r>
    </w:p>
    <w:p w14:paraId="1FC0E440" w14:textId="7819D893" w:rsidR="00AE34DB" w:rsidRDefault="00AE34DB" w:rsidP="00AE34DB">
      <w:pPr>
        <w:ind w:left="708"/>
        <w:jc w:val="both"/>
        <w:rPr>
          <w:rFonts w:ascii="Arial" w:hAnsi="Arial" w:cs="Arial"/>
        </w:rPr>
      </w:pPr>
      <w:r>
        <w:rPr>
          <w:rFonts w:ascii="Arial" w:hAnsi="Arial" w:cs="Arial"/>
        </w:rPr>
        <w:t>Jednací řízení bez uveřejnění je</w:t>
      </w:r>
      <w:r w:rsidR="005B233B">
        <w:rPr>
          <w:rFonts w:ascii="Arial" w:hAnsi="Arial" w:cs="Arial"/>
        </w:rPr>
        <w:t xml:space="preserve"> </w:t>
      </w:r>
      <w:r>
        <w:rPr>
          <w:rFonts w:ascii="Arial" w:hAnsi="Arial" w:cs="Arial"/>
        </w:rPr>
        <w:t>nejméně tran</w:t>
      </w:r>
      <w:r w:rsidR="005B233B">
        <w:rPr>
          <w:rFonts w:ascii="Arial" w:hAnsi="Arial" w:cs="Arial"/>
        </w:rPr>
        <w:t>sparentním druhem zadávacího řízení, a proto by mělo být jeho použití ze strany zadavatel</w:t>
      </w:r>
      <w:r w:rsidR="00A74B6E">
        <w:rPr>
          <w:rFonts w:ascii="Arial" w:hAnsi="Arial" w:cs="Arial"/>
        </w:rPr>
        <w:t>ů</w:t>
      </w:r>
      <w:r w:rsidR="005B233B">
        <w:rPr>
          <w:rFonts w:ascii="Arial" w:hAnsi="Arial" w:cs="Arial"/>
        </w:rPr>
        <w:t xml:space="preserve"> pečlivě zváženo a zadavatelé by měli tento druh řízení využívat pouze ve výjimečných a řádně odůvodněných </w:t>
      </w:r>
      <w:r w:rsidR="005B233B">
        <w:rPr>
          <w:rFonts w:ascii="Arial" w:hAnsi="Arial" w:cs="Arial"/>
        </w:rPr>
        <w:lastRenderedPageBreak/>
        <w:t>případech. Podmínky použití JŘBU jsou taxativně vymezeny zákonem (§ 63 a násl.</w:t>
      </w:r>
      <w:r w:rsidR="00A74B6E">
        <w:rPr>
          <w:rFonts w:ascii="Arial" w:hAnsi="Arial" w:cs="Arial"/>
        </w:rPr>
        <w:t xml:space="preserve"> zákona</w:t>
      </w:r>
      <w:r w:rsidR="005B233B">
        <w:rPr>
          <w:rFonts w:ascii="Arial" w:hAnsi="Arial" w:cs="Arial"/>
        </w:rPr>
        <w:t>), což znamená, že jeho použití z jiných než zákonem uvedených důvodů, není možné. To však neznamená, že v případě naplnění zákonných podmínek pro použití JŘBU, není zadavatel oprávněn použít jiný – více transparentní – druh zadávacího řízení.</w:t>
      </w:r>
      <w:r w:rsidR="0099313A">
        <w:rPr>
          <w:rFonts w:ascii="Arial" w:hAnsi="Arial" w:cs="Arial"/>
        </w:rPr>
        <w:t xml:space="preserve"> Zároveň je dobré mít na paměti, že při užití JŘBU není podmínkou jednat pouze s 1 dodavatele. V případě, že je na trhu více potenciálních dodavatelů a jsou naplněny podmínky použití daného druhu zadávacího řízení, je žádoucí vyzvat </w:t>
      </w:r>
      <w:r w:rsidR="00A74B6E">
        <w:rPr>
          <w:rFonts w:ascii="Arial" w:hAnsi="Arial" w:cs="Arial"/>
        </w:rPr>
        <w:t xml:space="preserve">k jednání </w:t>
      </w:r>
      <w:r w:rsidR="0099313A">
        <w:rPr>
          <w:rFonts w:ascii="Arial" w:hAnsi="Arial" w:cs="Arial"/>
        </w:rPr>
        <w:t>všechny relevantní dodavatele.</w:t>
      </w:r>
    </w:p>
    <w:p w14:paraId="209DCB6C" w14:textId="06BCCC27" w:rsidR="002D5AD0" w:rsidRPr="0099313A" w:rsidRDefault="0099313A" w:rsidP="0099313A">
      <w:pPr>
        <w:ind w:left="705"/>
        <w:jc w:val="both"/>
        <w:rPr>
          <w:rFonts w:ascii="Arial" w:hAnsi="Arial" w:cs="Arial"/>
        </w:rPr>
      </w:pPr>
      <w:r w:rsidRPr="0099313A">
        <w:rPr>
          <w:rFonts w:ascii="Arial" w:hAnsi="Arial" w:cs="Arial"/>
        </w:rPr>
        <w:t xml:space="preserve">V rámci veřejných zakázek na zdravotnickou techniku se </w:t>
      </w:r>
      <w:r>
        <w:rPr>
          <w:rFonts w:ascii="Arial" w:hAnsi="Arial" w:cs="Arial"/>
        </w:rPr>
        <w:t>daný druh zadávacího řízení může prakticky vyskytovat např. při pořizování nově na trhu zaváděných kompatibilních produktů, nezbytných upgradů</w:t>
      </w:r>
      <w:r w:rsidR="00741B16">
        <w:rPr>
          <w:rFonts w:ascii="Arial" w:hAnsi="Arial" w:cs="Arial"/>
        </w:rPr>
        <w:t xml:space="preserve">, úprav stávajícího technického vybavení </w:t>
      </w:r>
      <w:r>
        <w:rPr>
          <w:rFonts w:ascii="Arial" w:hAnsi="Arial" w:cs="Arial"/>
        </w:rPr>
        <w:t>apod.</w:t>
      </w:r>
    </w:p>
    <w:p w14:paraId="7873B435" w14:textId="77777777" w:rsidR="00C7308C" w:rsidRPr="004E007C" w:rsidRDefault="00C7308C" w:rsidP="00C7308C">
      <w:pPr>
        <w:jc w:val="both"/>
        <w:rPr>
          <w:rFonts w:ascii="Arial" w:hAnsi="Arial" w:cs="Arial"/>
        </w:rPr>
      </w:pPr>
    </w:p>
    <w:p w14:paraId="2FF9139E" w14:textId="4D3E3856" w:rsidR="00C7308C" w:rsidRPr="004E007C" w:rsidRDefault="00E64FE0" w:rsidP="00C7308C">
      <w:pPr>
        <w:rPr>
          <w:rFonts w:ascii="Arial" w:hAnsi="Arial" w:cs="Arial"/>
          <w:b/>
          <w:u w:val="single"/>
        </w:rPr>
      </w:pPr>
      <w:r w:rsidRPr="004E007C">
        <w:rPr>
          <w:rFonts w:ascii="Arial" w:hAnsi="Arial" w:cs="Arial"/>
          <w:b/>
          <w:u w:val="single"/>
        </w:rPr>
        <w:t>17</w:t>
      </w:r>
      <w:r w:rsidR="00C7308C" w:rsidRPr="004E007C">
        <w:rPr>
          <w:rFonts w:ascii="Arial" w:hAnsi="Arial" w:cs="Arial"/>
          <w:b/>
          <w:u w:val="single"/>
        </w:rPr>
        <w:t xml:space="preserve">. </w:t>
      </w:r>
      <w:r w:rsidRPr="004E007C">
        <w:rPr>
          <w:rFonts w:ascii="Arial" w:hAnsi="Arial" w:cs="Arial"/>
          <w:b/>
          <w:u w:val="single"/>
        </w:rPr>
        <w:t>Úvaha nad základními parametry zadávacího řízení</w:t>
      </w:r>
    </w:p>
    <w:p w14:paraId="6E82F899" w14:textId="32AA8645" w:rsidR="00C364FB" w:rsidRDefault="00C364FB" w:rsidP="00C364FB">
      <w:pPr>
        <w:jc w:val="both"/>
        <w:rPr>
          <w:rFonts w:ascii="Arial" w:hAnsi="Arial" w:cs="Arial"/>
          <w:bCs/>
        </w:rPr>
      </w:pPr>
      <w:r w:rsidRPr="00C364FB">
        <w:rPr>
          <w:rFonts w:ascii="Arial" w:hAnsi="Arial" w:cs="Arial"/>
          <w:bCs/>
        </w:rPr>
        <w:t xml:space="preserve">Jednou z oblastí, kterou by se měl zadavatel </w:t>
      </w:r>
      <w:r w:rsidR="003925DA" w:rsidRPr="00C364FB">
        <w:rPr>
          <w:rFonts w:ascii="Arial" w:hAnsi="Arial" w:cs="Arial"/>
          <w:bCs/>
        </w:rPr>
        <w:t>v samotném počátku přípravy zadávacího řízení</w:t>
      </w:r>
      <w:r w:rsidRPr="00C364FB">
        <w:rPr>
          <w:rFonts w:ascii="Arial" w:hAnsi="Arial" w:cs="Arial"/>
          <w:bCs/>
        </w:rPr>
        <w:t xml:space="preserve"> zabývat, je mimo jiné také obchodní model, prostřednictvím kterého je schopen co nejefektivněji své potřeby naplnit.</w:t>
      </w:r>
      <w:r w:rsidR="003925DA" w:rsidRPr="00C364FB">
        <w:rPr>
          <w:rFonts w:ascii="Arial" w:hAnsi="Arial" w:cs="Arial"/>
          <w:bCs/>
        </w:rPr>
        <w:t xml:space="preserve"> </w:t>
      </w:r>
      <w:r>
        <w:rPr>
          <w:rFonts w:ascii="Arial" w:hAnsi="Arial" w:cs="Arial"/>
          <w:bCs/>
        </w:rPr>
        <w:t>V případě pořízení zdravotnických prostředků (typicky v podobě zdravotnické přístrojové techniky spotřebovávající nezbytný unikátní spotřební materiál) připadá v úvahu nejčastěji volba mezi výpůjčkou a nákupem dané techniky.</w:t>
      </w:r>
    </w:p>
    <w:p w14:paraId="32AB5785" w14:textId="28CBAD42" w:rsidR="00124204" w:rsidRDefault="00C364FB" w:rsidP="00C364FB">
      <w:pPr>
        <w:jc w:val="both"/>
        <w:rPr>
          <w:rFonts w:ascii="Arial" w:hAnsi="Arial" w:cs="Arial"/>
          <w:bCs/>
        </w:rPr>
      </w:pPr>
      <w:r>
        <w:rPr>
          <w:rFonts w:ascii="Arial" w:hAnsi="Arial" w:cs="Arial"/>
          <w:bCs/>
        </w:rPr>
        <w:t xml:space="preserve">V případě výpůjčky přístrojového vybavení </w:t>
      </w:r>
      <w:r w:rsidR="00124204">
        <w:rPr>
          <w:rFonts w:ascii="Arial" w:hAnsi="Arial" w:cs="Arial"/>
          <w:bCs/>
        </w:rPr>
        <w:t>se může jednat jednak o bezplatnou formu, kdy je cena zapůjčeného přístroje „rozpuštěna“ do zadavatelem nakupovaného a přístrojem spotřebovávaného spotřebního materiálu (varianta operativního leasingu) nebo o výpůjčku placenou, kdy bývá za zapůjčení placena zpravidla nějaký paušální poplatek a cena nakupovaného spotřebního materiálu pak nebývá danou zápůjčkou zatížena formou nějakého příplatku. Výpůjčka (ať již bezplatná či za úplatu) v sobě obvykle zahrnuje zároveň provozní zajištění daného zdravotnického přístroje v podobě servisu, BTK a ostatních dalších činností nezbytný pro provoz vypůjčeného vybavení.</w:t>
      </w:r>
    </w:p>
    <w:p w14:paraId="26DE549B" w14:textId="268BFD25" w:rsidR="003925DA" w:rsidRDefault="006E7A61" w:rsidP="00C364FB">
      <w:pPr>
        <w:jc w:val="both"/>
        <w:rPr>
          <w:rFonts w:ascii="Arial" w:hAnsi="Arial" w:cs="Arial"/>
          <w:bCs/>
        </w:rPr>
      </w:pPr>
      <w:r>
        <w:rPr>
          <w:rFonts w:ascii="Arial" w:hAnsi="Arial" w:cs="Arial"/>
          <w:bCs/>
        </w:rPr>
        <w:t>Variantním řešením, který může zadavatel v případě zajištění nezbytného přístrojového vybavení zvážit, je jeho nákup. V takovém případě je nutné vzpomenout i na další náklady spojené s provozem dané techniky, kdy kromě potřebného spotřebního materiálu bude nezbytné zasmluvnit také pozáruční servis vč. BTK a ostatních činností nezbytných pro bezvadný provoz nakoupeného vybavení.</w:t>
      </w:r>
    </w:p>
    <w:p w14:paraId="0C3D746B" w14:textId="341E2D0E" w:rsidR="006E7A61" w:rsidRDefault="00B1740D" w:rsidP="00C364FB">
      <w:pPr>
        <w:jc w:val="both"/>
        <w:rPr>
          <w:rFonts w:ascii="Arial" w:hAnsi="Arial" w:cs="Arial"/>
          <w:bCs/>
        </w:rPr>
      </w:pPr>
      <w:r>
        <w:rPr>
          <w:rFonts w:ascii="Arial" w:hAnsi="Arial" w:cs="Arial"/>
          <w:bCs/>
        </w:rPr>
        <w:t>V rámci rozhodovacího procesu nad tímto základním parametrem zadávacího řízení je vhodné vzít do úvahy minimálně následující faktory</w:t>
      </w:r>
      <w:r w:rsidR="001B0D37">
        <w:rPr>
          <w:rFonts w:ascii="Arial" w:hAnsi="Arial" w:cs="Arial"/>
          <w:bCs/>
        </w:rPr>
        <w:t xml:space="preserve"> na relevantním trhu a možnosti/potřeby samotného zadavatele</w:t>
      </w:r>
      <w:r>
        <w:rPr>
          <w:rFonts w:ascii="Arial" w:hAnsi="Arial" w:cs="Arial"/>
          <w:bCs/>
        </w:rPr>
        <w:t>:</w:t>
      </w:r>
    </w:p>
    <w:p w14:paraId="78D9452A" w14:textId="2A77E931" w:rsidR="00B1740D" w:rsidRDefault="001B0D37" w:rsidP="00B1740D">
      <w:pPr>
        <w:pStyle w:val="Odstavecseseznamem"/>
        <w:numPr>
          <w:ilvl w:val="0"/>
          <w:numId w:val="8"/>
        </w:numPr>
        <w:jc w:val="both"/>
        <w:rPr>
          <w:rFonts w:ascii="Arial" w:hAnsi="Arial" w:cs="Arial"/>
          <w:bCs/>
        </w:rPr>
      </w:pPr>
      <w:r>
        <w:rPr>
          <w:rFonts w:ascii="Arial" w:hAnsi="Arial" w:cs="Arial"/>
          <w:bCs/>
        </w:rPr>
        <w:t>Lze požadovaný předmět plnění pořídit jak formou výpůjčky, tak prostřednictvím nákupu?</w:t>
      </w:r>
    </w:p>
    <w:p w14:paraId="678C23F0" w14:textId="3AFBD16A" w:rsidR="001B0D37" w:rsidRDefault="001B0D37" w:rsidP="001B0D37">
      <w:pPr>
        <w:pStyle w:val="Odstavecseseznamem"/>
        <w:numPr>
          <w:ilvl w:val="1"/>
          <w:numId w:val="8"/>
        </w:numPr>
        <w:jc w:val="both"/>
        <w:rPr>
          <w:rFonts w:ascii="Arial" w:hAnsi="Arial" w:cs="Arial"/>
          <w:bCs/>
        </w:rPr>
      </w:pPr>
      <w:r>
        <w:rPr>
          <w:rFonts w:ascii="Arial" w:hAnsi="Arial" w:cs="Arial"/>
          <w:bCs/>
        </w:rPr>
        <w:t>Ne každý dodavatel musí v rámci svých obchodních vztahů nabízet obě uvedené varianty</w:t>
      </w:r>
    </w:p>
    <w:p w14:paraId="24CFBB91" w14:textId="76D98FDE" w:rsidR="001B0D37" w:rsidRDefault="001B0D37" w:rsidP="001B0D37">
      <w:pPr>
        <w:pStyle w:val="Odstavecseseznamem"/>
        <w:numPr>
          <w:ilvl w:val="0"/>
          <w:numId w:val="8"/>
        </w:numPr>
        <w:spacing w:before="360" w:after="0"/>
        <w:ind w:left="714" w:hanging="357"/>
        <w:contextualSpacing w:val="0"/>
        <w:jc w:val="both"/>
        <w:rPr>
          <w:rFonts w:ascii="Arial" w:hAnsi="Arial" w:cs="Arial"/>
          <w:bCs/>
        </w:rPr>
      </w:pPr>
      <w:r>
        <w:rPr>
          <w:rFonts w:ascii="Arial" w:hAnsi="Arial" w:cs="Arial"/>
          <w:bCs/>
        </w:rPr>
        <w:t>Jaký je očekávaný vývoj na trhu s požadovaným předmětem plnění?</w:t>
      </w:r>
    </w:p>
    <w:p w14:paraId="7714338F" w14:textId="38C5FCAF" w:rsidR="001B0D37" w:rsidRDefault="001B0D37" w:rsidP="001B0D37">
      <w:pPr>
        <w:pStyle w:val="Odstavecseseznamem"/>
        <w:numPr>
          <w:ilvl w:val="1"/>
          <w:numId w:val="8"/>
        </w:numPr>
        <w:jc w:val="both"/>
        <w:rPr>
          <w:rFonts w:ascii="Arial" w:hAnsi="Arial" w:cs="Arial"/>
          <w:bCs/>
        </w:rPr>
      </w:pPr>
      <w:r>
        <w:rPr>
          <w:rFonts w:ascii="Arial" w:hAnsi="Arial" w:cs="Arial"/>
          <w:bCs/>
        </w:rPr>
        <w:t>V případě velmi rychle se vyvíjejícího trhu může být pro zadavatele nevýhodné si předmět plnění koupit (rychlé zastarání pořízené technologie)</w:t>
      </w:r>
    </w:p>
    <w:p w14:paraId="71A809A8" w14:textId="0888D320" w:rsidR="001B0D37" w:rsidRDefault="001B0D37" w:rsidP="001B0D37">
      <w:pPr>
        <w:pStyle w:val="Odstavecseseznamem"/>
        <w:numPr>
          <w:ilvl w:val="0"/>
          <w:numId w:val="8"/>
        </w:numPr>
        <w:spacing w:before="360" w:after="0"/>
        <w:ind w:left="714" w:hanging="357"/>
        <w:contextualSpacing w:val="0"/>
        <w:jc w:val="both"/>
        <w:rPr>
          <w:rFonts w:ascii="Arial" w:hAnsi="Arial" w:cs="Arial"/>
          <w:bCs/>
        </w:rPr>
      </w:pPr>
      <w:r>
        <w:rPr>
          <w:rFonts w:ascii="Arial" w:hAnsi="Arial" w:cs="Arial"/>
          <w:bCs/>
        </w:rPr>
        <w:lastRenderedPageBreak/>
        <w:t>Jak velký dopad do procesů zadavatele bude mít případná změna technologie?</w:t>
      </w:r>
    </w:p>
    <w:p w14:paraId="2C948F77" w14:textId="2FDC7ED0" w:rsidR="001B0D37" w:rsidRDefault="00725F27" w:rsidP="001B0D37">
      <w:pPr>
        <w:pStyle w:val="Odstavecseseznamem"/>
        <w:numPr>
          <w:ilvl w:val="1"/>
          <w:numId w:val="8"/>
        </w:numPr>
        <w:jc w:val="both"/>
        <w:rPr>
          <w:rFonts w:ascii="Arial" w:hAnsi="Arial" w:cs="Arial"/>
          <w:bCs/>
        </w:rPr>
      </w:pPr>
      <w:r>
        <w:rPr>
          <w:rFonts w:ascii="Arial" w:hAnsi="Arial" w:cs="Arial"/>
          <w:bCs/>
        </w:rPr>
        <w:t>Souvislost s délkou období, na kterou bude daný předmět plnění zajištěn</w:t>
      </w:r>
    </w:p>
    <w:p w14:paraId="5F735D51" w14:textId="340F8BF2" w:rsidR="00725F27" w:rsidRDefault="00725F27" w:rsidP="00725F27">
      <w:pPr>
        <w:pStyle w:val="Odstavecseseznamem"/>
        <w:numPr>
          <w:ilvl w:val="2"/>
          <w:numId w:val="8"/>
        </w:numPr>
        <w:jc w:val="both"/>
        <w:rPr>
          <w:rFonts w:ascii="Arial" w:hAnsi="Arial" w:cs="Arial"/>
          <w:bCs/>
        </w:rPr>
      </w:pPr>
      <w:r>
        <w:rPr>
          <w:rFonts w:ascii="Arial" w:hAnsi="Arial" w:cs="Arial"/>
          <w:bCs/>
        </w:rPr>
        <w:t>Nákup – na dobu životnosti pořízené technologie/doba neurčitá</w:t>
      </w:r>
    </w:p>
    <w:p w14:paraId="5433D485" w14:textId="138B9AF8" w:rsidR="00725F27" w:rsidRDefault="00725F27" w:rsidP="00725F27">
      <w:pPr>
        <w:pStyle w:val="Odstavecseseznamem"/>
        <w:numPr>
          <w:ilvl w:val="2"/>
          <w:numId w:val="8"/>
        </w:numPr>
        <w:jc w:val="both"/>
        <w:rPr>
          <w:rFonts w:ascii="Arial" w:hAnsi="Arial" w:cs="Arial"/>
          <w:bCs/>
        </w:rPr>
      </w:pPr>
      <w:r>
        <w:rPr>
          <w:rFonts w:ascii="Arial" w:hAnsi="Arial" w:cs="Arial"/>
          <w:bCs/>
        </w:rPr>
        <w:t>Výpůjčka – zpravidla na dobu určitou</w:t>
      </w:r>
    </w:p>
    <w:p w14:paraId="35D13DE1" w14:textId="201EA843" w:rsidR="00725F27" w:rsidRDefault="00725F27" w:rsidP="00725F27">
      <w:pPr>
        <w:pStyle w:val="Odstavecseseznamem"/>
        <w:numPr>
          <w:ilvl w:val="1"/>
          <w:numId w:val="8"/>
        </w:numPr>
        <w:jc w:val="both"/>
        <w:rPr>
          <w:rFonts w:ascii="Arial" w:hAnsi="Arial" w:cs="Arial"/>
          <w:bCs/>
        </w:rPr>
      </w:pPr>
      <w:r>
        <w:rPr>
          <w:rFonts w:ascii="Arial" w:hAnsi="Arial" w:cs="Arial"/>
          <w:bCs/>
        </w:rPr>
        <w:t>Čím složitější přechod na novou technologii, tím může být vhodnější zajištění předmětu plnění na delší dobu (zaškolení personálu, porovnatelnost výsledků vyšetření,…)</w:t>
      </w:r>
    </w:p>
    <w:p w14:paraId="116BB6C0" w14:textId="0BE3C214" w:rsidR="001B0D37" w:rsidRDefault="00725F27" w:rsidP="00725F27">
      <w:pPr>
        <w:pStyle w:val="Odstavecseseznamem"/>
        <w:numPr>
          <w:ilvl w:val="0"/>
          <w:numId w:val="8"/>
        </w:numPr>
        <w:spacing w:before="360" w:after="0"/>
        <w:ind w:left="714" w:hanging="357"/>
        <w:contextualSpacing w:val="0"/>
        <w:jc w:val="both"/>
        <w:rPr>
          <w:rFonts w:ascii="Arial" w:hAnsi="Arial" w:cs="Arial"/>
          <w:bCs/>
        </w:rPr>
      </w:pPr>
      <w:r>
        <w:rPr>
          <w:rFonts w:ascii="Arial" w:hAnsi="Arial" w:cs="Arial"/>
          <w:bCs/>
        </w:rPr>
        <w:t>Ekonomika</w:t>
      </w:r>
    </w:p>
    <w:p w14:paraId="7F395C7A" w14:textId="0D022489" w:rsidR="00725F27" w:rsidRDefault="00725F27" w:rsidP="00725F27">
      <w:pPr>
        <w:pStyle w:val="Odstavecseseznamem"/>
        <w:numPr>
          <w:ilvl w:val="1"/>
          <w:numId w:val="8"/>
        </w:numPr>
        <w:jc w:val="both"/>
        <w:rPr>
          <w:rFonts w:ascii="Arial" w:hAnsi="Arial" w:cs="Arial"/>
          <w:bCs/>
        </w:rPr>
      </w:pPr>
      <w:r>
        <w:rPr>
          <w:rFonts w:ascii="Arial" w:hAnsi="Arial" w:cs="Arial"/>
          <w:bCs/>
        </w:rPr>
        <w:t>Porovnání nákladů jednotlivých variant (ekonomick</w:t>
      </w:r>
      <w:r w:rsidR="00B2257B">
        <w:rPr>
          <w:rFonts w:ascii="Arial" w:hAnsi="Arial" w:cs="Arial"/>
          <w:bCs/>
        </w:rPr>
        <w:t>á</w:t>
      </w:r>
      <w:r>
        <w:rPr>
          <w:rFonts w:ascii="Arial" w:hAnsi="Arial" w:cs="Arial"/>
          <w:bCs/>
        </w:rPr>
        <w:t xml:space="preserve"> výhodnost možných řešení)</w:t>
      </w:r>
    </w:p>
    <w:p w14:paraId="403FA8CE" w14:textId="0EB983B5" w:rsidR="00725F27" w:rsidRDefault="00725F27" w:rsidP="00725F27">
      <w:pPr>
        <w:pStyle w:val="Odstavecseseznamem"/>
        <w:numPr>
          <w:ilvl w:val="1"/>
          <w:numId w:val="8"/>
        </w:numPr>
        <w:jc w:val="both"/>
        <w:rPr>
          <w:rFonts w:ascii="Arial" w:hAnsi="Arial" w:cs="Arial"/>
          <w:bCs/>
        </w:rPr>
      </w:pPr>
      <w:r>
        <w:rPr>
          <w:rFonts w:ascii="Arial" w:hAnsi="Arial" w:cs="Arial"/>
          <w:bCs/>
        </w:rPr>
        <w:t>Finanční možnosti zadavatele (investiční vs. provozní prostředky jednotlivých variant)</w:t>
      </w:r>
    </w:p>
    <w:p w14:paraId="5806782C" w14:textId="77777777" w:rsidR="00563DB7" w:rsidRPr="004E007C" w:rsidRDefault="00563DB7" w:rsidP="00E64FE0">
      <w:pPr>
        <w:rPr>
          <w:rFonts w:ascii="Arial" w:hAnsi="Arial" w:cs="Arial"/>
          <w:b/>
          <w:u w:val="single"/>
        </w:rPr>
      </w:pPr>
    </w:p>
    <w:p w14:paraId="27772BE1" w14:textId="36AE9B4A" w:rsidR="00E64FE0" w:rsidRPr="004E007C" w:rsidRDefault="00E64FE0" w:rsidP="00E64FE0">
      <w:pPr>
        <w:rPr>
          <w:rFonts w:ascii="Arial" w:hAnsi="Arial" w:cs="Arial"/>
          <w:b/>
          <w:u w:val="single"/>
        </w:rPr>
      </w:pPr>
      <w:r w:rsidRPr="001D355E">
        <w:rPr>
          <w:rFonts w:ascii="Arial" w:hAnsi="Arial" w:cs="Arial"/>
          <w:b/>
          <w:u w:val="single"/>
        </w:rPr>
        <w:t>18. Příprava podrobné technické specifikace</w:t>
      </w:r>
    </w:p>
    <w:p w14:paraId="6590D306" w14:textId="433E8E9E" w:rsidR="00964821" w:rsidRDefault="00964821" w:rsidP="00964821">
      <w:pPr>
        <w:jc w:val="both"/>
        <w:rPr>
          <w:rFonts w:ascii="Arial" w:hAnsi="Arial" w:cs="Arial"/>
        </w:rPr>
      </w:pPr>
      <w:r>
        <w:rPr>
          <w:rFonts w:ascii="Arial" w:hAnsi="Arial" w:cs="Arial"/>
        </w:rPr>
        <w:t>Nedílnou součást zadávacích podmínek musí být</w:t>
      </w:r>
      <w:r w:rsidR="00F571C9">
        <w:rPr>
          <w:rFonts w:ascii="Arial" w:hAnsi="Arial" w:cs="Arial"/>
        </w:rPr>
        <w:t>, mimo jiné,</w:t>
      </w:r>
      <w:r>
        <w:rPr>
          <w:rFonts w:ascii="Arial" w:hAnsi="Arial" w:cs="Arial"/>
        </w:rPr>
        <w:t xml:space="preserve"> technick</w:t>
      </w:r>
      <w:r w:rsidR="00F571C9">
        <w:rPr>
          <w:rFonts w:ascii="Arial" w:hAnsi="Arial" w:cs="Arial"/>
        </w:rPr>
        <w:t>á</w:t>
      </w:r>
      <w:r>
        <w:rPr>
          <w:rFonts w:ascii="Arial" w:hAnsi="Arial" w:cs="Arial"/>
        </w:rPr>
        <w:t xml:space="preserve"> specifikace požadovaného předmětu plnění, a to v takovém rozsahu, který umožní zadavateli naplnit jeho potřeby. Technická specifikace musí být ze strany zadavatele uvedena v zadávacích podmínkách v podrobnostech nezbytných pro podání nabídky. Zájemc</w:t>
      </w:r>
      <w:r w:rsidR="00F571C9">
        <w:rPr>
          <w:rFonts w:ascii="Arial" w:hAnsi="Arial" w:cs="Arial"/>
        </w:rPr>
        <w:t>ům</w:t>
      </w:r>
      <w:r>
        <w:rPr>
          <w:rFonts w:ascii="Arial" w:hAnsi="Arial" w:cs="Arial"/>
        </w:rPr>
        <w:t xml:space="preserve"> o danou veřejnou zakázku tak musí být </w:t>
      </w:r>
      <w:r w:rsidR="00F571C9">
        <w:rPr>
          <w:rFonts w:ascii="Arial" w:hAnsi="Arial" w:cs="Arial"/>
        </w:rPr>
        <w:t xml:space="preserve">ze zadávací dokumentace </w:t>
      </w:r>
      <w:r>
        <w:rPr>
          <w:rFonts w:ascii="Arial" w:hAnsi="Arial" w:cs="Arial"/>
        </w:rPr>
        <w:t>zřejmé, jakými minimálními parametry musí j</w:t>
      </w:r>
      <w:r w:rsidR="00F571C9">
        <w:rPr>
          <w:rFonts w:ascii="Arial" w:hAnsi="Arial" w:cs="Arial"/>
        </w:rPr>
        <w:t>i</w:t>
      </w:r>
      <w:r>
        <w:rPr>
          <w:rFonts w:ascii="Arial" w:hAnsi="Arial" w:cs="Arial"/>
        </w:rPr>
        <w:t>m</w:t>
      </w:r>
      <w:r w:rsidR="00F571C9">
        <w:rPr>
          <w:rFonts w:ascii="Arial" w:hAnsi="Arial" w:cs="Arial"/>
        </w:rPr>
        <w:t>i</w:t>
      </w:r>
      <w:r>
        <w:rPr>
          <w:rFonts w:ascii="Arial" w:hAnsi="Arial" w:cs="Arial"/>
        </w:rPr>
        <w:t xml:space="preserve"> nabízený předmět plnění disponovat. Ke stanovení technických podmínek může dojít prostřednictvím parametrů vyjadřujících požadavky na výkon nebo funkci, </w:t>
      </w:r>
      <w:r w:rsidR="001D355E">
        <w:rPr>
          <w:rFonts w:ascii="Arial" w:hAnsi="Arial" w:cs="Arial"/>
        </w:rPr>
        <w:t>odkazu na normy, technické dokumenty nebo např. na štítky. Zadavatel zároveň nesmí při definování technických podmínek poptávaného předmětu plnění bezdůvodně zvýhodnit nebo znevýhodnit určité dodavatele nebo výrobky prostřednictvím přímého odkazu na určité dodavatele, výrobky, patenty nebo např. ochranné známky.</w:t>
      </w:r>
    </w:p>
    <w:p w14:paraId="7B9F3F3D" w14:textId="73D69DE7" w:rsidR="001D355E" w:rsidRPr="004E007C" w:rsidRDefault="001D355E" w:rsidP="00964821">
      <w:pPr>
        <w:jc w:val="both"/>
        <w:rPr>
          <w:rFonts w:ascii="Arial" w:hAnsi="Arial" w:cs="Arial"/>
        </w:rPr>
      </w:pPr>
      <w:r>
        <w:rPr>
          <w:rFonts w:ascii="Arial" w:hAnsi="Arial" w:cs="Arial"/>
        </w:rPr>
        <w:t>Zadavatel může při přípravě technické specifikace využít např. informací získaných na základě průzkumu trhu či předběžných tržních konzultací.</w:t>
      </w:r>
    </w:p>
    <w:p w14:paraId="0118F91C" w14:textId="77777777" w:rsidR="00E64FE0" w:rsidRPr="004E007C" w:rsidRDefault="00E64FE0" w:rsidP="00E64FE0">
      <w:pPr>
        <w:rPr>
          <w:rFonts w:ascii="Arial" w:hAnsi="Arial" w:cs="Arial"/>
          <w:b/>
          <w:u w:val="single"/>
        </w:rPr>
      </w:pPr>
    </w:p>
    <w:p w14:paraId="6388415E" w14:textId="71FF9DC8" w:rsidR="00E64FE0" w:rsidRPr="004E007C" w:rsidRDefault="00E64FE0" w:rsidP="00E64FE0">
      <w:pPr>
        <w:rPr>
          <w:rFonts w:ascii="Arial" w:hAnsi="Arial" w:cs="Arial"/>
          <w:b/>
          <w:u w:val="single"/>
        </w:rPr>
      </w:pPr>
      <w:r w:rsidRPr="004E007C">
        <w:rPr>
          <w:rFonts w:ascii="Arial" w:hAnsi="Arial" w:cs="Arial"/>
          <w:b/>
          <w:u w:val="single"/>
        </w:rPr>
        <w:t xml:space="preserve">19. Podmínky </w:t>
      </w:r>
      <w:r w:rsidR="00DA27EC">
        <w:rPr>
          <w:rFonts w:ascii="Arial" w:hAnsi="Arial" w:cs="Arial"/>
          <w:b/>
          <w:u w:val="single"/>
        </w:rPr>
        <w:t>způsobilosti/</w:t>
      </w:r>
      <w:r w:rsidRPr="004E007C">
        <w:rPr>
          <w:rFonts w:ascii="Arial" w:hAnsi="Arial" w:cs="Arial"/>
          <w:b/>
          <w:u w:val="single"/>
        </w:rPr>
        <w:t>kvalifikace potenciálních dodavatelů</w:t>
      </w:r>
    </w:p>
    <w:p w14:paraId="7D40AB08" w14:textId="1669BA0F" w:rsidR="00E64FE0" w:rsidRDefault="00DA27EC" w:rsidP="00E64FE0">
      <w:pPr>
        <w:jc w:val="both"/>
        <w:rPr>
          <w:rFonts w:ascii="Arial" w:hAnsi="Arial" w:cs="Arial"/>
        </w:rPr>
      </w:pPr>
      <w:r>
        <w:rPr>
          <w:rFonts w:ascii="Arial" w:hAnsi="Arial" w:cs="Arial"/>
        </w:rPr>
        <w:t>Zadavatel je při tvorbě zadávacích podmínek oprávněn požadovat předložení dokladů a informací prokazujících skutečnost, že účastník zadávacího řízení je způsobilý (má dostatečnou kvalifikaci) k realizaci předmětu plnění definovaného v zadávací dokumentaci.</w:t>
      </w:r>
      <w:r w:rsidR="00E64FE0" w:rsidRPr="004E007C">
        <w:rPr>
          <w:rFonts w:ascii="Arial" w:hAnsi="Arial" w:cs="Arial"/>
        </w:rPr>
        <w:t xml:space="preserve"> </w:t>
      </w:r>
      <w:r>
        <w:rPr>
          <w:rFonts w:ascii="Arial" w:hAnsi="Arial" w:cs="Arial"/>
        </w:rPr>
        <w:t xml:space="preserve">Nad rámec zákonem stanoveného minima (zákonem definované požadavky zadavatele na kvalifikaci pro nadlimitní režim) může zadavatel </w:t>
      </w:r>
      <w:r w:rsidR="00053775">
        <w:rPr>
          <w:rFonts w:ascii="Arial" w:hAnsi="Arial" w:cs="Arial"/>
        </w:rPr>
        <w:t>pro veřejné zakázky na dodávku zdravotnických prostředků typicky vyžadovat</w:t>
      </w:r>
      <w:r>
        <w:rPr>
          <w:rFonts w:ascii="Arial" w:hAnsi="Arial" w:cs="Arial"/>
        </w:rPr>
        <w:t>:</w:t>
      </w:r>
    </w:p>
    <w:p w14:paraId="10096ECF" w14:textId="0017DCA7" w:rsidR="00DA27EC" w:rsidRPr="004E007C" w:rsidRDefault="00053775" w:rsidP="00DA27EC">
      <w:pPr>
        <w:numPr>
          <w:ilvl w:val="0"/>
          <w:numId w:val="2"/>
        </w:numPr>
        <w:spacing w:before="120" w:after="120" w:line="240" w:lineRule="auto"/>
        <w:jc w:val="both"/>
        <w:rPr>
          <w:rFonts w:ascii="Arial" w:eastAsia="Times New Roman" w:hAnsi="Arial" w:cs="Arial"/>
        </w:rPr>
      </w:pPr>
      <w:r>
        <w:rPr>
          <w:rFonts w:ascii="Arial" w:eastAsia="Times New Roman" w:hAnsi="Arial" w:cs="Arial"/>
          <w:b/>
        </w:rPr>
        <w:t>Profesní způsobilost</w:t>
      </w:r>
    </w:p>
    <w:p w14:paraId="54ECC1A2" w14:textId="7E4107AD" w:rsidR="00DA27EC" w:rsidRPr="004E007C" w:rsidRDefault="00DA27EC" w:rsidP="00DA27EC">
      <w:pPr>
        <w:spacing w:before="120" w:after="120" w:line="240" w:lineRule="auto"/>
        <w:ind w:left="720"/>
        <w:jc w:val="both"/>
        <w:rPr>
          <w:rFonts w:ascii="Arial" w:eastAsia="Times New Roman" w:hAnsi="Arial" w:cs="Arial"/>
        </w:rPr>
      </w:pPr>
      <w:r w:rsidRPr="004E007C">
        <w:rPr>
          <w:rFonts w:ascii="Arial" w:eastAsia="Times New Roman" w:hAnsi="Arial" w:cs="Arial"/>
        </w:rPr>
        <w:t xml:space="preserve">Zadavatel </w:t>
      </w:r>
      <w:r w:rsidR="00053775">
        <w:rPr>
          <w:rFonts w:ascii="Arial" w:eastAsia="Times New Roman" w:hAnsi="Arial" w:cs="Arial"/>
        </w:rPr>
        <w:t>může</w:t>
      </w:r>
      <w:r w:rsidR="003E6752">
        <w:rPr>
          <w:rFonts w:ascii="Arial" w:eastAsia="Times New Roman" w:hAnsi="Arial" w:cs="Arial"/>
        </w:rPr>
        <w:t xml:space="preserve"> v souladu s ustanovením § 77 odst. 2 písm. c) ZZVZ</w:t>
      </w:r>
      <w:r w:rsidR="00053775">
        <w:rPr>
          <w:rFonts w:ascii="Arial" w:eastAsia="Times New Roman" w:hAnsi="Arial" w:cs="Arial"/>
        </w:rPr>
        <w:t xml:space="preserve"> požadovat předložení dokladu prokazujícího oprávnění dodavatele podnikat v rozsahu odpovídajícímu předmětu plnění veřejné zakázky, pokud jiné právní předpisy takové oprávnění vyžadují. V takovém případě musí být zadavatel schopen definovat ta oprávnění, která jsou pro realizace předmětu plnění relevantní a připustit i ta, které zadavatelem požadované oprávnění obsahují. </w:t>
      </w:r>
    </w:p>
    <w:p w14:paraId="19CD33CD" w14:textId="7CF438F9" w:rsidR="00DA27EC" w:rsidRPr="004E007C" w:rsidRDefault="00053775" w:rsidP="00DA27EC">
      <w:pPr>
        <w:numPr>
          <w:ilvl w:val="0"/>
          <w:numId w:val="2"/>
        </w:numPr>
        <w:spacing w:before="120" w:after="120" w:line="240" w:lineRule="auto"/>
        <w:jc w:val="both"/>
        <w:rPr>
          <w:rFonts w:ascii="Arial" w:eastAsia="Times New Roman" w:hAnsi="Arial" w:cs="Arial"/>
          <w:b/>
        </w:rPr>
      </w:pPr>
      <w:r>
        <w:rPr>
          <w:rFonts w:ascii="Arial" w:eastAsia="Times New Roman" w:hAnsi="Arial" w:cs="Arial"/>
          <w:b/>
        </w:rPr>
        <w:lastRenderedPageBreak/>
        <w:t>Technickou kvalifikaci</w:t>
      </w:r>
    </w:p>
    <w:p w14:paraId="6B01FD48" w14:textId="058D7E2A" w:rsidR="00053775" w:rsidRPr="00053775" w:rsidRDefault="00053775" w:rsidP="00053775">
      <w:pPr>
        <w:pStyle w:val="Odstavecseseznamem"/>
        <w:numPr>
          <w:ilvl w:val="1"/>
          <w:numId w:val="2"/>
        </w:numPr>
        <w:spacing w:before="120" w:after="120" w:line="240" w:lineRule="auto"/>
        <w:ind w:left="1434" w:hanging="357"/>
        <w:contextualSpacing w:val="0"/>
        <w:jc w:val="both"/>
        <w:rPr>
          <w:rFonts w:ascii="Arial" w:eastAsia="Times New Roman" w:hAnsi="Arial" w:cs="Arial"/>
          <w:b/>
          <w:bCs/>
          <w:i/>
          <w:iCs/>
        </w:rPr>
      </w:pPr>
      <w:r w:rsidRPr="00053775">
        <w:rPr>
          <w:rFonts w:ascii="Arial" w:eastAsia="Times New Roman" w:hAnsi="Arial" w:cs="Arial"/>
          <w:b/>
          <w:bCs/>
          <w:i/>
          <w:iCs/>
        </w:rPr>
        <w:t>Seznam významných dodávek/služeb</w:t>
      </w:r>
      <w:r w:rsidR="003E6752">
        <w:rPr>
          <w:rFonts w:ascii="Arial" w:eastAsia="Times New Roman" w:hAnsi="Arial" w:cs="Arial"/>
          <w:b/>
          <w:bCs/>
          <w:i/>
          <w:iCs/>
        </w:rPr>
        <w:t xml:space="preserve"> (§ 79 odst. 2 písm. b) ZZVZ)</w:t>
      </w:r>
    </w:p>
    <w:p w14:paraId="6C5F0366" w14:textId="374E2715" w:rsidR="00053775" w:rsidRPr="00053775" w:rsidRDefault="00053775" w:rsidP="00053775">
      <w:pPr>
        <w:pStyle w:val="Odstavecseseznamem"/>
        <w:spacing w:before="120" w:after="120" w:line="240" w:lineRule="auto"/>
        <w:ind w:left="1440"/>
        <w:contextualSpacing w:val="0"/>
        <w:jc w:val="both"/>
        <w:rPr>
          <w:rFonts w:ascii="Arial" w:eastAsia="Times New Roman" w:hAnsi="Arial" w:cs="Arial"/>
        </w:rPr>
      </w:pPr>
      <w:r>
        <w:rPr>
          <w:rFonts w:ascii="Arial" w:eastAsia="Times New Roman" w:hAnsi="Arial" w:cs="Arial"/>
        </w:rPr>
        <w:t>Zadavatelem definovaný požadavek na předložení seznamu významných dodávek nebo služeb poskytnutých za poslední 3 roky před zahájením zadávacího řízení musí být vždy stanoven přiměřeně s ohledem na</w:t>
      </w:r>
      <w:r w:rsidR="001F2214">
        <w:rPr>
          <w:rFonts w:ascii="Arial" w:eastAsia="Times New Roman" w:hAnsi="Arial" w:cs="Arial"/>
        </w:rPr>
        <w:t xml:space="preserve"> konkrétní</w:t>
      </w:r>
      <w:r>
        <w:rPr>
          <w:rFonts w:ascii="Arial" w:eastAsia="Times New Roman" w:hAnsi="Arial" w:cs="Arial"/>
        </w:rPr>
        <w:t xml:space="preserve"> předmět veřejné zakázky. Přiměřenost je nutno hledat nejen ve vymezení toho, co bylo předmětem významné dodávky/služby, ale také v požadované objemu či počtu požadovaných zkušeností. </w:t>
      </w:r>
    </w:p>
    <w:p w14:paraId="3812DD71" w14:textId="1F850D20" w:rsidR="00053775" w:rsidRDefault="00053775" w:rsidP="001F2214">
      <w:pPr>
        <w:pStyle w:val="Odstavecseseznamem"/>
        <w:numPr>
          <w:ilvl w:val="1"/>
          <w:numId w:val="2"/>
        </w:numPr>
        <w:spacing w:before="120" w:after="120" w:line="240" w:lineRule="auto"/>
        <w:ind w:left="1434" w:hanging="357"/>
        <w:contextualSpacing w:val="0"/>
        <w:jc w:val="both"/>
        <w:rPr>
          <w:rFonts w:ascii="Arial" w:eastAsia="Times New Roman" w:hAnsi="Arial" w:cs="Arial"/>
          <w:b/>
          <w:bCs/>
          <w:i/>
          <w:iCs/>
        </w:rPr>
      </w:pPr>
      <w:r w:rsidRPr="00053775">
        <w:rPr>
          <w:rFonts w:ascii="Arial" w:eastAsia="Times New Roman" w:hAnsi="Arial" w:cs="Arial"/>
          <w:b/>
          <w:bCs/>
          <w:i/>
          <w:iCs/>
        </w:rPr>
        <w:t>Popis a fotografie nabízeného předmětu plnění</w:t>
      </w:r>
      <w:r w:rsidR="003E6752">
        <w:rPr>
          <w:rFonts w:ascii="Arial" w:eastAsia="Times New Roman" w:hAnsi="Arial" w:cs="Arial"/>
          <w:b/>
          <w:bCs/>
          <w:i/>
          <w:iCs/>
        </w:rPr>
        <w:t xml:space="preserve"> (§ 79 odst. 2 písm. k) ZZVZ)</w:t>
      </w:r>
    </w:p>
    <w:p w14:paraId="080CCDFA" w14:textId="08F21F64" w:rsidR="001F2214" w:rsidRPr="001F2214" w:rsidRDefault="001F2214" w:rsidP="001F2214">
      <w:pPr>
        <w:pStyle w:val="Odstavecseseznamem"/>
        <w:spacing w:before="120" w:after="120" w:line="240" w:lineRule="auto"/>
        <w:ind w:left="1440"/>
        <w:contextualSpacing w:val="0"/>
        <w:jc w:val="both"/>
        <w:rPr>
          <w:rFonts w:ascii="Arial" w:eastAsia="Times New Roman" w:hAnsi="Arial" w:cs="Arial"/>
        </w:rPr>
      </w:pPr>
      <w:r w:rsidRPr="001F2214">
        <w:rPr>
          <w:rFonts w:ascii="Arial" w:eastAsia="Times New Roman" w:hAnsi="Arial" w:cs="Arial"/>
        </w:rPr>
        <w:t>Požadavek na předložení popisu a vyobrazení nabízeného předmětu by měl být ze strany zadava</w:t>
      </w:r>
      <w:r>
        <w:rPr>
          <w:rFonts w:ascii="Arial" w:eastAsia="Times New Roman" w:hAnsi="Arial" w:cs="Arial"/>
        </w:rPr>
        <w:t>tele požadován v rozsahu, který bude zajišťovat prokázání splnění požadavků zadavatele na předmět plnění, případně parametrů, které jsou předmětem hodnocení v případě kvalitativních hodnotících parametrů.</w:t>
      </w:r>
    </w:p>
    <w:p w14:paraId="1BB7B148" w14:textId="6D92512B" w:rsidR="00053775" w:rsidRDefault="00053775" w:rsidP="001F2214">
      <w:pPr>
        <w:pStyle w:val="Odstavecseseznamem"/>
        <w:numPr>
          <w:ilvl w:val="1"/>
          <w:numId w:val="2"/>
        </w:numPr>
        <w:spacing w:before="120" w:after="120" w:line="240" w:lineRule="auto"/>
        <w:ind w:left="1434" w:hanging="357"/>
        <w:contextualSpacing w:val="0"/>
        <w:jc w:val="both"/>
        <w:rPr>
          <w:rFonts w:ascii="Arial" w:eastAsia="Times New Roman" w:hAnsi="Arial" w:cs="Arial"/>
          <w:b/>
          <w:bCs/>
          <w:i/>
          <w:iCs/>
        </w:rPr>
      </w:pPr>
      <w:r w:rsidRPr="00053775">
        <w:rPr>
          <w:rFonts w:ascii="Arial" w:eastAsia="Times New Roman" w:hAnsi="Arial" w:cs="Arial"/>
          <w:b/>
          <w:bCs/>
          <w:i/>
          <w:iCs/>
        </w:rPr>
        <w:t>Prohlášení o shodě</w:t>
      </w:r>
      <w:r w:rsidR="003E6752">
        <w:rPr>
          <w:rFonts w:ascii="Arial" w:eastAsia="Times New Roman" w:hAnsi="Arial" w:cs="Arial"/>
          <w:b/>
          <w:bCs/>
          <w:i/>
          <w:iCs/>
        </w:rPr>
        <w:t xml:space="preserve"> (§ 79 odst. 2 písm. l) ZZVZ)</w:t>
      </w:r>
    </w:p>
    <w:p w14:paraId="06ED2E14" w14:textId="46DD3863" w:rsidR="00F66A07" w:rsidRPr="00F66A07" w:rsidRDefault="00F66A07" w:rsidP="00F66A07">
      <w:pPr>
        <w:pStyle w:val="Odstavecseseznamem"/>
        <w:spacing w:before="120" w:after="120" w:line="240" w:lineRule="auto"/>
        <w:ind w:left="1434"/>
        <w:contextualSpacing w:val="0"/>
        <w:jc w:val="both"/>
        <w:rPr>
          <w:rFonts w:ascii="Arial" w:eastAsia="Times New Roman" w:hAnsi="Arial" w:cs="Arial"/>
          <w:i/>
          <w:iCs/>
        </w:rPr>
      </w:pPr>
      <w:r w:rsidRPr="00002B25">
        <w:rPr>
          <w:rFonts w:ascii="Arial" w:eastAsia="Times New Roman" w:hAnsi="Arial" w:cs="Arial"/>
        </w:rPr>
        <w:t xml:space="preserve">Požadavek na předložení prohlášení o shodě k předmětu plnění (jedná-li se o předmět plnění, ke kterému se prohlášení o shodě standardně vydává) by mělo zadavateli zajistit dodávku takového předmětu plnění, který bude moci v souladu s platnou legislativou používat, a proto </w:t>
      </w:r>
      <w:r w:rsidR="00002B25" w:rsidRPr="00002B25">
        <w:rPr>
          <w:rFonts w:ascii="Arial" w:eastAsia="Times New Roman" w:hAnsi="Arial" w:cs="Arial"/>
        </w:rPr>
        <w:t>lze využívání tohoto institutu zadavatelům doporučit</w:t>
      </w:r>
      <w:r w:rsidR="00002B25">
        <w:rPr>
          <w:rFonts w:ascii="Arial" w:eastAsia="Times New Roman" w:hAnsi="Arial" w:cs="Arial"/>
          <w:i/>
          <w:iCs/>
        </w:rPr>
        <w:t>.</w:t>
      </w:r>
    </w:p>
    <w:p w14:paraId="3CE78A94" w14:textId="5BB446AC" w:rsidR="00053775" w:rsidRPr="00053775" w:rsidRDefault="00053775" w:rsidP="004A676B">
      <w:pPr>
        <w:pStyle w:val="Odstavecseseznamem"/>
        <w:numPr>
          <w:ilvl w:val="1"/>
          <w:numId w:val="2"/>
        </w:numPr>
        <w:spacing w:before="120" w:after="120" w:line="240" w:lineRule="auto"/>
        <w:ind w:left="1434" w:hanging="357"/>
        <w:contextualSpacing w:val="0"/>
        <w:jc w:val="both"/>
        <w:rPr>
          <w:rFonts w:ascii="Arial" w:eastAsia="Times New Roman" w:hAnsi="Arial" w:cs="Arial"/>
          <w:b/>
          <w:bCs/>
          <w:i/>
          <w:iCs/>
        </w:rPr>
      </w:pPr>
      <w:r w:rsidRPr="00053775">
        <w:rPr>
          <w:rFonts w:ascii="Arial" w:eastAsia="Times New Roman" w:hAnsi="Arial" w:cs="Arial"/>
          <w:b/>
          <w:bCs/>
          <w:i/>
          <w:iCs/>
        </w:rPr>
        <w:t>Vzorky</w:t>
      </w:r>
      <w:r w:rsidR="003E6752">
        <w:rPr>
          <w:rFonts w:ascii="Arial" w:eastAsia="Times New Roman" w:hAnsi="Arial" w:cs="Arial"/>
          <w:b/>
          <w:bCs/>
          <w:i/>
          <w:iCs/>
        </w:rPr>
        <w:t xml:space="preserve"> (§ 79 odst. 2 písm. k) ZZVZ)</w:t>
      </w:r>
    </w:p>
    <w:p w14:paraId="320B36B1" w14:textId="792F4A9F" w:rsidR="003E6752" w:rsidRDefault="003E6752" w:rsidP="003E6752">
      <w:pPr>
        <w:pStyle w:val="Odstavecseseznamem"/>
        <w:spacing w:before="120" w:after="120" w:line="240" w:lineRule="auto"/>
        <w:ind w:left="1440"/>
        <w:contextualSpacing w:val="0"/>
        <w:jc w:val="both"/>
        <w:rPr>
          <w:rFonts w:ascii="Arial" w:eastAsia="Times New Roman" w:hAnsi="Arial" w:cs="Arial"/>
        </w:rPr>
      </w:pPr>
      <w:r>
        <w:rPr>
          <w:rFonts w:ascii="Arial" w:eastAsia="Times New Roman" w:hAnsi="Arial" w:cs="Arial"/>
        </w:rPr>
        <w:t>Vhodným nástrojem pro zajištění kontroly, zda nabízený předmět plnění odpovídá zadavatelem definovaným zadávacím podmínkám, je požadavek na předložení vzorku. V takovém případě by zadávací podmínky měly obsahovat minimálně následující informace:</w:t>
      </w:r>
    </w:p>
    <w:p w14:paraId="339962A3" w14:textId="79E6596D" w:rsidR="003E6752" w:rsidRDefault="003E6752" w:rsidP="003E6752">
      <w:pPr>
        <w:pStyle w:val="Odstavecseseznamem"/>
        <w:numPr>
          <w:ilvl w:val="2"/>
          <w:numId w:val="2"/>
        </w:numPr>
        <w:spacing w:before="120" w:after="120" w:line="240" w:lineRule="auto"/>
        <w:contextualSpacing w:val="0"/>
        <w:jc w:val="both"/>
        <w:rPr>
          <w:rFonts w:ascii="Arial" w:eastAsia="Times New Roman" w:hAnsi="Arial" w:cs="Arial"/>
        </w:rPr>
      </w:pPr>
      <w:r>
        <w:rPr>
          <w:rFonts w:ascii="Arial" w:eastAsia="Times New Roman" w:hAnsi="Arial" w:cs="Arial"/>
        </w:rPr>
        <w:t>Lhůta pro předložení vzorků</w:t>
      </w:r>
    </w:p>
    <w:p w14:paraId="7DAE98DF" w14:textId="78693B97" w:rsidR="003E6752" w:rsidRDefault="003E6752" w:rsidP="003E6752">
      <w:pPr>
        <w:pStyle w:val="Odstavecseseznamem"/>
        <w:numPr>
          <w:ilvl w:val="2"/>
          <w:numId w:val="2"/>
        </w:numPr>
        <w:spacing w:before="120" w:after="120" w:line="240" w:lineRule="auto"/>
        <w:contextualSpacing w:val="0"/>
        <w:jc w:val="both"/>
        <w:rPr>
          <w:rFonts w:ascii="Arial" w:eastAsia="Times New Roman" w:hAnsi="Arial" w:cs="Arial"/>
        </w:rPr>
      </w:pPr>
      <w:r>
        <w:rPr>
          <w:rFonts w:ascii="Arial" w:eastAsia="Times New Roman" w:hAnsi="Arial" w:cs="Arial"/>
        </w:rPr>
        <w:t>Množství požadovaných vzorků</w:t>
      </w:r>
    </w:p>
    <w:p w14:paraId="7E0FA40E" w14:textId="790D87CF" w:rsidR="003E6752" w:rsidRDefault="003E6752" w:rsidP="003E6752">
      <w:pPr>
        <w:pStyle w:val="Odstavecseseznamem"/>
        <w:numPr>
          <w:ilvl w:val="2"/>
          <w:numId w:val="2"/>
        </w:numPr>
        <w:spacing w:before="120" w:after="120" w:line="240" w:lineRule="auto"/>
        <w:contextualSpacing w:val="0"/>
        <w:jc w:val="both"/>
        <w:rPr>
          <w:rFonts w:ascii="Arial" w:eastAsia="Times New Roman" w:hAnsi="Arial" w:cs="Arial"/>
        </w:rPr>
      </w:pPr>
      <w:r>
        <w:rPr>
          <w:rFonts w:ascii="Arial" w:eastAsia="Times New Roman" w:hAnsi="Arial" w:cs="Arial"/>
        </w:rPr>
        <w:t>Parametry, které budou předmětem posouzení vzorků</w:t>
      </w:r>
    </w:p>
    <w:p w14:paraId="43DD1445" w14:textId="009710A0" w:rsidR="003E6752" w:rsidRDefault="003E6752" w:rsidP="003E6752">
      <w:pPr>
        <w:pStyle w:val="Odstavecseseznamem"/>
        <w:numPr>
          <w:ilvl w:val="2"/>
          <w:numId w:val="2"/>
        </w:numPr>
        <w:spacing w:before="120" w:after="120" w:line="240" w:lineRule="auto"/>
        <w:contextualSpacing w:val="0"/>
        <w:jc w:val="both"/>
        <w:rPr>
          <w:rFonts w:ascii="Arial" w:eastAsia="Times New Roman" w:hAnsi="Arial" w:cs="Arial"/>
        </w:rPr>
      </w:pPr>
      <w:r>
        <w:rPr>
          <w:rFonts w:ascii="Arial" w:eastAsia="Times New Roman" w:hAnsi="Arial" w:cs="Arial"/>
        </w:rPr>
        <w:t>Způsob, jak budou vzorky posuzovány</w:t>
      </w:r>
    </w:p>
    <w:p w14:paraId="4479AEE7" w14:textId="77777777" w:rsidR="003E6752" w:rsidRDefault="003E6752" w:rsidP="003E6752">
      <w:pPr>
        <w:pStyle w:val="Odstavecseseznamem"/>
        <w:spacing w:before="120" w:after="120" w:line="240" w:lineRule="auto"/>
        <w:ind w:left="1440"/>
        <w:contextualSpacing w:val="0"/>
        <w:jc w:val="both"/>
        <w:rPr>
          <w:rFonts w:ascii="Arial" w:eastAsia="Times New Roman" w:hAnsi="Arial" w:cs="Arial"/>
        </w:rPr>
      </w:pPr>
    </w:p>
    <w:p w14:paraId="71BE60E5" w14:textId="7AC33D8A" w:rsidR="003E6752" w:rsidRDefault="00362F22" w:rsidP="003E6752">
      <w:pPr>
        <w:pStyle w:val="Odstavecseseznamem"/>
        <w:spacing w:before="120" w:after="120" w:line="240" w:lineRule="auto"/>
        <w:ind w:left="1440"/>
        <w:contextualSpacing w:val="0"/>
        <w:jc w:val="both"/>
        <w:rPr>
          <w:rFonts w:ascii="Arial" w:eastAsia="Times New Roman" w:hAnsi="Arial" w:cs="Arial"/>
        </w:rPr>
      </w:pPr>
      <w:r>
        <w:rPr>
          <w:rFonts w:ascii="Arial" w:eastAsia="Times New Roman" w:hAnsi="Arial" w:cs="Arial"/>
        </w:rPr>
        <w:t>V případě opakujících se dodávek je vhodné, aby si zadavatel část vzorků předložených v rámci zadávacího řízení uschoval pro účely budoucí kontroly dodávaného zboží (kontrola, zda dodavatel dodává stále stejné zboží, jež bylo předmětem jeho nabídky).</w:t>
      </w:r>
    </w:p>
    <w:p w14:paraId="012A483C" w14:textId="4C47B2D0" w:rsidR="00362F22" w:rsidRPr="003E6752" w:rsidRDefault="00362F22" w:rsidP="003E6752">
      <w:pPr>
        <w:pStyle w:val="Odstavecseseznamem"/>
        <w:spacing w:before="120" w:after="120" w:line="240" w:lineRule="auto"/>
        <w:ind w:left="1440"/>
        <w:contextualSpacing w:val="0"/>
        <w:jc w:val="both"/>
        <w:rPr>
          <w:rFonts w:ascii="Arial" w:eastAsia="Times New Roman" w:hAnsi="Arial" w:cs="Arial"/>
        </w:rPr>
      </w:pPr>
      <w:r>
        <w:rPr>
          <w:rFonts w:ascii="Arial" w:eastAsia="Times New Roman" w:hAnsi="Arial" w:cs="Arial"/>
        </w:rPr>
        <w:t>Zároveň je však nutné upozornit na skutečnost, že by zadavatel, v případě požadavku na předložení vzorků, měl počítat se situací, kdy bude účastník v souladu se ZZVZ požadovat vrácení či proplacení předložených vzorků.</w:t>
      </w:r>
    </w:p>
    <w:p w14:paraId="39E7606D" w14:textId="0F576F09" w:rsidR="00DA27EC" w:rsidRPr="004E007C" w:rsidRDefault="001F2214" w:rsidP="00E64FE0">
      <w:pPr>
        <w:jc w:val="both"/>
        <w:rPr>
          <w:rFonts w:ascii="Arial" w:hAnsi="Arial" w:cs="Arial"/>
        </w:rPr>
      </w:pPr>
      <w:r>
        <w:rPr>
          <w:rFonts w:ascii="Arial" w:hAnsi="Arial" w:cs="Arial"/>
        </w:rPr>
        <w:t>Stanovení požadavků na způsobilost, resp. kvalifikaci musí být vždy s ohledem na předmět plnění tak, aby zadavatel bych schopen odůvodnit přiměřenost svých požadavků s ohledem na předmět plnění. Jinými slovy musí být zadavatel schopen prokázat, proč by dodavatel nesplňující definované požadavky na způsobilost/kvalifikaci nebyl schopen zadavatelem definovaný předmět plnění řádně zajistit. Obecně lze zadavatelům doporučit, v případě nejistoty, zařazení požadavků na prokázání profesní způsobilosti, resp. technické kvalifikace do případných předběžných tržních konzultací před zahájením zadávacího řízení.</w:t>
      </w:r>
    </w:p>
    <w:p w14:paraId="48F19E13" w14:textId="1BFF45FD" w:rsidR="00E64FE0" w:rsidRPr="004E007C" w:rsidRDefault="00E64FE0" w:rsidP="00E64FE0">
      <w:pPr>
        <w:rPr>
          <w:rFonts w:ascii="Arial" w:hAnsi="Arial" w:cs="Arial"/>
          <w:b/>
          <w:u w:val="single"/>
        </w:rPr>
      </w:pPr>
      <w:r w:rsidRPr="004E007C">
        <w:rPr>
          <w:rFonts w:ascii="Arial" w:hAnsi="Arial" w:cs="Arial"/>
          <w:b/>
          <w:u w:val="single"/>
        </w:rPr>
        <w:lastRenderedPageBreak/>
        <w:t>20. Stanovení kritérií hodnocení</w:t>
      </w:r>
    </w:p>
    <w:p w14:paraId="5047977E" w14:textId="66A8AE01" w:rsidR="00E64FE0" w:rsidRPr="00E64FE0" w:rsidRDefault="00E64FE0" w:rsidP="00E64FE0">
      <w:pPr>
        <w:spacing w:before="120" w:after="120" w:line="259" w:lineRule="auto"/>
        <w:jc w:val="both"/>
        <w:rPr>
          <w:rFonts w:ascii="Arial" w:eastAsia="Calibri" w:hAnsi="Arial" w:cs="Arial"/>
        </w:rPr>
      </w:pPr>
      <w:r w:rsidRPr="00E64FE0">
        <w:rPr>
          <w:rFonts w:ascii="Arial" w:eastAsia="Calibri" w:hAnsi="Arial" w:cs="Arial"/>
        </w:rPr>
        <w:t>Zákon v ustanovení § 114 ZZVZ stanovuje, že nabídky budou hodnoceny podle jejich ekonomické výhodnosti</w:t>
      </w:r>
      <w:r w:rsidR="00441895" w:rsidRPr="004E007C">
        <w:rPr>
          <w:rFonts w:ascii="Arial" w:eastAsia="Calibri" w:hAnsi="Arial" w:cs="Arial"/>
        </w:rPr>
        <w:t>, přičemž se</w:t>
      </w:r>
      <w:r w:rsidRPr="00E64FE0">
        <w:rPr>
          <w:rFonts w:ascii="Arial" w:eastAsia="Calibri" w:hAnsi="Arial" w:cs="Arial"/>
        </w:rPr>
        <w:t xml:space="preserve"> ekonomick</w:t>
      </w:r>
      <w:r w:rsidR="00441895" w:rsidRPr="004E007C">
        <w:rPr>
          <w:rFonts w:ascii="Arial" w:eastAsia="Calibri" w:hAnsi="Arial" w:cs="Arial"/>
        </w:rPr>
        <w:t>á</w:t>
      </w:r>
      <w:r w:rsidRPr="00E64FE0">
        <w:rPr>
          <w:rFonts w:ascii="Arial" w:eastAsia="Calibri" w:hAnsi="Arial" w:cs="Arial"/>
        </w:rPr>
        <w:t xml:space="preserve"> výhodnost</w:t>
      </w:r>
      <w:r w:rsidR="00441895" w:rsidRPr="004E007C">
        <w:rPr>
          <w:rFonts w:ascii="Arial" w:eastAsia="Calibri" w:hAnsi="Arial" w:cs="Arial"/>
        </w:rPr>
        <w:t xml:space="preserve"> nabídek hodnotí na základě nejvýhodnějšího poměru nabídkové ceny a kvality vč. poměru nákladů životního cyklu a kvality, resp. dle </w:t>
      </w:r>
      <w:r w:rsidRPr="00E64FE0">
        <w:rPr>
          <w:rFonts w:ascii="Arial" w:eastAsia="Calibri" w:hAnsi="Arial" w:cs="Arial"/>
        </w:rPr>
        <w:t>nejnižší nabídkov</w:t>
      </w:r>
      <w:r w:rsidR="00441895" w:rsidRPr="004E007C">
        <w:rPr>
          <w:rFonts w:ascii="Arial" w:eastAsia="Calibri" w:hAnsi="Arial" w:cs="Arial"/>
        </w:rPr>
        <w:t>é</w:t>
      </w:r>
      <w:r w:rsidRPr="00E64FE0">
        <w:rPr>
          <w:rFonts w:ascii="Arial" w:eastAsia="Calibri" w:hAnsi="Arial" w:cs="Arial"/>
        </w:rPr>
        <w:t xml:space="preserve"> cen</w:t>
      </w:r>
      <w:r w:rsidR="00441895" w:rsidRPr="004E007C">
        <w:rPr>
          <w:rFonts w:ascii="Arial" w:eastAsia="Calibri" w:hAnsi="Arial" w:cs="Arial"/>
        </w:rPr>
        <w:t>a či</w:t>
      </w:r>
      <w:r w:rsidRPr="00E64FE0">
        <w:rPr>
          <w:rFonts w:ascii="Arial" w:eastAsia="Calibri" w:hAnsi="Arial" w:cs="Arial"/>
        </w:rPr>
        <w:t xml:space="preserve"> nejnižší</w:t>
      </w:r>
      <w:r w:rsidR="00441895" w:rsidRPr="004E007C">
        <w:rPr>
          <w:rFonts w:ascii="Arial" w:eastAsia="Calibri" w:hAnsi="Arial" w:cs="Arial"/>
        </w:rPr>
        <w:t>ch</w:t>
      </w:r>
      <w:r w:rsidRPr="00E64FE0">
        <w:rPr>
          <w:rFonts w:ascii="Arial" w:eastAsia="Calibri" w:hAnsi="Arial" w:cs="Arial"/>
        </w:rPr>
        <w:t xml:space="preserve"> náklad</w:t>
      </w:r>
      <w:r w:rsidR="00441895" w:rsidRPr="004E007C">
        <w:rPr>
          <w:rFonts w:ascii="Arial" w:eastAsia="Calibri" w:hAnsi="Arial" w:cs="Arial"/>
        </w:rPr>
        <w:t>ů</w:t>
      </w:r>
      <w:r w:rsidRPr="00E64FE0">
        <w:rPr>
          <w:rFonts w:ascii="Arial" w:eastAsia="Calibri" w:hAnsi="Arial" w:cs="Arial"/>
        </w:rPr>
        <w:t xml:space="preserve"> životního cyklu. </w:t>
      </w:r>
    </w:p>
    <w:p w14:paraId="742F4EF9" w14:textId="77777777" w:rsidR="00E64FE0" w:rsidRPr="004E007C" w:rsidRDefault="00E64FE0" w:rsidP="00E64FE0">
      <w:pPr>
        <w:spacing w:before="120" w:after="120" w:line="259" w:lineRule="auto"/>
        <w:jc w:val="both"/>
        <w:rPr>
          <w:rFonts w:ascii="Arial" w:eastAsia="Calibri" w:hAnsi="Arial" w:cs="Arial"/>
        </w:rPr>
      </w:pPr>
      <w:r w:rsidRPr="00E64FE0">
        <w:rPr>
          <w:rFonts w:ascii="Arial" w:eastAsia="Calibri" w:hAnsi="Arial" w:cs="Arial"/>
        </w:rPr>
        <w:t xml:space="preserve">Zadavatel může rovněž stanovit pevnou cenu a hodnotit pouze kvalitu nabízeného plnění. </w:t>
      </w:r>
    </w:p>
    <w:p w14:paraId="59822050" w14:textId="67318388" w:rsidR="00441895" w:rsidRPr="00E64FE0" w:rsidRDefault="00441895" w:rsidP="00441895">
      <w:pPr>
        <w:spacing w:before="120" w:after="120" w:line="259" w:lineRule="auto"/>
        <w:jc w:val="both"/>
        <w:rPr>
          <w:rFonts w:ascii="Arial" w:eastAsia="Calibri" w:hAnsi="Arial" w:cs="Arial"/>
        </w:rPr>
      </w:pPr>
      <w:r w:rsidRPr="004E007C">
        <w:rPr>
          <w:rFonts w:ascii="Arial" w:eastAsia="Calibri" w:hAnsi="Arial" w:cs="Arial"/>
        </w:rPr>
        <w:t>Jako vhodné příklady necenových hodnotících</w:t>
      </w:r>
      <w:r w:rsidRPr="00E64FE0">
        <w:rPr>
          <w:rFonts w:ascii="Arial" w:eastAsia="Calibri" w:hAnsi="Arial" w:cs="Arial"/>
        </w:rPr>
        <w:t xml:space="preserve"> kritérií</w:t>
      </w:r>
      <w:r w:rsidRPr="004E007C">
        <w:rPr>
          <w:rFonts w:ascii="Arial" w:eastAsia="Calibri" w:hAnsi="Arial" w:cs="Arial"/>
        </w:rPr>
        <w:t xml:space="preserve"> může vzít do úvahy např.</w:t>
      </w:r>
      <w:r w:rsidRPr="00E64FE0">
        <w:rPr>
          <w:rFonts w:ascii="Arial" w:eastAsia="Calibri" w:hAnsi="Arial" w:cs="Arial"/>
        </w:rPr>
        <w:t>:</w:t>
      </w:r>
    </w:p>
    <w:p w14:paraId="41057C57" w14:textId="77777777" w:rsidR="00CC4B0D" w:rsidRPr="004E007C" w:rsidRDefault="00CC4B0D" w:rsidP="00CC4B0D">
      <w:pPr>
        <w:numPr>
          <w:ilvl w:val="0"/>
          <w:numId w:val="1"/>
        </w:numPr>
        <w:spacing w:before="120" w:after="120" w:line="259" w:lineRule="auto"/>
        <w:contextualSpacing/>
        <w:jc w:val="both"/>
        <w:rPr>
          <w:rFonts w:ascii="Arial" w:eastAsia="Calibri" w:hAnsi="Arial" w:cs="Arial"/>
        </w:rPr>
      </w:pPr>
      <w:r w:rsidRPr="00E64FE0">
        <w:rPr>
          <w:rFonts w:ascii="Arial" w:eastAsia="Calibri" w:hAnsi="Arial" w:cs="Arial"/>
        </w:rPr>
        <w:t xml:space="preserve">Vlastnosti </w:t>
      </w:r>
      <w:r w:rsidRPr="004E007C">
        <w:rPr>
          <w:rFonts w:ascii="Arial" w:eastAsia="Calibri" w:hAnsi="Arial" w:cs="Arial"/>
        </w:rPr>
        <w:t>nabízeného předmětu plnění (nad rámec minimální požadavků zadavatele)</w:t>
      </w:r>
    </w:p>
    <w:p w14:paraId="0A7FEE40" w14:textId="77777777" w:rsidR="00CC4B0D" w:rsidRPr="004E007C" w:rsidRDefault="00CC4B0D" w:rsidP="00CC4B0D">
      <w:pPr>
        <w:numPr>
          <w:ilvl w:val="1"/>
          <w:numId w:val="1"/>
        </w:numPr>
        <w:spacing w:before="120" w:after="120" w:line="259" w:lineRule="auto"/>
        <w:contextualSpacing/>
        <w:jc w:val="both"/>
        <w:rPr>
          <w:rFonts w:ascii="Arial" w:eastAsia="Calibri" w:hAnsi="Arial" w:cs="Arial"/>
        </w:rPr>
      </w:pPr>
      <w:r w:rsidRPr="004E007C">
        <w:rPr>
          <w:rFonts w:ascii="Arial" w:eastAsia="Calibri" w:hAnsi="Arial" w:cs="Arial"/>
        </w:rPr>
        <w:t>vícenásobné použití nabízeného předmětu plnění</w:t>
      </w:r>
    </w:p>
    <w:p w14:paraId="68E3BC27" w14:textId="77777777" w:rsidR="00CC4B0D" w:rsidRPr="004E007C" w:rsidRDefault="00CC4B0D" w:rsidP="00CC4B0D">
      <w:pPr>
        <w:numPr>
          <w:ilvl w:val="1"/>
          <w:numId w:val="1"/>
        </w:numPr>
        <w:spacing w:before="120" w:after="120" w:line="259" w:lineRule="auto"/>
        <w:contextualSpacing/>
        <w:jc w:val="both"/>
        <w:rPr>
          <w:rFonts w:ascii="Arial" w:eastAsia="Calibri" w:hAnsi="Arial" w:cs="Arial"/>
        </w:rPr>
      </w:pPr>
      <w:r w:rsidRPr="004E007C">
        <w:rPr>
          <w:rFonts w:ascii="Arial" w:eastAsia="Calibri" w:hAnsi="Arial" w:cs="Arial"/>
        </w:rPr>
        <w:t>kvalita vyšetření (výsledku)</w:t>
      </w:r>
    </w:p>
    <w:p w14:paraId="03B61923" w14:textId="77777777" w:rsidR="00CC4B0D" w:rsidRPr="004E007C" w:rsidRDefault="00CC4B0D" w:rsidP="00CC4B0D">
      <w:pPr>
        <w:numPr>
          <w:ilvl w:val="1"/>
          <w:numId w:val="1"/>
        </w:numPr>
        <w:spacing w:before="120" w:after="120" w:line="259" w:lineRule="auto"/>
        <w:contextualSpacing/>
        <w:jc w:val="both"/>
        <w:rPr>
          <w:rFonts w:ascii="Arial" w:eastAsia="Calibri" w:hAnsi="Arial" w:cs="Arial"/>
        </w:rPr>
      </w:pPr>
      <w:r w:rsidRPr="004E007C">
        <w:rPr>
          <w:rFonts w:ascii="Arial" w:eastAsia="Calibri" w:hAnsi="Arial" w:cs="Arial"/>
        </w:rPr>
        <w:t>rychlost vyšetření</w:t>
      </w:r>
    </w:p>
    <w:p w14:paraId="1B3FE8CE" w14:textId="50A4C679" w:rsidR="00CC4B0D" w:rsidRPr="00E64FE0" w:rsidRDefault="00CC4B0D" w:rsidP="00CC4B0D">
      <w:pPr>
        <w:numPr>
          <w:ilvl w:val="1"/>
          <w:numId w:val="1"/>
        </w:numPr>
        <w:spacing w:before="120" w:after="120" w:line="259" w:lineRule="auto"/>
        <w:contextualSpacing/>
        <w:jc w:val="both"/>
        <w:rPr>
          <w:rFonts w:ascii="Arial" w:eastAsia="Calibri" w:hAnsi="Arial" w:cs="Arial"/>
        </w:rPr>
      </w:pPr>
      <w:r w:rsidRPr="004E007C">
        <w:rPr>
          <w:rFonts w:ascii="Arial" w:eastAsia="Calibri" w:hAnsi="Arial" w:cs="Arial"/>
        </w:rPr>
        <w:t>stupeň automatizace</w:t>
      </w:r>
    </w:p>
    <w:p w14:paraId="5FA1211A" w14:textId="03229C66" w:rsidR="00441895" w:rsidRPr="00E64FE0" w:rsidRDefault="00441895" w:rsidP="00441895">
      <w:pPr>
        <w:numPr>
          <w:ilvl w:val="0"/>
          <w:numId w:val="1"/>
        </w:numPr>
        <w:spacing w:before="120" w:after="120" w:line="259" w:lineRule="auto"/>
        <w:contextualSpacing/>
        <w:jc w:val="both"/>
        <w:rPr>
          <w:rFonts w:ascii="Arial" w:eastAsia="Calibri" w:hAnsi="Arial" w:cs="Arial"/>
        </w:rPr>
      </w:pPr>
      <w:r w:rsidRPr="00E64FE0">
        <w:rPr>
          <w:rFonts w:ascii="Arial" w:eastAsia="Calibri" w:hAnsi="Arial" w:cs="Arial"/>
        </w:rPr>
        <w:t>Environmentální kritéria – spočívající v zohlednění dopadu výroby</w:t>
      </w:r>
      <w:r w:rsidRPr="004E007C">
        <w:rPr>
          <w:rFonts w:ascii="Arial" w:eastAsia="Calibri" w:hAnsi="Arial" w:cs="Arial"/>
        </w:rPr>
        <w:t xml:space="preserve"> či následné likvidace předmětu plnění</w:t>
      </w:r>
      <w:r w:rsidRPr="00E64FE0">
        <w:rPr>
          <w:rFonts w:ascii="Arial" w:eastAsia="Calibri" w:hAnsi="Arial" w:cs="Arial"/>
        </w:rPr>
        <w:t xml:space="preserve"> na životní prostředí</w:t>
      </w:r>
    </w:p>
    <w:p w14:paraId="68A33DAE" w14:textId="77777777" w:rsidR="00441895" w:rsidRPr="00E64FE0" w:rsidRDefault="00441895" w:rsidP="00E64FE0">
      <w:pPr>
        <w:spacing w:before="120" w:after="120" w:line="259" w:lineRule="auto"/>
        <w:jc w:val="both"/>
        <w:rPr>
          <w:rFonts w:ascii="Arial" w:eastAsia="Calibri" w:hAnsi="Arial" w:cs="Arial"/>
        </w:rPr>
      </w:pPr>
    </w:p>
    <w:p w14:paraId="55F58DB5" w14:textId="77777777" w:rsidR="00E64FE0" w:rsidRPr="00E64FE0" w:rsidRDefault="00E64FE0" w:rsidP="00E64FE0">
      <w:pPr>
        <w:spacing w:before="120" w:after="120" w:line="259" w:lineRule="auto"/>
        <w:jc w:val="both"/>
        <w:rPr>
          <w:rFonts w:ascii="Arial" w:eastAsia="Calibri" w:hAnsi="Arial" w:cs="Arial"/>
        </w:rPr>
      </w:pPr>
      <w:r w:rsidRPr="00E64FE0">
        <w:rPr>
          <w:rFonts w:ascii="Arial" w:eastAsia="Calibri" w:hAnsi="Arial" w:cs="Arial"/>
        </w:rPr>
        <w:t xml:space="preserve">Pro hodnotící kritéria platí, že je nutné dodržet § 6 ZZVZ s tím, že potřebnost jednotlivých hodnotících kritérií musí být schopen zadavatel řádně odůvodnit. V tomto smyslu se jeví jako nejvýhodnější postup hodnotící kritéria zvažovat již v rámci marketingového průzkumu trhu, kdy zadavatel může získat potřebné informace od dodavatelů působících na trhu a tyto informace využít při zdůvodnění oprávněnosti volby jednotlivých hodnotících kritérií.  </w:t>
      </w:r>
    </w:p>
    <w:p w14:paraId="484A3E48" w14:textId="77777777" w:rsidR="00E64FE0" w:rsidRPr="00E64FE0" w:rsidRDefault="00E64FE0" w:rsidP="00E64FE0">
      <w:pPr>
        <w:spacing w:before="120" w:after="120" w:line="259" w:lineRule="auto"/>
        <w:jc w:val="both"/>
        <w:rPr>
          <w:rFonts w:ascii="Arial" w:eastAsia="Calibri" w:hAnsi="Arial" w:cs="Arial"/>
        </w:rPr>
      </w:pPr>
      <w:r w:rsidRPr="00E64FE0">
        <w:rPr>
          <w:rFonts w:ascii="Arial" w:eastAsia="Calibri" w:hAnsi="Arial" w:cs="Arial"/>
        </w:rPr>
        <w:t>ZZVZ v § 120 umožňuje, pokud si to zadavatel v zadávacích podmínkách vymezí, využít k hodnocení nabídek elektronickou aukci. Dodavatelé jsou v takovém případě v rámci elektronické aukce konané v rámci hodnocení nabídek oprávněni svou nabídkovou cenu (uvedenou v nabídce) dále snižovat. Zejména při větším počtu účastníků zadávacího řízení může zadavatel díky využití elektronické aukce dosáhnout výhodnějších nabídkových cen.</w:t>
      </w:r>
    </w:p>
    <w:p w14:paraId="2DB6DA1B" w14:textId="5C5EEF57" w:rsidR="00E64FE0" w:rsidRPr="004E007C" w:rsidRDefault="00E64FE0" w:rsidP="00CC4B0D">
      <w:pPr>
        <w:jc w:val="both"/>
        <w:rPr>
          <w:rFonts w:ascii="Arial" w:hAnsi="Arial" w:cs="Arial"/>
          <w:b/>
          <w:u w:val="single"/>
        </w:rPr>
      </w:pPr>
      <w:r w:rsidRPr="004E007C">
        <w:rPr>
          <w:rFonts w:ascii="Arial" w:hAnsi="Arial" w:cs="Arial"/>
        </w:rPr>
        <w:t xml:space="preserve"> </w:t>
      </w:r>
    </w:p>
    <w:p w14:paraId="0B6A23E3" w14:textId="0CDA9668" w:rsidR="00E64FE0" w:rsidRPr="004E007C" w:rsidRDefault="00E64FE0" w:rsidP="00E64FE0">
      <w:pPr>
        <w:rPr>
          <w:rFonts w:ascii="Arial" w:hAnsi="Arial" w:cs="Arial"/>
          <w:b/>
          <w:u w:val="single"/>
        </w:rPr>
      </w:pPr>
      <w:r w:rsidRPr="004E007C">
        <w:rPr>
          <w:rFonts w:ascii="Arial" w:hAnsi="Arial" w:cs="Arial"/>
          <w:b/>
          <w:u w:val="single"/>
        </w:rPr>
        <w:t>26. Stavení obchodních nebo jiných smluvních podmínek</w:t>
      </w:r>
    </w:p>
    <w:p w14:paraId="3D57C135" w14:textId="77777777" w:rsidR="004E007C" w:rsidRPr="004E007C" w:rsidRDefault="004E007C" w:rsidP="004E007C">
      <w:pPr>
        <w:spacing w:before="120" w:after="120" w:line="259" w:lineRule="auto"/>
        <w:jc w:val="both"/>
        <w:rPr>
          <w:rFonts w:ascii="Arial" w:eastAsia="Calibri" w:hAnsi="Arial" w:cs="Arial"/>
        </w:rPr>
      </w:pPr>
      <w:r w:rsidRPr="004E007C">
        <w:rPr>
          <w:rFonts w:ascii="Arial" w:eastAsia="Calibri" w:hAnsi="Arial" w:cs="Arial"/>
        </w:rPr>
        <w:t>Obchodní podmínky a jiné smluvní podmínky jsou hlavním nástrojem, kterým si zadavatel může zajistit a následně vynutit, aby dodavatel skutečně plnil to, k čemu se ve své nabídce zavázal. Lze doporučit, aby zadavatel jako součást zadávací dokumentace zpracoval závazný návrh smlouvy. Návrh smlouvy by měl obsahovat minimálně tyto podmínky:</w:t>
      </w:r>
    </w:p>
    <w:p w14:paraId="6A9BF0C8" w14:textId="77777777" w:rsidR="004E007C" w:rsidRPr="004E007C" w:rsidRDefault="004E007C" w:rsidP="004E007C">
      <w:pPr>
        <w:numPr>
          <w:ilvl w:val="0"/>
          <w:numId w:val="2"/>
        </w:numPr>
        <w:spacing w:before="120" w:after="120" w:line="240" w:lineRule="auto"/>
        <w:jc w:val="both"/>
        <w:rPr>
          <w:rFonts w:ascii="Arial" w:eastAsia="Times New Roman" w:hAnsi="Arial" w:cs="Arial"/>
        </w:rPr>
      </w:pPr>
      <w:r w:rsidRPr="004E007C">
        <w:rPr>
          <w:rFonts w:ascii="Arial" w:eastAsia="Times New Roman" w:hAnsi="Arial" w:cs="Arial"/>
          <w:b/>
        </w:rPr>
        <w:t>Jednoznačná definice předmětu plnění</w:t>
      </w:r>
    </w:p>
    <w:p w14:paraId="7B712363" w14:textId="77777777" w:rsidR="004E007C" w:rsidRPr="004E007C" w:rsidRDefault="004E007C" w:rsidP="004E007C">
      <w:pPr>
        <w:spacing w:before="120" w:after="120" w:line="240" w:lineRule="auto"/>
        <w:ind w:left="720"/>
        <w:jc w:val="both"/>
        <w:rPr>
          <w:rFonts w:ascii="Arial" w:eastAsia="Times New Roman" w:hAnsi="Arial" w:cs="Arial"/>
        </w:rPr>
      </w:pPr>
      <w:r w:rsidRPr="004E007C">
        <w:rPr>
          <w:rFonts w:ascii="Arial" w:eastAsia="Times New Roman" w:hAnsi="Arial" w:cs="Arial"/>
        </w:rPr>
        <w:t>Zadavatel musí předmět plnění vymezit tak, aby naplnil své potřeby.</w:t>
      </w:r>
    </w:p>
    <w:p w14:paraId="3E677B09" w14:textId="77777777" w:rsidR="004E007C" w:rsidRPr="004E007C" w:rsidRDefault="004E007C" w:rsidP="004E007C">
      <w:pPr>
        <w:numPr>
          <w:ilvl w:val="0"/>
          <w:numId w:val="2"/>
        </w:numPr>
        <w:spacing w:before="120" w:after="120" w:line="240" w:lineRule="auto"/>
        <w:jc w:val="both"/>
        <w:rPr>
          <w:rFonts w:ascii="Arial" w:eastAsia="Times New Roman" w:hAnsi="Arial" w:cs="Arial"/>
          <w:b/>
        </w:rPr>
      </w:pPr>
      <w:r w:rsidRPr="004E007C">
        <w:rPr>
          <w:rFonts w:ascii="Arial" w:eastAsia="Times New Roman" w:hAnsi="Arial" w:cs="Arial"/>
          <w:b/>
        </w:rPr>
        <w:t>Dodací lhůta</w:t>
      </w:r>
    </w:p>
    <w:p w14:paraId="22E7DBAB" w14:textId="360D7B8A" w:rsidR="004E007C" w:rsidRPr="004E007C" w:rsidRDefault="004E007C" w:rsidP="004E007C">
      <w:pPr>
        <w:spacing w:before="120" w:after="120" w:line="240" w:lineRule="auto"/>
        <w:ind w:left="720"/>
        <w:jc w:val="both"/>
        <w:rPr>
          <w:rFonts w:ascii="Arial" w:eastAsia="Times New Roman" w:hAnsi="Arial" w:cs="Arial"/>
          <w:b/>
        </w:rPr>
      </w:pPr>
      <w:r w:rsidRPr="004E007C">
        <w:rPr>
          <w:rFonts w:ascii="Arial" w:eastAsia="Times New Roman" w:hAnsi="Arial" w:cs="Arial"/>
        </w:rPr>
        <w:t xml:space="preserve">Zadavatel by měl při stanovení dodací lhůty pro plnění postupovat individuálně v závislosti na předmětu plnění. Konkrétní termín může být ovlivněn </w:t>
      </w:r>
      <w:r>
        <w:rPr>
          <w:rFonts w:ascii="Arial" w:eastAsia="Times New Roman" w:hAnsi="Arial" w:cs="Arial"/>
        </w:rPr>
        <w:t>nezbytností vyrábět předmět plnění na míru zadavateli, nezbytností zajištění stavební připravenosti nezbytné k realizaci předmětu plnění</w:t>
      </w:r>
      <w:r w:rsidRPr="004E007C">
        <w:rPr>
          <w:rFonts w:ascii="Arial" w:eastAsia="Times New Roman" w:hAnsi="Arial" w:cs="Arial"/>
        </w:rPr>
        <w:t>, možnostmi na trhu, realizačními možnostmi dodavatelů</w:t>
      </w:r>
      <w:r>
        <w:rPr>
          <w:rFonts w:ascii="Arial" w:eastAsia="Times New Roman" w:hAnsi="Arial" w:cs="Arial"/>
        </w:rPr>
        <w:t>, provozními možnosti zadavatele</w:t>
      </w:r>
      <w:r w:rsidRPr="004E007C">
        <w:rPr>
          <w:rFonts w:ascii="Arial" w:eastAsia="Times New Roman" w:hAnsi="Arial" w:cs="Arial"/>
        </w:rPr>
        <w:t xml:space="preserve"> apod.</w:t>
      </w:r>
    </w:p>
    <w:p w14:paraId="33E2E8F8" w14:textId="77777777" w:rsidR="004E007C" w:rsidRPr="004E007C" w:rsidRDefault="004E007C" w:rsidP="004E007C">
      <w:pPr>
        <w:numPr>
          <w:ilvl w:val="0"/>
          <w:numId w:val="2"/>
        </w:numPr>
        <w:spacing w:before="120" w:after="120" w:line="240" w:lineRule="auto"/>
        <w:jc w:val="both"/>
        <w:rPr>
          <w:rFonts w:ascii="Arial" w:eastAsia="Times New Roman" w:hAnsi="Arial" w:cs="Arial"/>
          <w:b/>
        </w:rPr>
      </w:pPr>
      <w:r w:rsidRPr="004E007C">
        <w:rPr>
          <w:rFonts w:ascii="Arial" w:eastAsia="Times New Roman" w:hAnsi="Arial" w:cs="Arial"/>
          <w:b/>
        </w:rPr>
        <w:t>Platební podmínky</w:t>
      </w:r>
      <w:r w:rsidRPr="004E007C">
        <w:rPr>
          <w:rFonts w:ascii="Arial" w:eastAsia="Times New Roman" w:hAnsi="Arial" w:cs="Arial"/>
          <w:b/>
          <w:color w:val="000000"/>
        </w:rPr>
        <w:t xml:space="preserve"> (splatnost ceny, povinné náležitosti faktury)</w:t>
      </w:r>
    </w:p>
    <w:p w14:paraId="23102E43" w14:textId="77777777" w:rsidR="004E007C" w:rsidRPr="004E007C" w:rsidRDefault="004E007C" w:rsidP="004E007C">
      <w:pPr>
        <w:spacing w:before="120" w:after="120" w:line="240" w:lineRule="auto"/>
        <w:ind w:left="720"/>
        <w:jc w:val="both"/>
        <w:rPr>
          <w:rFonts w:ascii="Arial" w:eastAsia="Times New Roman" w:hAnsi="Arial" w:cs="Arial"/>
          <w:b/>
        </w:rPr>
      </w:pPr>
      <w:r w:rsidRPr="004E007C">
        <w:rPr>
          <w:rFonts w:ascii="Arial" w:eastAsia="Times New Roman" w:hAnsi="Arial" w:cs="Arial"/>
        </w:rPr>
        <w:t xml:space="preserve">Zadavatel by v obligatorním návrhu smlouvy měl mít definovány požadované náležitosti faktury, resp. daňového dokladu. Pro lepší přehlednost je doporučováno, aby jednotlivé faktury obsahovaly evidenční číslo veřejné zakázky proto, aby faktura mohla být spárována s veřejnou zakázkou na základě které je smluvní vztah </w:t>
      </w:r>
      <w:r w:rsidRPr="004E007C">
        <w:rPr>
          <w:rFonts w:ascii="Arial" w:eastAsia="Times New Roman" w:hAnsi="Arial" w:cs="Arial"/>
        </w:rPr>
        <w:lastRenderedPageBreak/>
        <w:t xml:space="preserve">realizován. Při stanovení délky splatnosti je zadavatel vázán § 1963 a násl. zákona č. 89/2012 Sb., občanský zákoník. </w:t>
      </w:r>
    </w:p>
    <w:p w14:paraId="3ECB94B6" w14:textId="77777777" w:rsidR="004E007C" w:rsidRPr="004E007C" w:rsidRDefault="004E007C" w:rsidP="004E007C">
      <w:pPr>
        <w:numPr>
          <w:ilvl w:val="0"/>
          <w:numId w:val="2"/>
        </w:numPr>
        <w:spacing w:before="120" w:after="120" w:line="240" w:lineRule="auto"/>
        <w:jc w:val="both"/>
        <w:rPr>
          <w:rFonts w:ascii="Arial" w:eastAsia="Times New Roman" w:hAnsi="Arial" w:cs="Arial"/>
          <w:b/>
        </w:rPr>
      </w:pPr>
      <w:r w:rsidRPr="004E007C">
        <w:rPr>
          <w:rFonts w:ascii="Arial" w:eastAsia="Times New Roman" w:hAnsi="Arial" w:cs="Arial"/>
          <w:b/>
        </w:rPr>
        <w:t>Definice sankcí</w:t>
      </w:r>
      <w:r w:rsidRPr="004E007C">
        <w:rPr>
          <w:rFonts w:ascii="Arial" w:eastAsia="Times New Roman" w:hAnsi="Arial" w:cs="Arial"/>
          <w:b/>
          <w:color w:val="000000"/>
        </w:rPr>
        <w:t xml:space="preserve"> </w:t>
      </w:r>
    </w:p>
    <w:p w14:paraId="2314D1D3" w14:textId="2D98429D" w:rsidR="004E007C" w:rsidRPr="004E007C" w:rsidRDefault="004E007C" w:rsidP="004E007C">
      <w:pPr>
        <w:spacing w:before="120" w:after="120" w:line="240" w:lineRule="auto"/>
        <w:ind w:left="720"/>
        <w:jc w:val="both"/>
        <w:rPr>
          <w:rFonts w:ascii="Arial" w:eastAsia="Times New Roman" w:hAnsi="Arial" w:cs="Arial"/>
          <w:b/>
        </w:rPr>
      </w:pPr>
      <w:r w:rsidRPr="004E007C">
        <w:rPr>
          <w:rFonts w:ascii="Arial" w:eastAsia="Calibri" w:hAnsi="Arial" w:cs="Arial"/>
        </w:rPr>
        <w:t xml:space="preserve">Zadavatel by nastavení smluvních sankčních mechanismů měl podrobit průzkumu trhu již před vyhlášením zadávacího řízení, dále by zadavatel měl výši sankce přizpůsobit předmětu plnění tak, aby požadovaná výše smluvní sankce byla přiměřená. Nadto je nutné akcentovat skutečnost, že nastavené smluvní pokuty je následně nutné vymáhat. Nevymáhání smluvních pokut znamená změnu ekonomické výhodnosti ve prospěch vybraného dodavatele, tudíž nepřípustnou podstatnou změnu </w:t>
      </w:r>
      <w:r w:rsidR="006E57B3">
        <w:rPr>
          <w:rFonts w:ascii="Arial" w:eastAsia="Calibri" w:hAnsi="Arial" w:cs="Arial"/>
        </w:rPr>
        <w:t xml:space="preserve">závazku ze </w:t>
      </w:r>
      <w:r w:rsidRPr="004E007C">
        <w:rPr>
          <w:rFonts w:ascii="Arial" w:eastAsia="Calibri" w:hAnsi="Arial" w:cs="Arial"/>
        </w:rPr>
        <w:t xml:space="preserve">smlouvy ve smyslu § 222 ZZVZ. Výše uvedené však neznamená, že vhodné sankční mechanismy, včetně smluvní pokuty, nemají být součástí smluvní dokumentace. Mimo jiné lze uvažovat o </w:t>
      </w:r>
      <w:r w:rsidRPr="004E007C">
        <w:rPr>
          <w:rFonts w:ascii="Arial" w:eastAsia="Times New Roman" w:hAnsi="Arial" w:cs="Arial"/>
          <w:color w:val="000000"/>
        </w:rPr>
        <w:t>sankci za pozdní dodání</w:t>
      </w:r>
      <w:r w:rsidR="006E57B3">
        <w:rPr>
          <w:rFonts w:ascii="Arial" w:eastAsia="Times New Roman" w:hAnsi="Arial" w:cs="Arial"/>
          <w:color w:val="000000"/>
        </w:rPr>
        <w:t>/poskytnutí související služby</w:t>
      </w:r>
      <w:r w:rsidRPr="004E007C">
        <w:rPr>
          <w:rFonts w:ascii="Arial" w:eastAsia="Times New Roman" w:hAnsi="Arial" w:cs="Arial"/>
          <w:color w:val="000000"/>
        </w:rPr>
        <w:t xml:space="preserve">, sankci za dodání předmětu plnění v neodpovídající kvalitě, sankci za nedodání nutných dokladů apod. </w:t>
      </w:r>
    </w:p>
    <w:p w14:paraId="70C25EF8" w14:textId="77777777" w:rsidR="004E007C" w:rsidRPr="004E007C" w:rsidRDefault="004E007C" w:rsidP="004E007C">
      <w:pPr>
        <w:numPr>
          <w:ilvl w:val="0"/>
          <w:numId w:val="2"/>
        </w:numPr>
        <w:spacing w:before="120" w:after="120" w:line="240" w:lineRule="auto"/>
        <w:jc w:val="both"/>
        <w:rPr>
          <w:rFonts w:ascii="Arial" w:eastAsia="Times New Roman" w:hAnsi="Arial" w:cs="Arial"/>
          <w:b/>
        </w:rPr>
      </w:pPr>
      <w:r w:rsidRPr="004E007C">
        <w:rPr>
          <w:rFonts w:ascii="Arial" w:eastAsia="Times New Roman" w:hAnsi="Arial" w:cs="Arial"/>
          <w:b/>
        </w:rPr>
        <w:t>Vymezení doby trvání smlouvy</w:t>
      </w:r>
      <w:r w:rsidRPr="004E007C">
        <w:rPr>
          <w:rFonts w:ascii="Arial" w:eastAsia="Times New Roman" w:hAnsi="Arial" w:cs="Arial"/>
          <w:b/>
          <w:color w:val="000000"/>
        </w:rPr>
        <w:t xml:space="preserve"> </w:t>
      </w:r>
    </w:p>
    <w:p w14:paraId="6BC24FB2" w14:textId="72287F9F" w:rsidR="004E007C" w:rsidRPr="004E007C" w:rsidRDefault="004E007C" w:rsidP="004E007C">
      <w:pPr>
        <w:spacing w:before="120" w:after="120" w:line="240" w:lineRule="auto"/>
        <w:ind w:left="720"/>
        <w:jc w:val="both"/>
        <w:rPr>
          <w:rFonts w:ascii="Arial" w:eastAsia="Times New Roman" w:hAnsi="Arial" w:cs="Arial"/>
          <w:b/>
        </w:rPr>
      </w:pPr>
      <w:r w:rsidRPr="004E007C">
        <w:rPr>
          <w:rFonts w:ascii="Arial" w:eastAsia="Calibri" w:hAnsi="Arial" w:cs="Arial"/>
        </w:rPr>
        <w:t>Délka trvání smluvního vztahu by měla zohledňovat specifika předmětu plnění, provozní možnosti zadavatele, situaci na trhu a možnosti dodavatelů. Přiměřená délka smluvního vztahu by tak měla být alespoň 1 rok. Trvání vztahu z rámcové dohody nesmí být dle ZZVZ</w:t>
      </w:r>
      <w:r w:rsidR="00F96E04">
        <w:rPr>
          <w:rFonts w:ascii="Arial" w:eastAsia="Calibri" w:hAnsi="Arial" w:cs="Arial"/>
        </w:rPr>
        <w:t>,</w:t>
      </w:r>
      <w:r w:rsidRPr="004E007C">
        <w:rPr>
          <w:rFonts w:ascii="Arial" w:eastAsia="Calibri" w:hAnsi="Arial" w:cs="Arial"/>
        </w:rPr>
        <w:t xml:space="preserve"> kromě výjimečných případů vztahujících se k předmětu rámcové dohody</w:t>
      </w:r>
      <w:r w:rsidR="00F96E04">
        <w:rPr>
          <w:rFonts w:ascii="Arial" w:eastAsia="Calibri" w:hAnsi="Arial" w:cs="Arial"/>
        </w:rPr>
        <w:t>,</w:t>
      </w:r>
      <w:r w:rsidRPr="004E007C">
        <w:rPr>
          <w:rFonts w:ascii="Arial" w:eastAsia="Calibri" w:hAnsi="Arial" w:cs="Arial"/>
        </w:rPr>
        <w:t xml:space="preserve"> delší než 4 roky. Trvání vztahu z rámcové dohody delší než 4 roky může být odůvodněno objektivními příčinami, které se vztahují k předmětu rámcové dohody.</w:t>
      </w:r>
    </w:p>
    <w:p w14:paraId="18784665" w14:textId="77777777" w:rsidR="004E007C" w:rsidRPr="004E007C" w:rsidRDefault="004E007C" w:rsidP="004E007C">
      <w:pPr>
        <w:numPr>
          <w:ilvl w:val="0"/>
          <w:numId w:val="2"/>
        </w:numPr>
        <w:spacing w:before="120" w:after="120" w:line="240" w:lineRule="auto"/>
        <w:jc w:val="both"/>
        <w:rPr>
          <w:rFonts w:ascii="Arial" w:eastAsia="Times New Roman" w:hAnsi="Arial" w:cs="Arial"/>
          <w:b/>
        </w:rPr>
      </w:pPr>
      <w:r w:rsidRPr="004E007C">
        <w:rPr>
          <w:rFonts w:ascii="Arial" w:eastAsia="Times New Roman" w:hAnsi="Arial" w:cs="Arial"/>
          <w:b/>
        </w:rPr>
        <w:t>Vyhrazená změna závazku</w:t>
      </w:r>
    </w:p>
    <w:p w14:paraId="5931455D" w14:textId="77777777" w:rsidR="004E007C" w:rsidRPr="004E007C" w:rsidRDefault="004E007C" w:rsidP="004E007C">
      <w:pPr>
        <w:spacing w:before="120" w:after="120" w:line="240" w:lineRule="auto"/>
        <w:ind w:left="720"/>
        <w:jc w:val="both"/>
        <w:rPr>
          <w:rFonts w:ascii="Arial" w:eastAsia="Times New Roman" w:hAnsi="Arial" w:cs="Arial"/>
          <w:b/>
        </w:rPr>
      </w:pPr>
      <w:r w:rsidRPr="004E007C">
        <w:rPr>
          <w:rFonts w:ascii="Arial" w:eastAsia="Times New Roman" w:hAnsi="Arial" w:cs="Arial"/>
          <w:color w:val="000000"/>
          <w:lang w:eastAsia="cs-CZ"/>
        </w:rPr>
        <w:t xml:space="preserve">ZZVZ ve svém § 100 umožňuje v zadávacích podmínkách, typicky přímo ve vzorovém návrhu smlouvy, vyhradit změnu závazku ze smlouvy na veřejnou zakázku neměnící celkovou povahu veřejné zakázky. Taková změna se může týkat rozsahu dodávek, délky trvání smlouvy, ale také ceny nebo jiných obchodních či technických podmínek, vždy však s přihlédnutím k předpokládané hodnotě veřejné zakázky. Zadavatel je v takovém případě povinen podmínky pro tuto změnu a její obsah jednoznačně vymezit. Typickým příkladem vyžití vyhrazené změny závazku je inflační doložka. V případě, že se ji zadavatel rozhodne využít, musí dbát na to, aby byla vymezena jednoznačně, zejména za jakých podmínek ji lze využít, jakým způsobem se vypočítá zvýšení / snížení smluvní ceny a od jakého okamžiku ke změně dojde. </w:t>
      </w:r>
    </w:p>
    <w:p w14:paraId="523EF539" w14:textId="77777777" w:rsidR="004E007C" w:rsidRPr="004E007C" w:rsidRDefault="004E007C" w:rsidP="004E007C">
      <w:pPr>
        <w:numPr>
          <w:ilvl w:val="0"/>
          <w:numId w:val="2"/>
        </w:numPr>
        <w:spacing w:before="120" w:after="120" w:line="240" w:lineRule="auto"/>
        <w:jc w:val="both"/>
        <w:rPr>
          <w:rFonts w:ascii="Arial" w:eastAsia="Times New Roman" w:hAnsi="Arial" w:cs="Arial"/>
          <w:b/>
        </w:rPr>
      </w:pPr>
      <w:r w:rsidRPr="004E007C">
        <w:rPr>
          <w:rFonts w:ascii="Arial" w:eastAsia="Times New Roman" w:hAnsi="Arial" w:cs="Arial"/>
          <w:b/>
        </w:rPr>
        <w:t>Odpovědnost za vady</w:t>
      </w:r>
    </w:p>
    <w:p w14:paraId="54526FE3" w14:textId="710980BA" w:rsidR="004E007C" w:rsidRPr="004E007C" w:rsidRDefault="004E007C" w:rsidP="004E007C">
      <w:pPr>
        <w:spacing w:before="120" w:after="120" w:line="240" w:lineRule="auto"/>
        <w:ind w:left="720"/>
        <w:jc w:val="both"/>
        <w:rPr>
          <w:rFonts w:ascii="Arial" w:eastAsia="Times New Roman" w:hAnsi="Arial" w:cs="Arial"/>
          <w:b/>
        </w:rPr>
      </w:pPr>
      <w:r w:rsidRPr="004E007C">
        <w:rPr>
          <w:rFonts w:ascii="Arial" w:eastAsia="Times New Roman" w:hAnsi="Arial" w:cs="Arial"/>
        </w:rPr>
        <w:t xml:space="preserve">Zadavatel při stanovení konkrétního termínu pro vyřízení reklamace ze strany dodavatele musí postupovat v závislosti na důležitosti </w:t>
      </w:r>
      <w:r w:rsidR="00ED5404">
        <w:rPr>
          <w:rFonts w:ascii="Arial" w:eastAsia="Times New Roman" w:hAnsi="Arial" w:cs="Arial"/>
        </w:rPr>
        <w:t>předmětu plnění</w:t>
      </w:r>
      <w:r w:rsidRPr="004E007C">
        <w:rPr>
          <w:rFonts w:ascii="Arial" w:eastAsia="Times New Roman" w:hAnsi="Arial" w:cs="Arial"/>
        </w:rPr>
        <w:t xml:space="preserve"> a v závislosti na objektivních možnostech dodavatelů.</w:t>
      </w:r>
    </w:p>
    <w:p w14:paraId="799B2BAE" w14:textId="77777777" w:rsidR="004E007C" w:rsidRPr="004E007C" w:rsidRDefault="004E007C" w:rsidP="004E007C">
      <w:pPr>
        <w:numPr>
          <w:ilvl w:val="0"/>
          <w:numId w:val="2"/>
        </w:numPr>
        <w:spacing w:before="120" w:after="120" w:line="240" w:lineRule="auto"/>
        <w:jc w:val="both"/>
        <w:rPr>
          <w:rFonts w:ascii="Arial" w:eastAsia="Times New Roman" w:hAnsi="Arial" w:cs="Arial"/>
          <w:b/>
        </w:rPr>
      </w:pPr>
      <w:r w:rsidRPr="004E007C">
        <w:rPr>
          <w:rFonts w:ascii="Arial" w:eastAsia="Times New Roman" w:hAnsi="Arial" w:cs="Arial"/>
          <w:b/>
        </w:rPr>
        <w:t xml:space="preserve">Ukončení smlouvy </w:t>
      </w:r>
    </w:p>
    <w:p w14:paraId="50E7B8B5" w14:textId="0E88E692" w:rsidR="004E007C" w:rsidRPr="004E007C" w:rsidRDefault="004E007C" w:rsidP="004E007C">
      <w:pPr>
        <w:spacing w:before="120" w:after="120" w:line="240" w:lineRule="auto"/>
        <w:ind w:left="720"/>
        <w:jc w:val="both"/>
        <w:rPr>
          <w:rFonts w:ascii="Arial" w:eastAsia="Times New Roman" w:hAnsi="Arial" w:cs="Arial"/>
          <w:b/>
        </w:rPr>
      </w:pPr>
      <w:r w:rsidRPr="004E007C">
        <w:rPr>
          <w:rFonts w:ascii="Arial" w:eastAsia="Calibri" w:hAnsi="Arial" w:cs="Arial"/>
        </w:rPr>
        <w:t xml:space="preserve">Do návrhů smluv by měl zadavatel nastavit mechanismus, na základě kterého lze smlouvu oboustranně vypovědět, neexistuje-li objektivní důvod, proč tak nečinit. Zadavatel by měl délku výpovědní doby </w:t>
      </w:r>
      <w:r w:rsidR="008D78C4">
        <w:rPr>
          <w:rFonts w:ascii="Arial" w:eastAsia="Calibri" w:hAnsi="Arial" w:cs="Arial"/>
        </w:rPr>
        <w:t>stanovit s ohledem na délku případného</w:t>
      </w:r>
      <w:r w:rsidRPr="004E007C">
        <w:rPr>
          <w:rFonts w:ascii="Arial" w:eastAsia="Calibri" w:hAnsi="Arial" w:cs="Arial"/>
        </w:rPr>
        <w:t xml:space="preserve"> navazujícího zadávacího řízení</w:t>
      </w:r>
      <w:r w:rsidR="008D78C4">
        <w:rPr>
          <w:rFonts w:ascii="Arial" w:eastAsia="Calibri" w:hAnsi="Arial" w:cs="Arial"/>
        </w:rPr>
        <w:t>. Zadavatel je rovněž oprávněn v rámci smluvních podmínek definovat délku, po kterou je daná smlouva nevypověditelná (tj.</w:t>
      </w:r>
      <w:r w:rsidRPr="004E007C">
        <w:rPr>
          <w:rFonts w:ascii="Arial" w:eastAsia="Calibri" w:hAnsi="Arial" w:cs="Arial"/>
        </w:rPr>
        <w:t xml:space="preserve"> minimální délku trvání smluvního vztahu</w:t>
      </w:r>
      <w:r w:rsidR="008D78C4">
        <w:rPr>
          <w:rFonts w:ascii="Arial" w:eastAsia="Calibri" w:hAnsi="Arial" w:cs="Arial"/>
        </w:rPr>
        <w:t>)</w:t>
      </w:r>
      <w:r w:rsidRPr="004E007C">
        <w:rPr>
          <w:rFonts w:ascii="Arial" w:eastAsia="Calibri" w:hAnsi="Arial" w:cs="Arial"/>
        </w:rPr>
        <w:t>. Zadavatel je dále oprávněn nad rámec důvodů stanovených zákonem uvést do návrhu smlouvy okolnosti, za kterých jsou smluvní strany oprávněny od smlouvy odstoupit.</w:t>
      </w:r>
    </w:p>
    <w:p w14:paraId="6090A0D6" w14:textId="77777777" w:rsidR="00E64FE0" w:rsidRPr="004E007C" w:rsidRDefault="00E64FE0" w:rsidP="00E64FE0">
      <w:pPr>
        <w:rPr>
          <w:rFonts w:ascii="Arial" w:hAnsi="Arial" w:cs="Arial"/>
          <w:b/>
          <w:u w:val="single"/>
        </w:rPr>
      </w:pPr>
    </w:p>
    <w:p w14:paraId="7865FDCF" w14:textId="4D719DCE" w:rsidR="00E64FE0" w:rsidRPr="004E007C" w:rsidRDefault="00E64FE0" w:rsidP="00E64FE0">
      <w:pPr>
        <w:rPr>
          <w:rFonts w:ascii="Arial" w:hAnsi="Arial" w:cs="Arial"/>
          <w:b/>
          <w:u w:val="single"/>
        </w:rPr>
      </w:pPr>
      <w:r w:rsidRPr="004E007C">
        <w:rPr>
          <w:rFonts w:ascii="Arial" w:hAnsi="Arial" w:cs="Arial"/>
          <w:b/>
          <w:u w:val="single"/>
        </w:rPr>
        <w:t xml:space="preserve">28. </w:t>
      </w:r>
      <w:r w:rsidR="00A335E6">
        <w:rPr>
          <w:rFonts w:ascii="Arial" w:hAnsi="Arial" w:cs="Arial"/>
          <w:b/>
          <w:u w:val="single"/>
        </w:rPr>
        <w:t>Smlouva o zřízení a provozování konsignačního skladu</w:t>
      </w:r>
    </w:p>
    <w:p w14:paraId="54A7446E" w14:textId="0C38581B" w:rsidR="00C7308C" w:rsidRDefault="00A335E6" w:rsidP="00C7308C">
      <w:pPr>
        <w:jc w:val="both"/>
        <w:rPr>
          <w:rFonts w:ascii="Arial" w:hAnsi="Arial" w:cs="Arial"/>
        </w:rPr>
      </w:pPr>
      <w:r>
        <w:rPr>
          <w:rFonts w:ascii="Arial" w:hAnsi="Arial" w:cs="Arial"/>
        </w:rPr>
        <w:lastRenderedPageBreak/>
        <w:t>Pro oblast veřejných zakázek na pořízení zdravotnických prostředků bývá ve vybraných případech využíváno sml</w:t>
      </w:r>
      <w:r w:rsidR="0008713E">
        <w:rPr>
          <w:rFonts w:ascii="Arial" w:hAnsi="Arial" w:cs="Arial"/>
        </w:rPr>
        <w:t>ouvy</w:t>
      </w:r>
      <w:r>
        <w:rPr>
          <w:rFonts w:ascii="Arial" w:hAnsi="Arial" w:cs="Arial"/>
        </w:rPr>
        <w:t xml:space="preserve"> o zřízení a provozování konsignačního skladu. Jedná se o tzv.  </w:t>
      </w:r>
      <w:r w:rsidRPr="00A335E6">
        <w:rPr>
          <w:rFonts w:ascii="Arial" w:hAnsi="Arial" w:cs="Arial"/>
        </w:rPr>
        <w:t>inominátní sml</w:t>
      </w:r>
      <w:r>
        <w:rPr>
          <w:rFonts w:ascii="Arial" w:hAnsi="Arial" w:cs="Arial"/>
        </w:rPr>
        <w:t>o</w:t>
      </w:r>
      <w:r w:rsidRPr="00A335E6">
        <w:rPr>
          <w:rFonts w:ascii="Arial" w:hAnsi="Arial" w:cs="Arial"/>
        </w:rPr>
        <w:t>uv</w:t>
      </w:r>
      <w:r>
        <w:rPr>
          <w:rFonts w:ascii="Arial" w:hAnsi="Arial" w:cs="Arial"/>
        </w:rPr>
        <w:t>u uzavíranou v souladu s § 1746 odst. 2 zákona č. 89/2012, Sb., občanský zákoník, jejímž cílem je, jak z jejího pojmenování vyplývá, upravit práva a povinnost smluvních stran pro zřízení a provozování konsignačního skladu. Hlavním důvodem uzavírání takovýchto smluv je urychlení dodávek předmětu plnění</w:t>
      </w:r>
      <w:r w:rsidR="0008713E">
        <w:rPr>
          <w:rFonts w:ascii="Arial" w:hAnsi="Arial" w:cs="Arial"/>
        </w:rPr>
        <w:t xml:space="preserve"> a</w:t>
      </w:r>
      <w:r>
        <w:rPr>
          <w:rFonts w:ascii="Arial" w:hAnsi="Arial" w:cs="Arial"/>
        </w:rPr>
        <w:t xml:space="preserve"> zajištění okamžité dostupnosti a použiteln</w:t>
      </w:r>
      <w:r w:rsidR="0008713E">
        <w:rPr>
          <w:rFonts w:ascii="Arial" w:hAnsi="Arial" w:cs="Arial"/>
        </w:rPr>
        <w:t>osti zdravotnických prostředků dle aktuálních potřeb zadavatele při poskytování zdravotních služeb. Nad rámec obecných smluvních podmínek, které by měl zadavatel definovat v případě obligatorních návrhů smluv (viz kapitola XY Stanovení obchodních a jiných smluvních podmínek) by bylo vhodné, aby zadavatel v případě smlouvy o zřízení a provozování konsignačního skladu do závazném návrhu této smlouvy upravil</w:t>
      </w:r>
      <w:r w:rsidR="00263A16">
        <w:rPr>
          <w:rFonts w:ascii="Arial" w:hAnsi="Arial" w:cs="Arial"/>
        </w:rPr>
        <w:t xml:space="preserve"> alespoň</w:t>
      </w:r>
      <w:r w:rsidR="0008713E">
        <w:rPr>
          <w:rFonts w:ascii="Arial" w:hAnsi="Arial" w:cs="Arial"/>
        </w:rPr>
        <w:t>:</w:t>
      </w:r>
    </w:p>
    <w:p w14:paraId="03F9BE8C" w14:textId="7F54F170" w:rsidR="0008713E" w:rsidRPr="004E007C" w:rsidRDefault="00263A16" w:rsidP="0008713E">
      <w:pPr>
        <w:numPr>
          <w:ilvl w:val="0"/>
          <w:numId w:val="2"/>
        </w:numPr>
        <w:spacing w:before="120" w:after="120" w:line="240" w:lineRule="auto"/>
        <w:jc w:val="both"/>
        <w:rPr>
          <w:rFonts w:ascii="Arial" w:eastAsia="Times New Roman" w:hAnsi="Arial" w:cs="Arial"/>
          <w:b/>
        </w:rPr>
      </w:pPr>
      <w:r>
        <w:rPr>
          <w:rFonts w:ascii="Arial" w:eastAsia="Times New Roman" w:hAnsi="Arial" w:cs="Arial"/>
          <w:b/>
        </w:rPr>
        <w:t>Odpovědnost za p</w:t>
      </w:r>
      <w:r w:rsidR="0008713E">
        <w:rPr>
          <w:rFonts w:ascii="Arial" w:eastAsia="Times New Roman" w:hAnsi="Arial" w:cs="Arial"/>
          <w:b/>
        </w:rPr>
        <w:t>rovozování konsignačního skladu</w:t>
      </w:r>
    </w:p>
    <w:p w14:paraId="1F0FA4AD" w14:textId="72692446" w:rsidR="0008713E" w:rsidRPr="004E007C" w:rsidRDefault="0008713E" w:rsidP="0008713E">
      <w:pPr>
        <w:spacing w:before="120" w:after="120" w:line="240" w:lineRule="auto"/>
        <w:ind w:left="720"/>
        <w:jc w:val="both"/>
        <w:rPr>
          <w:rFonts w:ascii="Arial" w:eastAsia="Times New Roman" w:hAnsi="Arial" w:cs="Arial"/>
          <w:b/>
        </w:rPr>
      </w:pPr>
      <w:r w:rsidRPr="004E007C">
        <w:rPr>
          <w:rFonts w:ascii="Arial" w:eastAsia="Times New Roman" w:hAnsi="Arial" w:cs="Arial"/>
        </w:rPr>
        <w:t xml:space="preserve">Zadavatel by měl </w:t>
      </w:r>
      <w:r>
        <w:rPr>
          <w:rFonts w:ascii="Arial" w:eastAsia="Times New Roman" w:hAnsi="Arial" w:cs="Arial"/>
        </w:rPr>
        <w:t>stanovit, zda bude konsignační sklad provozovat sám nebo tuto povinnost přenese na dodavatele</w:t>
      </w:r>
      <w:r w:rsidRPr="004E007C">
        <w:rPr>
          <w:rFonts w:ascii="Arial" w:eastAsia="Times New Roman" w:hAnsi="Arial" w:cs="Arial"/>
        </w:rPr>
        <w:t>.</w:t>
      </w:r>
      <w:r>
        <w:rPr>
          <w:rFonts w:ascii="Arial" w:eastAsia="Times New Roman" w:hAnsi="Arial" w:cs="Arial"/>
        </w:rPr>
        <w:t xml:space="preserve"> Druhý uvedený případ bývá v praxi běžnější a v takovém případě lze zadavateli doporučit, aby návrh smlouvy obsahoval náležitosti týkající se úplaty za zajištění této činnosti (výše úplaty/bezúplatné provozování konsignačního skladu)</w:t>
      </w:r>
      <w:r w:rsidR="00263A16">
        <w:rPr>
          <w:rFonts w:ascii="Arial" w:eastAsia="Times New Roman" w:hAnsi="Arial" w:cs="Arial"/>
        </w:rPr>
        <w:t xml:space="preserve"> a požadavek na kontaktní osobu spravující konsignační sklad.</w:t>
      </w:r>
    </w:p>
    <w:p w14:paraId="362D53F2" w14:textId="35901FC3" w:rsidR="0008713E" w:rsidRPr="004E007C" w:rsidRDefault="00263A16" w:rsidP="0008713E">
      <w:pPr>
        <w:numPr>
          <w:ilvl w:val="0"/>
          <w:numId w:val="2"/>
        </w:numPr>
        <w:spacing w:before="120" w:after="120" w:line="240" w:lineRule="auto"/>
        <w:jc w:val="both"/>
        <w:rPr>
          <w:rFonts w:ascii="Arial" w:eastAsia="Times New Roman" w:hAnsi="Arial" w:cs="Arial"/>
          <w:b/>
        </w:rPr>
      </w:pPr>
      <w:r>
        <w:rPr>
          <w:rFonts w:ascii="Arial" w:eastAsia="Times New Roman" w:hAnsi="Arial" w:cs="Arial"/>
          <w:b/>
        </w:rPr>
        <w:t>Definice konsignačního skladu</w:t>
      </w:r>
    </w:p>
    <w:p w14:paraId="064437F0" w14:textId="49316822" w:rsidR="0008713E" w:rsidRDefault="00263A16" w:rsidP="00263A16">
      <w:pPr>
        <w:ind w:left="708"/>
        <w:jc w:val="both"/>
        <w:rPr>
          <w:rFonts w:ascii="Arial" w:eastAsia="Times New Roman" w:hAnsi="Arial" w:cs="Arial"/>
        </w:rPr>
      </w:pPr>
      <w:r>
        <w:rPr>
          <w:rFonts w:ascii="Arial" w:eastAsia="Times New Roman" w:hAnsi="Arial" w:cs="Arial"/>
        </w:rPr>
        <w:t xml:space="preserve">Konsignační sklady bývají nejčastěji zřizovány v prostorách zadavatele tak, aby bylo zboží obsažené v konsignačním skladu k dispozici v nejoptimálnější okamžik. Smlouvy o zřízení a provozování konsignačního skladu by v takovém případě mělo obsahovat vymezení prostoru, který zadavatele k tomuto účelu je schopen dodavateli poskytnout. </w:t>
      </w:r>
    </w:p>
    <w:p w14:paraId="762D15B0" w14:textId="77777777" w:rsidR="00263A16" w:rsidRPr="004E007C" w:rsidRDefault="00263A16" w:rsidP="00263A16">
      <w:pPr>
        <w:numPr>
          <w:ilvl w:val="0"/>
          <w:numId w:val="2"/>
        </w:numPr>
        <w:spacing w:before="120" w:after="120" w:line="240" w:lineRule="auto"/>
        <w:jc w:val="both"/>
        <w:rPr>
          <w:rFonts w:ascii="Arial" w:eastAsia="Times New Roman" w:hAnsi="Arial" w:cs="Arial"/>
          <w:b/>
        </w:rPr>
      </w:pPr>
      <w:r>
        <w:rPr>
          <w:rFonts w:ascii="Arial" w:eastAsia="Times New Roman" w:hAnsi="Arial" w:cs="Arial"/>
          <w:b/>
        </w:rPr>
        <w:t>Předmět konsignačního skladu</w:t>
      </w:r>
    </w:p>
    <w:p w14:paraId="3AA5F3CE" w14:textId="77777777" w:rsidR="00263A16" w:rsidRPr="004E007C" w:rsidRDefault="00263A16" w:rsidP="00263A16">
      <w:pPr>
        <w:ind w:left="708"/>
        <w:jc w:val="both"/>
        <w:rPr>
          <w:rFonts w:ascii="Arial" w:hAnsi="Arial" w:cs="Arial"/>
        </w:rPr>
      </w:pPr>
      <w:r>
        <w:rPr>
          <w:rFonts w:ascii="Arial" w:eastAsia="Times New Roman" w:hAnsi="Arial" w:cs="Arial"/>
        </w:rPr>
        <w:t>Součástí závazného návrhu dané smlouvy by měl být definovaný minimální rozsah, který bude v konsignačním skladu zadavateli k dispozici.</w:t>
      </w:r>
    </w:p>
    <w:p w14:paraId="57D08938" w14:textId="77777777" w:rsidR="00263A16" w:rsidRPr="004E007C" w:rsidRDefault="00263A16" w:rsidP="00263A16">
      <w:pPr>
        <w:ind w:left="708"/>
        <w:jc w:val="both"/>
        <w:rPr>
          <w:rFonts w:ascii="Arial" w:hAnsi="Arial" w:cs="Arial"/>
        </w:rPr>
      </w:pPr>
    </w:p>
    <w:sectPr w:rsidR="00263A16" w:rsidRPr="004E007C" w:rsidSect="00835A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5C55C" w14:textId="77777777" w:rsidR="00176C7E" w:rsidRDefault="00176C7E" w:rsidP="00370919">
      <w:pPr>
        <w:spacing w:after="0" w:line="240" w:lineRule="auto"/>
      </w:pPr>
      <w:r>
        <w:separator/>
      </w:r>
    </w:p>
  </w:endnote>
  <w:endnote w:type="continuationSeparator" w:id="0">
    <w:p w14:paraId="47B4D4E0" w14:textId="77777777" w:rsidR="00176C7E" w:rsidRDefault="00176C7E" w:rsidP="00370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225D1" w14:textId="77777777" w:rsidR="00176C7E" w:rsidRDefault="00176C7E" w:rsidP="00370919">
      <w:pPr>
        <w:spacing w:after="0" w:line="240" w:lineRule="auto"/>
      </w:pPr>
      <w:r>
        <w:separator/>
      </w:r>
    </w:p>
  </w:footnote>
  <w:footnote w:type="continuationSeparator" w:id="0">
    <w:p w14:paraId="4364B68A" w14:textId="77777777" w:rsidR="00176C7E" w:rsidRDefault="00176C7E" w:rsidP="00370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2900"/>
    <w:multiLevelType w:val="hybridMultilevel"/>
    <w:tmpl w:val="2EDC0F7C"/>
    <w:lvl w:ilvl="0" w:tplc="AFCE0BBE">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1E2AC6"/>
    <w:multiLevelType w:val="hybridMultilevel"/>
    <w:tmpl w:val="37B21C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8F288E"/>
    <w:multiLevelType w:val="hybridMultilevel"/>
    <w:tmpl w:val="06C65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8C5B85"/>
    <w:multiLevelType w:val="hybridMultilevel"/>
    <w:tmpl w:val="87C86480"/>
    <w:lvl w:ilvl="0" w:tplc="AFCE0BBE">
      <w:start w:val="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011C61"/>
    <w:multiLevelType w:val="hybridMultilevel"/>
    <w:tmpl w:val="F116790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8C442E8"/>
    <w:multiLevelType w:val="hybridMultilevel"/>
    <w:tmpl w:val="23389D1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FD310B"/>
    <w:multiLevelType w:val="hybridMultilevel"/>
    <w:tmpl w:val="4BCA0E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770075"/>
    <w:multiLevelType w:val="hybridMultilevel"/>
    <w:tmpl w:val="546E848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22201B5"/>
    <w:multiLevelType w:val="hybridMultilevel"/>
    <w:tmpl w:val="D0F275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65354176">
    <w:abstractNumId w:val="3"/>
  </w:num>
  <w:num w:numId="2" w16cid:durableId="834154410">
    <w:abstractNumId w:val="8"/>
  </w:num>
  <w:num w:numId="3" w16cid:durableId="154497139">
    <w:abstractNumId w:val="0"/>
  </w:num>
  <w:num w:numId="4" w16cid:durableId="701520077">
    <w:abstractNumId w:val="4"/>
  </w:num>
  <w:num w:numId="5" w16cid:durableId="208031408">
    <w:abstractNumId w:val="5"/>
  </w:num>
  <w:num w:numId="6" w16cid:durableId="918631921">
    <w:abstractNumId w:val="2"/>
  </w:num>
  <w:num w:numId="7" w16cid:durableId="1134327240">
    <w:abstractNumId w:val="6"/>
  </w:num>
  <w:num w:numId="8" w16cid:durableId="534390371">
    <w:abstractNumId w:val="7"/>
  </w:num>
  <w:num w:numId="9" w16cid:durableId="2057777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0C7B"/>
    <w:rsid w:val="00002B25"/>
    <w:rsid w:val="00035B43"/>
    <w:rsid w:val="00053775"/>
    <w:rsid w:val="0008713E"/>
    <w:rsid w:val="000B0C7B"/>
    <w:rsid w:val="00124204"/>
    <w:rsid w:val="001506E1"/>
    <w:rsid w:val="00176C7E"/>
    <w:rsid w:val="001B0720"/>
    <w:rsid w:val="001B0D37"/>
    <w:rsid w:val="001B519B"/>
    <w:rsid w:val="001D355E"/>
    <w:rsid w:val="001F04BB"/>
    <w:rsid w:val="001F2214"/>
    <w:rsid w:val="00222C84"/>
    <w:rsid w:val="002473BD"/>
    <w:rsid w:val="00263A16"/>
    <w:rsid w:val="0026506A"/>
    <w:rsid w:val="0028540A"/>
    <w:rsid w:val="002D5AD0"/>
    <w:rsid w:val="003410FF"/>
    <w:rsid w:val="00362F22"/>
    <w:rsid w:val="00370919"/>
    <w:rsid w:val="003925DA"/>
    <w:rsid w:val="003A776A"/>
    <w:rsid w:val="003E23F6"/>
    <w:rsid w:val="003E6752"/>
    <w:rsid w:val="00441895"/>
    <w:rsid w:val="004A676B"/>
    <w:rsid w:val="004E007C"/>
    <w:rsid w:val="00563DB7"/>
    <w:rsid w:val="005A78F9"/>
    <w:rsid w:val="005B233B"/>
    <w:rsid w:val="006E57B3"/>
    <w:rsid w:val="006E7A61"/>
    <w:rsid w:val="00725F27"/>
    <w:rsid w:val="00741B16"/>
    <w:rsid w:val="00835A7E"/>
    <w:rsid w:val="008D78C4"/>
    <w:rsid w:val="00904C68"/>
    <w:rsid w:val="00964821"/>
    <w:rsid w:val="0099313A"/>
    <w:rsid w:val="00A335E6"/>
    <w:rsid w:val="00A45C33"/>
    <w:rsid w:val="00A66576"/>
    <w:rsid w:val="00A74B6E"/>
    <w:rsid w:val="00AE34DB"/>
    <w:rsid w:val="00B1740D"/>
    <w:rsid w:val="00B2162C"/>
    <w:rsid w:val="00B2257B"/>
    <w:rsid w:val="00C246BD"/>
    <w:rsid w:val="00C364FB"/>
    <w:rsid w:val="00C7308C"/>
    <w:rsid w:val="00CC4B0D"/>
    <w:rsid w:val="00CC796A"/>
    <w:rsid w:val="00CE21F4"/>
    <w:rsid w:val="00D92283"/>
    <w:rsid w:val="00DA27EC"/>
    <w:rsid w:val="00E258DC"/>
    <w:rsid w:val="00E54E58"/>
    <w:rsid w:val="00E64FE0"/>
    <w:rsid w:val="00ED5404"/>
    <w:rsid w:val="00F32303"/>
    <w:rsid w:val="00F571C9"/>
    <w:rsid w:val="00F66A07"/>
    <w:rsid w:val="00F77CB4"/>
    <w:rsid w:val="00F96E04"/>
    <w:rsid w:val="00FC3D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7B89"/>
  <w15:docId w15:val="{0D0FDD4F-98E9-4CC6-BDD7-B22B56DB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27E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7091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70919"/>
    <w:rPr>
      <w:sz w:val="20"/>
      <w:szCs w:val="20"/>
    </w:rPr>
  </w:style>
  <w:style w:type="character" w:styleId="Znakapoznpodarou">
    <w:name w:val="footnote reference"/>
    <w:basedOn w:val="Standardnpsmoodstavce"/>
    <w:uiPriority w:val="99"/>
    <w:semiHidden/>
    <w:unhideWhenUsed/>
    <w:rsid w:val="00370919"/>
    <w:rPr>
      <w:vertAlign w:val="superscript"/>
    </w:rPr>
  </w:style>
  <w:style w:type="character" w:styleId="Odkaznakoment">
    <w:name w:val="annotation reference"/>
    <w:basedOn w:val="Standardnpsmoodstavce"/>
    <w:uiPriority w:val="99"/>
    <w:semiHidden/>
    <w:unhideWhenUsed/>
    <w:rsid w:val="00C7308C"/>
    <w:rPr>
      <w:sz w:val="16"/>
      <w:szCs w:val="16"/>
    </w:rPr>
  </w:style>
  <w:style w:type="paragraph" w:styleId="Textkomente">
    <w:name w:val="annotation text"/>
    <w:basedOn w:val="Normln"/>
    <w:link w:val="TextkomenteChar"/>
    <w:uiPriority w:val="99"/>
    <w:unhideWhenUsed/>
    <w:rsid w:val="00C7308C"/>
    <w:pPr>
      <w:spacing w:line="240" w:lineRule="auto"/>
    </w:pPr>
    <w:rPr>
      <w:sz w:val="20"/>
      <w:szCs w:val="20"/>
    </w:rPr>
  </w:style>
  <w:style w:type="character" w:customStyle="1" w:styleId="TextkomenteChar">
    <w:name w:val="Text komentáře Char"/>
    <w:basedOn w:val="Standardnpsmoodstavce"/>
    <w:link w:val="Textkomente"/>
    <w:uiPriority w:val="99"/>
    <w:rsid w:val="00C7308C"/>
    <w:rPr>
      <w:sz w:val="20"/>
      <w:szCs w:val="20"/>
    </w:rPr>
  </w:style>
  <w:style w:type="paragraph" w:styleId="Pedmtkomente">
    <w:name w:val="annotation subject"/>
    <w:basedOn w:val="Textkomente"/>
    <w:next w:val="Textkomente"/>
    <w:link w:val="PedmtkomenteChar"/>
    <w:uiPriority w:val="99"/>
    <w:semiHidden/>
    <w:unhideWhenUsed/>
    <w:rsid w:val="00C7308C"/>
    <w:rPr>
      <w:b/>
      <w:bCs/>
    </w:rPr>
  </w:style>
  <w:style w:type="character" w:customStyle="1" w:styleId="PedmtkomenteChar">
    <w:name w:val="Předmět komentáře Char"/>
    <w:basedOn w:val="TextkomenteChar"/>
    <w:link w:val="Pedmtkomente"/>
    <w:uiPriority w:val="99"/>
    <w:semiHidden/>
    <w:rsid w:val="00C7308C"/>
    <w:rPr>
      <w:b/>
      <w:bCs/>
      <w:sz w:val="20"/>
      <w:szCs w:val="20"/>
    </w:rPr>
  </w:style>
  <w:style w:type="paragraph" w:styleId="Odstavecseseznamem">
    <w:name w:val="List Paragraph"/>
    <w:basedOn w:val="Normln"/>
    <w:uiPriority w:val="34"/>
    <w:qFormat/>
    <w:rsid w:val="00F77CB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77996-C9AE-4DCF-81E5-19F2A87F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8</Pages>
  <Words>3289</Words>
  <Characters>19407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Duchy</dc:creator>
  <cp:lastModifiedBy>Duchoň Vladimír</cp:lastModifiedBy>
  <cp:revision>42</cp:revision>
  <dcterms:created xsi:type="dcterms:W3CDTF">2022-10-18T14:13:00Z</dcterms:created>
  <dcterms:modified xsi:type="dcterms:W3CDTF">2024-04-29T09:43:00Z</dcterms:modified>
</cp:coreProperties>
</file>