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6C3D" w14:textId="77777777" w:rsidR="001A7FF9" w:rsidRPr="00460ADE" w:rsidRDefault="001A7FF9" w:rsidP="00EF7CC1">
      <w:pPr>
        <w:jc w:val="both"/>
        <w:rPr>
          <w:i/>
        </w:rPr>
      </w:pPr>
      <w:r w:rsidRPr="00460ADE">
        <w:rPr>
          <w:i/>
        </w:rPr>
        <w:t xml:space="preserve">Proti kontrolním zjištěním uvedeným v protokolu o kontrole může kontrolovaná osoba podat podle </w:t>
      </w:r>
      <w:proofErr w:type="spellStart"/>
      <w:r w:rsidRPr="00460ADE">
        <w:rPr>
          <w:i/>
        </w:rPr>
        <w:t>ust</w:t>
      </w:r>
      <w:proofErr w:type="spellEnd"/>
      <w:r w:rsidRPr="00460ADE">
        <w:rPr>
          <w:i/>
        </w:rPr>
        <w:t xml:space="preserve">. § 13 odst. 1 kontrolního řádu ve lhůtě stanovené kontrolním orgánem v délce </w:t>
      </w:r>
      <w:r w:rsidRPr="00460ADE">
        <w:rPr>
          <w:b/>
          <w:i/>
          <w:u w:val="single"/>
        </w:rPr>
        <w:t>21 dnů ode dne doručení protokolu</w:t>
      </w:r>
      <w:r w:rsidRPr="00460ADE">
        <w:rPr>
          <w:i/>
        </w:rPr>
        <w:t xml:space="preserve"> o kontrole kontrolnímu orgánu </w:t>
      </w:r>
      <w:r w:rsidRPr="00460ADE">
        <w:rPr>
          <w:i/>
          <w:u w:val="single"/>
        </w:rPr>
        <w:t>písemně námitky</w:t>
      </w:r>
      <w:r w:rsidRPr="00460ADE">
        <w:rPr>
          <w:i/>
        </w:rPr>
        <w:t xml:space="preserve">, z nichž musí být zřejmé, proti jakému kontrolnímu zjištění směřují, a musí obsahovat odůvodnění nesouhlasu s tímto kontrolním zjištěním. Lhůta pro podání námitek byla stanovena s ohledem na skutečnost, že do lhůty pro podání námitek spadají dny pracovního klidu (stanovené zákonem č. 245/2000 Sb., o státních svátcích a ostatních svátcích, o významných dnech a o dnech pracovního klidu, ve znění pozdějších předpisů). Námitky je nutno zaslat do datové schránky Ministerstva zdravotnictví, ID: pv8aaxd, nebo na adresu: Ministerstvo zdravotnictví, oddělení kontroly, Palackého náměstí 4, 128 00 Praha 2. Vyřízení námitek se řídí </w:t>
      </w:r>
      <w:proofErr w:type="spellStart"/>
      <w:r w:rsidRPr="00460ADE">
        <w:rPr>
          <w:i/>
        </w:rPr>
        <w:t>ust</w:t>
      </w:r>
      <w:proofErr w:type="spellEnd"/>
      <w:r w:rsidRPr="00460ADE">
        <w:rPr>
          <w:i/>
        </w:rPr>
        <w:t xml:space="preserve">. § 14 kontrolního řádu. V souladu s kontrolním řádem se může kontrolovaná osoba vzdát práva podat námitky. </w:t>
      </w:r>
      <w:proofErr w:type="gramStart"/>
      <w:r w:rsidRPr="00460ADE">
        <w:rPr>
          <w:i/>
        </w:rPr>
        <w:t>ČR - Ministerstvo</w:t>
      </w:r>
      <w:proofErr w:type="gramEnd"/>
      <w:r w:rsidRPr="00460ADE">
        <w:rPr>
          <w:i/>
        </w:rPr>
        <w:t xml:space="preserve"> zdravotnictví, Palackého náměstí 4, 128 00 Praha 2 tel.: +420 224 972 324, e-mail: kon@mzd.gov.cz, www.mzd.gov.cz 192</w:t>
      </w:r>
    </w:p>
    <w:p w14:paraId="2BE47EC6" w14:textId="46113EA5" w:rsidR="001A7FF9" w:rsidRPr="00460ADE" w:rsidRDefault="001A7FF9" w:rsidP="00EF7CC1">
      <w:pPr>
        <w:jc w:val="both"/>
        <w:rPr>
          <w:i/>
          <w:u w:val="single"/>
        </w:rPr>
      </w:pPr>
      <w:r w:rsidRPr="00460ADE">
        <w:rPr>
          <w:i/>
        </w:rPr>
        <w:t xml:space="preserve">Kontrolovaná osoba je v souladu s </w:t>
      </w:r>
      <w:proofErr w:type="spellStart"/>
      <w:r w:rsidRPr="00460ADE">
        <w:rPr>
          <w:i/>
        </w:rPr>
        <w:t>ust</w:t>
      </w:r>
      <w:proofErr w:type="spellEnd"/>
      <w:r w:rsidRPr="00460ADE">
        <w:rPr>
          <w:i/>
        </w:rPr>
        <w:t xml:space="preserve">. § 18 odst. 1 zákona o finanční kontrole povinna přijmout </w:t>
      </w:r>
      <w:r w:rsidRPr="00460ADE">
        <w:rPr>
          <w:b/>
          <w:i/>
        </w:rPr>
        <w:t>opatření k odstranění nedostatků</w:t>
      </w:r>
      <w:r w:rsidRPr="00460ADE">
        <w:rPr>
          <w:i/>
        </w:rPr>
        <w:t xml:space="preserve"> zjištěných kontrolou bez zbytečného odkladu, </w:t>
      </w:r>
      <w:r w:rsidRPr="00460ADE">
        <w:rPr>
          <w:i/>
          <w:u w:val="single"/>
        </w:rPr>
        <w:t>nejpozději ve lhůtě do tří měsíců od ukončení kontroly.</w:t>
      </w:r>
      <w:r w:rsidRPr="00460ADE">
        <w:rPr>
          <w:i/>
        </w:rPr>
        <w:t xml:space="preserve"> Kontrolní orgán v souladu s </w:t>
      </w:r>
      <w:proofErr w:type="spellStart"/>
      <w:r w:rsidRPr="00460ADE">
        <w:rPr>
          <w:i/>
        </w:rPr>
        <w:t>ust</w:t>
      </w:r>
      <w:proofErr w:type="spellEnd"/>
      <w:r w:rsidRPr="00460ADE">
        <w:rPr>
          <w:i/>
        </w:rPr>
        <w:t xml:space="preserve">. § 10 odst. 2 kontrolního řádu žádá kontrolovanou osobu o </w:t>
      </w:r>
      <w:r w:rsidRPr="00460ADE">
        <w:rPr>
          <w:i/>
          <w:u w:val="single"/>
        </w:rPr>
        <w:t>písemné informování o odstranění nedostatků nebo prevenci nedostatků zjištěných kontrolou ve lhůtě do tří měsíců od ukončení kontroly.</w:t>
      </w:r>
    </w:p>
    <w:p w14:paraId="700D15A9" w14:textId="77777777" w:rsidR="001A7FF9" w:rsidRDefault="001A7FF9" w:rsidP="00EF7CC1">
      <w:pPr>
        <w:jc w:val="both"/>
        <w:rPr>
          <w:b/>
          <w:bCs/>
          <w:color w:val="000000" w:themeColor="text1"/>
          <w:sz w:val="28"/>
          <w:szCs w:val="28"/>
          <w:u w:val="single"/>
        </w:rPr>
      </w:pPr>
    </w:p>
    <w:p w14:paraId="2848D2BF" w14:textId="3954B45C" w:rsidR="007A3030" w:rsidRDefault="001A7FF9" w:rsidP="00EF7CC1">
      <w:pPr>
        <w:jc w:val="both"/>
        <w:rPr>
          <w:b/>
          <w:bCs/>
          <w:color w:val="000000" w:themeColor="text1"/>
          <w:sz w:val="28"/>
          <w:szCs w:val="28"/>
          <w:u w:val="single"/>
        </w:rPr>
      </w:pPr>
      <w:r>
        <w:rPr>
          <w:b/>
          <w:bCs/>
          <w:color w:val="000000" w:themeColor="text1"/>
          <w:sz w:val="28"/>
          <w:szCs w:val="28"/>
          <w:u w:val="single"/>
        </w:rPr>
        <w:t>Námitky proti závěru</w:t>
      </w:r>
    </w:p>
    <w:p w14:paraId="03940EDB" w14:textId="321D6BE7" w:rsidR="008262F8" w:rsidRDefault="008262F8" w:rsidP="00EF7CC1">
      <w:pPr>
        <w:jc w:val="both"/>
        <w:rPr>
          <w:rFonts w:cstheme="minorHAnsi"/>
          <w:b/>
          <w:bCs/>
          <w:color w:val="000000" w:themeColor="text1"/>
          <w:sz w:val="28"/>
          <w:szCs w:val="28"/>
          <w:u w:val="single"/>
        </w:rPr>
      </w:pPr>
    </w:p>
    <w:p w14:paraId="1BC323A1" w14:textId="4002D43D" w:rsidR="00D75C91" w:rsidRDefault="004B7F52" w:rsidP="00EF7CC1">
      <w:pPr>
        <w:jc w:val="both"/>
      </w:pPr>
      <w:r>
        <w:t>FNOL jako zadavatel z</w:t>
      </w:r>
      <w:r w:rsidR="00D75C91">
        <w:t>adat zakázku v zadávacím řízení dle § 3 ZZVZ</w:t>
      </w:r>
      <w:r w:rsidR="00D75C91">
        <w:t xml:space="preserve"> </w:t>
      </w:r>
      <w:r>
        <w:t>nestihla dříve, ale musela zabezpečit léčivé přípravky pro pacienty, které ošetřovala.</w:t>
      </w:r>
      <w:r w:rsidR="003E26E7">
        <w:t xml:space="preserve"> A to i přesto, že každoročně sestavuje plán zakázek vlastních i plán zakázek pro sdružené nákupy zadavatelů, přičemž samozřejmě zohledňuje úskalí, která běžná praxe přináší. FNOL nikdy nepočítala s tím, že je </w:t>
      </w:r>
    </w:p>
    <w:p w14:paraId="6EDCB745" w14:textId="77777777" w:rsidR="004B7F52" w:rsidRPr="004B7F52" w:rsidRDefault="004B7F52" w:rsidP="004B7F52">
      <w:pPr>
        <w:jc w:val="both"/>
        <w:rPr>
          <w:rFonts w:cstheme="minorHAnsi"/>
          <w:bCs/>
          <w:color w:val="000000" w:themeColor="text1"/>
        </w:rPr>
      </w:pPr>
      <w:r w:rsidRPr="00C906A5">
        <w:rPr>
          <w:rFonts w:cstheme="minorHAnsi"/>
          <w:bCs/>
          <w:i/>
          <w:color w:val="000000" w:themeColor="text1"/>
        </w:rPr>
        <w:t>Postupovat jiným zákonem schváleným způsobem</w:t>
      </w:r>
      <w:r w:rsidRPr="004B7F52">
        <w:rPr>
          <w:rFonts w:cstheme="minorHAnsi"/>
          <w:bCs/>
          <w:color w:val="000000" w:themeColor="text1"/>
        </w:rPr>
        <w:t xml:space="preserve"> – což znam</w:t>
      </w:r>
      <w:bookmarkStart w:id="0" w:name="_GoBack"/>
      <w:bookmarkEnd w:id="0"/>
      <w:r w:rsidRPr="004B7F52">
        <w:rPr>
          <w:rFonts w:cstheme="minorHAnsi"/>
          <w:bCs/>
          <w:color w:val="000000" w:themeColor="text1"/>
        </w:rPr>
        <w:t>ená využít zvláštní režimy nebo výjimky, které ZZVZ umožňuje. Např.:</w:t>
      </w:r>
    </w:p>
    <w:p w14:paraId="246FC71B" w14:textId="5599CD28" w:rsidR="004B7F52" w:rsidRPr="00C906A5" w:rsidRDefault="004B7F52" w:rsidP="00C906A5">
      <w:pPr>
        <w:pStyle w:val="Odstavecseseznamem"/>
        <w:numPr>
          <w:ilvl w:val="0"/>
          <w:numId w:val="9"/>
        </w:numPr>
        <w:jc w:val="both"/>
        <w:rPr>
          <w:rFonts w:cstheme="minorHAnsi"/>
          <w:bCs/>
          <w:color w:val="000000" w:themeColor="text1"/>
        </w:rPr>
      </w:pPr>
      <w:r w:rsidRPr="00C906A5">
        <w:rPr>
          <w:rFonts w:cstheme="minorHAnsi"/>
          <w:bCs/>
          <w:color w:val="000000" w:themeColor="text1"/>
        </w:rPr>
        <w:t>Výjimky podle § 29 ZZVZ — zakázky, které se zákonem neřídí (např. utajené, mimořádné zdravotní potřeby</w:t>
      </w:r>
      <w:proofErr w:type="gramStart"/>
      <w:r w:rsidRPr="00C906A5">
        <w:rPr>
          <w:rFonts w:cstheme="minorHAnsi"/>
          <w:bCs/>
          <w:color w:val="000000" w:themeColor="text1"/>
        </w:rPr>
        <w:t>).-</w:t>
      </w:r>
      <w:proofErr w:type="gramEnd"/>
      <w:r w:rsidRPr="00C906A5">
        <w:rPr>
          <w:rFonts w:cstheme="minorHAnsi"/>
          <w:bCs/>
          <w:color w:val="000000" w:themeColor="text1"/>
        </w:rPr>
        <w:t xml:space="preserve"> </w:t>
      </w:r>
      <w:r w:rsidRPr="00C906A5">
        <w:rPr>
          <w:rFonts w:cstheme="minorHAnsi"/>
          <w:bCs/>
          <w:color w:val="538135" w:themeColor="accent6" w:themeShade="BF"/>
        </w:rPr>
        <w:t>nemáme</w:t>
      </w:r>
    </w:p>
    <w:p w14:paraId="6F362628" w14:textId="77777777" w:rsidR="004B7F52" w:rsidRPr="00C906A5" w:rsidRDefault="004B7F52" w:rsidP="00C906A5">
      <w:pPr>
        <w:pStyle w:val="Odstavecseseznamem"/>
        <w:numPr>
          <w:ilvl w:val="0"/>
          <w:numId w:val="9"/>
        </w:numPr>
        <w:jc w:val="both"/>
        <w:rPr>
          <w:rFonts w:cstheme="minorHAnsi"/>
          <w:bCs/>
          <w:color w:val="000000" w:themeColor="text1"/>
        </w:rPr>
      </w:pPr>
      <w:r w:rsidRPr="00C906A5">
        <w:rPr>
          <w:rFonts w:cstheme="minorHAnsi"/>
          <w:bCs/>
          <w:color w:val="000000" w:themeColor="text1"/>
        </w:rPr>
        <w:t>Přímé zadání bez soutěže v situacích podle:</w:t>
      </w:r>
    </w:p>
    <w:p w14:paraId="1317F118" w14:textId="7F849D16" w:rsidR="00460ADE" w:rsidRPr="00460ADE" w:rsidRDefault="004B7F52" w:rsidP="00460ADE">
      <w:pPr>
        <w:numPr>
          <w:ilvl w:val="1"/>
          <w:numId w:val="5"/>
        </w:numPr>
        <w:jc w:val="both"/>
        <w:rPr>
          <w:rFonts w:cstheme="minorHAnsi"/>
          <w:b/>
          <w:bCs/>
          <w:color w:val="538135" w:themeColor="accent6" w:themeShade="BF"/>
          <w:u w:val="single"/>
        </w:rPr>
      </w:pPr>
      <w:r w:rsidRPr="004B7F52">
        <w:rPr>
          <w:rFonts w:cstheme="minorHAnsi"/>
          <w:bCs/>
          <w:color w:val="000000" w:themeColor="text1"/>
        </w:rPr>
        <w:t>§ 63 ZZVZ (</w:t>
      </w:r>
      <w:r w:rsidRPr="00C906A5">
        <w:rPr>
          <w:rFonts w:cstheme="minorHAnsi"/>
          <w:b/>
          <w:bCs/>
          <w:color w:val="000000" w:themeColor="text1"/>
        </w:rPr>
        <w:t>jednací řízení bez uveřejnění</w:t>
      </w:r>
      <w:proofErr w:type="gramStart"/>
      <w:r w:rsidRPr="004B7F52">
        <w:rPr>
          <w:rFonts w:cstheme="minorHAnsi"/>
          <w:bCs/>
          <w:color w:val="000000" w:themeColor="text1"/>
        </w:rPr>
        <w:t>),</w:t>
      </w:r>
      <w:r>
        <w:rPr>
          <w:rFonts w:cstheme="minorHAnsi"/>
          <w:bCs/>
          <w:color w:val="000000" w:themeColor="text1"/>
        </w:rPr>
        <w:t>-</w:t>
      </w:r>
      <w:proofErr w:type="gramEnd"/>
      <w:r>
        <w:rPr>
          <w:rFonts w:cstheme="minorHAnsi"/>
          <w:bCs/>
          <w:color w:val="000000" w:themeColor="text1"/>
        </w:rPr>
        <w:t xml:space="preserve"> </w:t>
      </w:r>
      <w:r w:rsidRPr="004B7F52">
        <w:rPr>
          <w:rFonts w:cstheme="minorHAnsi"/>
          <w:bCs/>
          <w:color w:val="538135" w:themeColor="accent6" w:themeShade="BF"/>
        </w:rPr>
        <w:t>nelze zaručit, že existuje jediný dodavatel</w:t>
      </w:r>
      <w:r>
        <w:rPr>
          <w:rFonts w:cstheme="minorHAnsi"/>
          <w:bCs/>
          <w:color w:val="538135" w:themeColor="accent6" w:themeShade="BF"/>
        </w:rPr>
        <w:t xml:space="preserve">. </w:t>
      </w:r>
      <w:r w:rsidR="00460ADE">
        <w:rPr>
          <w:rFonts w:cstheme="minorHAnsi"/>
          <w:bCs/>
          <w:color w:val="538135" w:themeColor="accent6" w:themeShade="BF"/>
        </w:rPr>
        <w:t>Navíc v kontrolovaných letech právě probíhalo sektorové šetření, které prověřovalo postupy v ČR zavedené.</w:t>
      </w:r>
    </w:p>
    <w:p w14:paraId="1888DAC6" w14:textId="49F25729" w:rsidR="00460ADE" w:rsidRPr="00460ADE" w:rsidRDefault="00460ADE" w:rsidP="00460ADE">
      <w:pPr>
        <w:numPr>
          <w:ilvl w:val="1"/>
          <w:numId w:val="5"/>
        </w:numPr>
        <w:jc w:val="both"/>
        <w:rPr>
          <w:rFonts w:cstheme="minorHAnsi"/>
          <w:bCs/>
          <w:color w:val="538135" w:themeColor="accent6" w:themeShade="BF"/>
        </w:rPr>
      </w:pPr>
      <w:r w:rsidRPr="00460ADE">
        <w:rPr>
          <w:rFonts w:cstheme="minorHAnsi"/>
          <w:bCs/>
          <w:color w:val="538135" w:themeColor="accent6" w:themeShade="BF"/>
        </w:rPr>
        <w:t xml:space="preserve">Úřad pro ochranu hospodářské soutěže (ÚOHS) dokončil sektorové šetření v oblasti distribuce léčiv v České republice v </w:t>
      </w:r>
      <w:r w:rsidRPr="00460ADE">
        <w:rPr>
          <w:rFonts w:cstheme="minorHAnsi"/>
          <w:bCs/>
          <w:color w:val="538135" w:themeColor="accent6" w:themeShade="BF"/>
          <w:u w:val="single"/>
        </w:rPr>
        <w:t>únoru 2023</w:t>
      </w:r>
      <w:r w:rsidRPr="00460ADE">
        <w:rPr>
          <w:rFonts w:cstheme="minorHAnsi"/>
          <w:bCs/>
          <w:color w:val="538135" w:themeColor="accent6" w:themeShade="BF"/>
        </w:rPr>
        <w:t xml:space="preserve">. Toto šetření probíhalo v letech 2021–2022 a zaměřovalo se na hospodářskou soutěž na trzích velkoobchodní a maloobchodní distribuce humánních léčiv hrazených z veřejného zdravotního pojištění, s důrazem na vliv přímých distribučních systémů (tzv. DTP/DTH modely) na soutěžní prostředí. </w:t>
      </w:r>
    </w:p>
    <w:p w14:paraId="553D907D" w14:textId="1DDD32CB" w:rsidR="00460ADE" w:rsidRPr="00460ADE" w:rsidRDefault="00460ADE" w:rsidP="00460ADE">
      <w:pPr>
        <w:numPr>
          <w:ilvl w:val="1"/>
          <w:numId w:val="5"/>
        </w:numPr>
        <w:jc w:val="both"/>
        <w:rPr>
          <w:rFonts w:cstheme="minorHAnsi"/>
          <w:bCs/>
          <w:color w:val="538135" w:themeColor="accent6" w:themeShade="BF"/>
        </w:rPr>
      </w:pPr>
      <w:r w:rsidRPr="00460ADE">
        <w:rPr>
          <w:rFonts w:cstheme="minorHAnsi"/>
          <w:bCs/>
          <w:color w:val="538135" w:themeColor="accent6" w:themeShade="BF"/>
        </w:rPr>
        <w:t xml:space="preserve">První veřejná zpráva shrnující výsledky šetření a doporučení byla zveřejněna 8. února 2023. Následně, 28. února 2023, ÚOHS publikoval kompletní závěrečnou zprávu, která na více než 100 stranách detailně rozebírá problematiku distribuce léčiv, včetně analýzy získaných dat, vyhodnocení zjištění a formulace doporučení. </w:t>
      </w:r>
    </w:p>
    <w:p w14:paraId="35DCDE0A" w14:textId="0201DD5B" w:rsidR="00460ADE" w:rsidRDefault="00460ADE" w:rsidP="00460ADE">
      <w:pPr>
        <w:numPr>
          <w:ilvl w:val="1"/>
          <w:numId w:val="5"/>
        </w:numPr>
        <w:jc w:val="both"/>
        <w:rPr>
          <w:rFonts w:cstheme="minorHAnsi"/>
          <w:b/>
          <w:bCs/>
          <w:color w:val="538135" w:themeColor="accent6" w:themeShade="BF"/>
          <w:u w:val="single"/>
        </w:rPr>
      </w:pPr>
      <w:r w:rsidRPr="00460ADE">
        <w:rPr>
          <w:rFonts w:cstheme="minorHAnsi"/>
          <w:bCs/>
          <w:color w:val="538135" w:themeColor="accent6" w:themeShade="BF"/>
        </w:rPr>
        <w:lastRenderedPageBreak/>
        <w:t xml:space="preserve">Na základě tohoto šetření byla řada doporučení ÚOHS zapracována do novely zákona o léčivech (zákon č. 456/2023 Sb.), která nabyla účinnosti 1. ledna 2024. Novela si klade za cíl zvýšit transparentnost trhu a zajistit dostupnost léčiv pro pacienty v České </w:t>
      </w:r>
      <w:proofErr w:type="gramStart"/>
      <w:r w:rsidRPr="00460ADE">
        <w:rPr>
          <w:rFonts w:cstheme="minorHAnsi"/>
          <w:bCs/>
          <w:color w:val="538135" w:themeColor="accent6" w:themeShade="BF"/>
        </w:rPr>
        <w:t>republice .</w:t>
      </w:r>
      <w:proofErr w:type="gramEnd"/>
      <w:r w:rsidRPr="00460ADE">
        <w:rPr>
          <w:rFonts w:cstheme="minorHAnsi"/>
          <w:b/>
          <w:bCs/>
          <w:color w:val="538135" w:themeColor="accent6" w:themeShade="BF"/>
          <w:u w:val="single"/>
        </w:rPr>
        <w:t xml:space="preserve"> </w:t>
      </w:r>
    </w:p>
    <w:p w14:paraId="1C95AA8D" w14:textId="0EA117BC" w:rsidR="00C906A5" w:rsidRPr="00690A16" w:rsidRDefault="00C906A5" w:rsidP="00460ADE">
      <w:pPr>
        <w:numPr>
          <w:ilvl w:val="1"/>
          <w:numId w:val="5"/>
        </w:numPr>
        <w:jc w:val="both"/>
        <w:rPr>
          <w:rFonts w:cstheme="minorHAnsi"/>
          <w:bCs/>
          <w:color w:val="538135" w:themeColor="accent6" w:themeShade="BF"/>
        </w:rPr>
      </w:pPr>
      <w:r w:rsidRPr="00690A16">
        <w:rPr>
          <w:rFonts w:cstheme="minorHAnsi"/>
          <w:bCs/>
          <w:color w:val="538135" w:themeColor="accent6" w:themeShade="BF"/>
        </w:rPr>
        <w:t xml:space="preserve">Na základě toho také vznikly </w:t>
      </w:r>
      <w:r w:rsidR="00690A16" w:rsidRPr="00690A16">
        <w:rPr>
          <w:rFonts w:cstheme="minorHAnsi"/>
          <w:bCs/>
          <w:color w:val="538135" w:themeColor="accent6" w:themeShade="BF"/>
        </w:rPr>
        <w:t xml:space="preserve">teprve v roce 2023 a 2024 </w:t>
      </w:r>
      <w:r w:rsidRPr="00690A16">
        <w:rPr>
          <w:rFonts w:cstheme="minorHAnsi"/>
          <w:bCs/>
          <w:color w:val="538135" w:themeColor="accent6" w:themeShade="BF"/>
        </w:rPr>
        <w:t xml:space="preserve">metodiky pro soutěžení léčiv, které </w:t>
      </w:r>
      <w:r w:rsidR="00690A16" w:rsidRPr="00690A16">
        <w:rPr>
          <w:rFonts w:cstheme="minorHAnsi"/>
          <w:bCs/>
          <w:color w:val="538135" w:themeColor="accent6" w:themeShade="BF"/>
        </w:rPr>
        <w:t>standardizovaly postupy výběru dodavatelů.</w:t>
      </w:r>
    </w:p>
    <w:p w14:paraId="1670C74C" w14:textId="77777777" w:rsidR="00460ADE" w:rsidRDefault="00460ADE" w:rsidP="00690A16">
      <w:pPr>
        <w:ind w:left="1440"/>
        <w:jc w:val="both"/>
        <w:rPr>
          <w:rFonts w:cstheme="minorHAnsi"/>
          <w:bCs/>
          <w:color w:val="538135" w:themeColor="accent6" w:themeShade="BF"/>
        </w:rPr>
      </w:pPr>
    </w:p>
    <w:p w14:paraId="0B62B416" w14:textId="692F0F5E" w:rsidR="004B7F52" w:rsidRDefault="004B7F52" w:rsidP="004B7F52">
      <w:pPr>
        <w:numPr>
          <w:ilvl w:val="1"/>
          <w:numId w:val="5"/>
        </w:numPr>
        <w:jc w:val="both"/>
        <w:rPr>
          <w:rFonts w:cstheme="minorHAnsi"/>
          <w:bCs/>
          <w:color w:val="538135" w:themeColor="accent6" w:themeShade="BF"/>
        </w:rPr>
      </w:pPr>
      <w:r>
        <w:rPr>
          <w:rFonts w:cstheme="minorHAnsi"/>
          <w:bCs/>
          <w:color w:val="538135" w:themeColor="accent6" w:themeShade="BF"/>
        </w:rPr>
        <w:t xml:space="preserve">LP </w:t>
      </w:r>
      <w:proofErr w:type="spellStart"/>
      <w:r>
        <w:rPr>
          <w:rFonts w:cstheme="minorHAnsi"/>
          <w:bCs/>
          <w:color w:val="538135" w:themeColor="accent6" w:themeShade="BF"/>
        </w:rPr>
        <w:t>Soliris</w:t>
      </w:r>
      <w:proofErr w:type="spellEnd"/>
      <w:r>
        <w:rPr>
          <w:rFonts w:cstheme="minorHAnsi"/>
          <w:bCs/>
          <w:color w:val="538135" w:themeColor="accent6" w:themeShade="BF"/>
        </w:rPr>
        <w:t xml:space="preserve"> byl už velmi dlouho na trhu, a </w:t>
      </w:r>
      <w:r w:rsidR="00460ADE">
        <w:rPr>
          <w:rFonts w:cstheme="minorHAnsi"/>
          <w:bCs/>
          <w:color w:val="538135" w:themeColor="accent6" w:themeShade="BF"/>
        </w:rPr>
        <w:t xml:space="preserve">blížila se doba, kdy bude mít </w:t>
      </w:r>
      <w:r>
        <w:rPr>
          <w:rFonts w:cstheme="minorHAnsi"/>
          <w:bCs/>
          <w:color w:val="538135" w:themeColor="accent6" w:themeShade="BF"/>
        </w:rPr>
        <w:t>propadlou patentovou ochranu</w:t>
      </w:r>
      <w:r w:rsidR="00460ADE">
        <w:rPr>
          <w:rFonts w:cstheme="minorHAnsi"/>
          <w:bCs/>
          <w:color w:val="538135" w:themeColor="accent6" w:themeShade="BF"/>
        </w:rPr>
        <w:t xml:space="preserve"> (už má)</w:t>
      </w:r>
      <w:r>
        <w:rPr>
          <w:rFonts w:cstheme="minorHAnsi"/>
          <w:bCs/>
          <w:color w:val="538135" w:themeColor="accent6" w:themeShade="BF"/>
        </w:rPr>
        <w:t xml:space="preserve"> a jako správný hospodář můžeme očekávat, že na trhu budou levnější léky a více dodavatelů.</w:t>
      </w:r>
      <w:r w:rsidR="00F71693">
        <w:rPr>
          <w:rFonts w:cstheme="minorHAnsi"/>
          <w:bCs/>
          <w:color w:val="538135" w:themeColor="accent6" w:themeShade="BF"/>
        </w:rPr>
        <w:t xml:space="preserve"> Od 1.10.</w:t>
      </w:r>
      <w:r w:rsidR="008621A7">
        <w:rPr>
          <w:rFonts w:cstheme="minorHAnsi"/>
          <w:bCs/>
          <w:color w:val="538135" w:themeColor="accent6" w:themeShade="BF"/>
        </w:rPr>
        <w:t xml:space="preserve">22 potvrdila společnost </w:t>
      </w:r>
      <w:proofErr w:type="spellStart"/>
      <w:r w:rsidR="008621A7">
        <w:rPr>
          <w:rFonts w:cstheme="minorHAnsi"/>
          <w:bCs/>
          <w:color w:val="538135" w:themeColor="accent6" w:themeShade="BF"/>
        </w:rPr>
        <w:t>AstraZeneca</w:t>
      </w:r>
      <w:proofErr w:type="spellEnd"/>
      <w:r w:rsidR="008621A7">
        <w:rPr>
          <w:rFonts w:cstheme="minorHAnsi"/>
          <w:bCs/>
          <w:color w:val="538135" w:themeColor="accent6" w:themeShade="BF"/>
        </w:rPr>
        <w:t xml:space="preserve">, která nově získala lék prodeji, že bude dodáván prostřednictvím DTP kanálu přes distributora Phoenix. Tatáž společnost v kontrolovaném období nabízela jiný lék určený pro tzv. car-t terapii a uzavřela smlouvu na dodávku s FNOL </w:t>
      </w:r>
      <w:r w:rsidR="00460ADE">
        <w:rPr>
          <w:rFonts w:cstheme="minorHAnsi"/>
          <w:bCs/>
          <w:color w:val="538135" w:themeColor="accent6" w:themeShade="BF"/>
        </w:rPr>
        <w:t xml:space="preserve">právě </w:t>
      </w:r>
      <w:r w:rsidR="008621A7">
        <w:rPr>
          <w:rFonts w:cstheme="minorHAnsi"/>
          <w:bCs/>
          <w:color w:val="538135" w:themeColor="accent6" w:themeShade="BF"/>
        </w:rPr>
        <w:t>na základě JŘBÚ. Délka jednacího řízení probíhala od přípravy podkladů do podpisu kupní smlouvy cca 5 měsíců. Zadavatel vyhodnotil, že JŘBÚ není časově pružnější a efektivnější způsob soutěže</w:t>
      </w:r>
      <w:r w:rsidR="00460ADE">
        <w:rPr>
          <w:rFonts w:cstheme="minorHAnsi"/>
          <w:bCs/>
          <w:color w:val="538135" w:themeColor="accent6" w:themeShade="BF"/>
        </w:rPr>
        <w:t xml:space="preserve">, protože jde i v současnosti o pro dodavatele téměř neznalý způsob zadávání. Tudíž nese větší administrativní zátěž pro dodavatele, který je nadto v silnějším postavení, protože si je vědom, že jako jediný nabízí lék, bez kterého </w:t>
      </w:r>
      <w:proofErr w:type="gramStart"/>
      <w:r w:rsidR="00460ADE">
        <w:rPr>
          <w:rFonts w:cstheme="minorHAnsi"/>
          <w:bCs/>
          <w:color w:val="538135" w:themeColor="accent6" w:themeShade="BF"/>
        </w:rPr>
        <w:t>s</w:t>
      </w:r>
      <w:proofErr w:type="gramEnd"/>
      <w:r w:rsidR="00460ADE">
        <w:rPr>
          <w:rFonts w:cstheme="minorHAnsi"/>
          <w:bCs/>
          <w:color w:val="538135" w:themeColor="accent6" w:themeShade="BF"/>
        </w:rPr>
        <w:t> nemocnice a pacienti neobejdou a nemusí tak přistupovat na sankční a dodací podmínky v běžných mezích. Dále pak konstatujeme, že jde o dodávky v režimu DTP kanálů</w:t>
      </w:r>
      <w:r w:rsidR="008621A7">
        <w:rPr>
          <w:rFonts w:cstheme="minorHAnsi"/>
          <w:bCs/>
          <w:color w:val="538135" w:themeColor="accent6" w:themeShade="BF"/>
        </w:rPr>
        <w:t xml:space="preserve"> s velkou nejistotou předvídatelnosti chování nezveřejněných dohod o tzv. dodavatelských kontrolovaných kanálech.</w:t>
      </w:r>
      <w:r w:rsidR="00460ADE">
        <w:rPr>
          <w:rFonts w:cstheme="minorHAnsi"/>
          <w:bCs/>
          <w:color w:val="538135" w:themeColor="accent6" w:themeShade="BF"/>
        </w:rPr>
        <w:t xml:space="preserve"> Zadavateli nikdy žádný oslovený zástupce výrobní společnosti nebyl ochoten předložit znění </w:t>
      </w:r>
      <w:r w:rsidR="00C906A5">
        <w:rPr>
          <w:rFonts w:cstheme="minorHAnsi"/>
          <w:bCs/>
          <w:color w:val="538135" w:themeColor="accent6" w:themeShade="BF"/>
        </w:rPr>
        <w:t>uzavřených dohod tak, aby FNOL byla schopna dle toho upravit své plány zakázek a zadávacích podmínek.</w:t>
      </w:r>
    </w:p>
    <w:p w14:paraId="720558B0" w14:textId="55184676" w:rsidR="008621A7" w:rsidRDefault="008621A7" w:rsidP="004B7F52">
      <w:pPr>
        <w:numPr>
          <w:ilvl w:val="1"/>
          <w:numId w:val="5"/>
        </w:numPr>
        <w:jc w:val="both"/>
        <w:rPr>
          <w:rFonts w:cstheme="minorHAnsi"/>
          <w:bCs/>
          <w:color w:val="538135" w:themeColor="accent6" w:themeShade="BF"/>
        </w:rPr>
      </w:pPr>
      <w:r w:rsidRPr="001F6DE0">
        <w:drawing>
          <wp:inline distT="0" distB="0" distL="0" distR="0" wp14:anchorId="220F14DE" wp14:editId="5EB6320D">
            <wp:extent cx="5760720" cy="6299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29920"/>
                    </a:xfrm>
                    <a:prstGeom prst="rect">
                      <a:avLst/>
                    </a:prstGeom>
                    <a:noFill/>
                    <a:ln>
                      <a:noFill/>
                    </a:ln>
                  </pic:spPr>
                </pic:pic>
              </a:graphicData>
            </a:graphic>
          </wp:inline>
        </w:drawing>
      </w:r>
    </w:p>
    <w:p w14:paraId="09B839E4" w14:textId="77777777" w:rsidR="00690A16" w:rsidRPr="00690A16" w:rsidRDefault="00690A16" w:rsidP="00690A16">
      <w:pPr>
        <w:ind w:left="1440"/>
        <w:jc w:val="both"/>
        <w:rPr>
          <w:rFonts w:cstheme="minorHAnsi"/>
          <w:bCs/>
          <w:color w:val="538135" w:themeColor="accent6" w:themeShade="BF"/>
        </w:rPr>
      </w:pPr>
      <w:r w:rsidRPr="00690A16">
        <w:rPr>
          <w:rFonts w:cstheme="minorHAnsi"/>
          <w:bCs/>
          <w:color w:val="538135" w:themeColor="accent6" w:themeShade="BF"/>
        </w:rPr>
        <w:t>Rok</w:t>
      </w:r>
      <w:r w:rsidRPr="00690A16">
        <w:rPr>
          <w:rFonts w:cstheme="minorHAnsi"/>
          <w:bCs/>
          <w:color w:val="538135" w:themeColor="accent6" w:themeShade="BF"/>
        </w:rPr>
        <w:tab/>
        <w:t>Událost</w:t>
      </w:r>
    </w:p>
    <w:p w14:paraId="7B91A6B3" w14:textId="63BA8433" w:rsidR="00690A16" w:rsidRPr="00690A16" w:rsidRDefault="00690A16" w:rsidP="00690A16">
      <w:pPr>
        <w:ind w:left="1440"/>
        <w:jc w:val="both"/>
        <w:rPr>
          <w:rFonts w:cstheme="minorHAnsi"/>
          <w:bCs/>
          <w:color w:val="538135" w:themeColor="accent6" w:themeShade="BF"/>
        </w:rPr>
      </w:pPr>
      <w:r w:rsidRPr="00690A16">
        <w:rPr>
          <w:rFonts w:cstheme="minorHAnsi"/>
          <w:bCs/>
          <w:color w:val="538135" w:themeColor="accent6" w:themeShade="BF"/>
        </w:rPr>
        <w:t>do 2021</w:t>
      </w:r>
      <w:r w:rsidRPr="00690A16">
        <w:rPr>
          <w:rFonts w:cstheme="minorHAnsi"/>
          <w:bCs/>
          <w:color w:val="538135" w:themeColor="accent6" w:themeShade="BF"/>
        </w:rPr>
        <w:tab/>
      </w:r>
      <w:proofErr w:type="spellStart"/>
      <w:r w:rsidRPr="00690A16">
        <w:rPr>
          <w:rFonts w:cstheme="minorHAnsi"/>
          <w:bCs/>
          <w:color w:val="538135" w:themeColor="accent6" w:themeShade="BF"/>
        </w:rPr>
        <w:t>Soliris</w:t>
      </w:r>
      <w:proofErr w:type="spellEnd"/>
      <w:r w:rsidRPr="00690A16">
        <w:rPr>
          <w:rFonts w:cstheme="minorHAnsi"/>
          <w:bCs/>
          <w:color w:val="538135" w:themeColor="accent6" w:themeShade="BF"/>
        </w:rPr>
        <w:t xml:space="preserve"> vlastnil </w:t>
      </w:r>
      <w:proofErr w:type="spellStart"/>
      <w:r w:rsidRPr="00690A16">
        <w:rPr>
          <w:rFonts w:cstheme="minorHAnsi"/>
          <w:bCs/>
          <w:color w:val="538135" w:themeColor="accent6" w:themeShade="BF"/>
        </w:rPr>
        <w:t>Alexion</w:t>
      </w:r>
      <w:proofErr w:type="spellEnd"/>
      <w:r w:rsidRPr="00690A16">
        <w:rPr>
          <w:rFonts w:cstheme="minorHAnsi"/>
          <w:bCs/>
          <w:color w:val="538135" w:themeColor="accent6" w:themeShade="BF"/>
        </w:rPr>
        <w:t xml:space="preserve"> </w:t>
      </w:r>
      <w:proofErr w:type="spellStart"/>
      <w:r w:rsidRPr="00690A16">
        <w:rPr>
          <w:rFonts w:cstheme="minorHAnsi"/>
          <w:bCs/>
          <w:color w:val="538135" w:themeColor="accent6" w:themeShade="BF"/>
        </w:rPr>
        <w:t>Pharmaceuticals</w:t>
      </w:r>
      <w:proofErr w:type="spellEnd"/>
      <w:r>
        <w:rPr>
          <w:rFonts w:cstheme="minorHAnsi"/>
          <w:bCs/>
          <w:color w:val="538135" w:themeColor="accent6" w:themeShade="BF"/>
        </w:rPr>
        <w:t xml:space="preserve">. </w:t>
      </w:r>
      <w:proofErr w:type="spellStart"/>
      <w:r>
        <w:rPr>
          <w:rFonts w:cstheme="minorHAnsi"/>
          <w:bCs/>
          <w:color w:val="538135" w:themeColor="accent6" w:themeShade="BF"/>
        </w:rPr>
        <w:t>Distr</w:t>
      </w:r>
      <w:proofErr w:type="spellEnd"/>
      <w:r>
        <w:rPr>
          <w:rFonts w:cstheme="minorHAnsi"/>
          <w:bCs/>
          <w:color w:val="538135" w:themeColor="accent6" w:themeShade="BF"/>
        </w:rPr>
        <w:t xml:space="preserve"> </w:t>
      </w:r>
      <w:proofErr w:type="spellStart"/>
      <w:r>
        <w:rPr>
          <w:rFonts w:cstheme="minorHAnsi"/>
          <w:bCs/>
          <w:color w:val="538135" w:themeColor="accent6" w:themeShade="BF"/>
        </w:rPr>
        <w:t>Swixx</w:t>
      </w:r>
      <w:proofErr w:type="spellEnd"/>
      <w:r>
        <w:rPr>
          <w:rFonts w:cstheme="minorHAnsi"/>
          <w:bCs/>
          <w:color w:val="538135" w:themeColor="accent6" w:themeShade="BF"/>
        </w:rPr>
        <w:t xml:space="preserve"> </w:t>
      </w:r>
      <w:proofErr w:type="spellStart"/>
      <w:r>
        <w:rPr>
          <w:rFonts w:cstheme="minorHAnsi"/>
          <w:bCs/>
          <w:color w:val="538135" w:themeColor="accent6" w:themeShade="BF"/>
        </w:rPr>
        <w:t>Biopharma</w:t>
      </w:r>
      <w:proofErr w:type="spellEnd"/>
    </w:p>
    <w:p w14:paraId="1DB50B88" w14:textId="77777777" w:rsidR="00690A16" w:rsidRPr="00690A16" w:rsidRDefault="00690A16" w:rsidP="00690A16">
      <w:pPr>
        <w:ind w:left="1440"/>
        <w:jc w:val="both"/>
        <w:rPr>
          <w:rFonts w:cstheme="minorHAnsi"/>
          <w:bCs/>
          <w:color w:val="538135" w:themeColor="accent6" w:themeShade="BF"/>
        </w:rPr>
      </w:pPr>
      <w:r w:rsidRPr="00690A16">
        <w:rPr>
          <w:rFonts w:cstheme="minorHAnsi"/>
          <w:bCs/>
          <w:color w:val="538135" w:themeColor="accent6" w:themeShade="BF"/>
        </w:rPr>
        <w:t>12/2020</w:t>
      </w:r>
      <w:r w:rsidRPr="00690A16">
        <w:rPr>
          <w:rFonts w:cstheme="minorHAnsi"/>
          <w:bCs/>
          <w:color w:val="538135" w:themeColor="accent6" w:themeShade="BF"/>
        </w:rPr>
        <w:tab/>
      </w:r>
      <w:proofErr w:type="spellStart"/>
      <w:r w:rsidRPr="00690A16">
        <w:rPr>
          <w:rFonts w:cstheme="minorHAnsi"/>
          <w:bCs/>
          <w:color w:val="538135" w:themeColor="accent6" w:themeShade="BF"/>
        </w:rPr>
        <w:t>AstraZeneca</w:t>
      </w:r>
      <w:proofErr w:type="spellEnd"/>
      <w:r w:rsidRPr="00690A16">
        <w:rPr>
          <w:rFonts w:cstheme="minorHAnsi"/>
          <w:bCs/>
          <w:color w:val="538135" w:themeColor="accent6" w:themeShade="BF"/>
        </w:rPr>
        <w:t xml:space="preserve"> oznámila záměr koupit </w:t>
      </w:r>
      <w:proofErr w:type="spellStart"/>
      <w:r w:rsidRPr="00690A16">
        <w:rPr>
          <w:rFonts w:cstheme="minorHAnsi"/>
          <w:bCs/>
          <w:color w:val="538135" w:themeColor="accent6" w:themeShade="BF"/>
        </w:rPr>
        <w:t>Alexion</w:t>
      </w:r>
      <w:proofErr w:type="spellEnd"/>
    </w:p>
    <w:p w14:paraId="45881F92" w14:textId="56E08A43" w:rsidR="00690A16" w:rsidRPr="00690A16" w:rsidRDefault="00690A16" w:rsidP="00690A16">
      <w:pPr>
        <w:ind w:left="1440"/>
        <w:jc w:val="both"/>
        <w:rPr>
          <w:rFonts w:cstheme="minorHAnsi"/>
          <w:bCs/>
          <w:color w:val="538135" w:themeColor="accent6" w:themeShade="BF"/>
        </w:rPr>
      </w:pPr>
      <w:r w:rsidRPr="00690A16">
        <w:rPr>
          <w:rFonts w:cstheme="minorHAnsi"/>
          <w:bCs/>
          <w:color w:val="538135" w:themeColor="accent6" w:themeShade="BF"/>
        </w:rPr>
        <w:t>7/2021</w:t>
      </w:r>
      <w:r w:rsidRPr="00690A16">
        <w:rPr>
          <w:rFonts w:cstheme="minorHAnsi"/>
          <w:bCs/>
          <w:color w:val="538135" w:themeColor="accent6" w:themeShade="BF"/>
        </w:rPr>
        <w:tab/>
      </w:r>
      <w:r>
        <w:rPr>
          <w:rFonts w:cstheme="minorHAnsi"/>
          <w:bCs/>
          <w:color w:val="538135" w:themeColor="accent6" w:themeShade="BF"/>
        </w:rPr>
        <w:t xml:space="preserve"> </w:t>
      </w:r>
      <w:r w:rsidRPr="00690A16">
        <w:rPr>
          <w:rFonts w:cstheme="minorHAnsi"/>
          <w:bCs/>
          <w:color w:val="538135" w:themeColor="accent6" w:themeShade="BF"/>
        </w:rPr>
        <w:t xml:space="preserve">Akvizice dokončena – </w:t>
      </w:r>
      <w:proofErr w:type="spellStart"/>
      <w:r w:rsidRPr="00690A16">
        <w:rPr>
          <w:rFonts w:cstheme="minorHAnsi"/>
          <w:bCs/>
          <w:color w:val="538135" w:themeColor="accent6" w:themeShade="BF"/>
        </w:rPr>
        <w:t>Alexion</w:t>
      </w:r>
      <w:proofErr w:type="spellEnd"/>
      <w:r w:rsidRPr="00690A16">
        <w:rPr>
          <w:rFonts w:cstheme="minorHAnsi"/>
          <w:bCs/>
          <w:color w:val="538135" w:themeColor="accent6" w:themeShade="BF"/>
        </w:rPr>
        <w:t xml:space="preserve"> se stal součástí </w:t>
      </w:r>
      <w:proofErr w:type="spellStart"/>
      <w:r w:rsidRPr="00690A16">
        <w:rPr>
          <w:rFonts w:cstheme="minorHAnsi"/>
          <w:bCs/>
          <w:color w:val="538135" w:themeColor="accent6" w:themeShade="BF"/>
        </w:rPr>
        <w:t>AstraZeneca</w:t>
      </w:r>
      <w:proofErr w:type="spellEnd"/>
    </w:p>
    <w:p w14:paraId="1F53FB6E" w14:textId="056E7165" w:rsidR="00690A16" w:rsidRDefault="00690A16" w:rsidP="00690A16">
      <w:pPr>
        <w:ind w:left="1440"/>
        <w:jc w:val="both"/>
        <w:rPr>
          <w:rFonts w:cstheme="minorHAnsi"/>
          <w:bCs/>
          <w:color w:val="538135" w:themeColor="accent6" w:themeShade="BF"/>
        </w:rPr>
      </w:pPr>
      <w:r w:rsidRPr="00690A16">
        <w:rPr>
          <w:rFonts w:cstheme="minorHAnsi"/>
          <w:bCs/>
          <w:color w:val="538135" w:themeColor="accent6" w:themeShade="BF"/>
        </w:rPr>
        <w:t>od 2021</w:t>
      </w:r>
      <w:r w:rsidRPr="00690A16">
        <w:rPr>
          <w:rFonts w:cstheme="minorHAnsi"/>
          <w:bCs/>
          <w:color w:val="538135" w:themeColor="accent6" w:themeShade="BF"/>
        </w:rPr>
        <w:tab/>
      </w:r>
      <w:proofErr w:type="spellStart"/>
      <w:r w:rsidRPr="00690A16">
        <w:rPr>
          <w:rFonts w:cstheme="minorHAnsi"/>
          <w:bCs/>
          <w:color w:val="538135" w:themeColor="accent6" w:themeShade="BF"/>
        </w:rPr>
        <w:t>Soliris</w:t>
      </w:r>
      <w:proofErr w:type="spellEnd"/>
      <w:r w:rsidRPr="00690A16">
        <w:rPr>
          <w:rFonts w:cstheme="minorHAnsi"/>
          <w:bCs/>
          <w:color w:val="538135" w:themeColor="accent6" w:themeShade="BF"/>
        </w:rPr>
        <w:t xml:space="preserve"> je majetkem </w:t>
      </w:r>
      <w:proofErr w:type="spellStart"/>
      <w:r w:rsidRPr="00690A16">
        <w:rPr>
          <w:rFonts w:cstheme="minorHAnsi"/>
          <w:bCs/>
          <w:color w:val="538135" w:themeColor="accent6" w:themeShade="BF"/>
        </w:rPr>
        <w:t>AstraZeneca</w:t>
      </w:r>
      <w:proofErr w:type="spellEnd"/>
      <w:r w:rsidRPr="00690A16">
        <w:rPr>
          <w:rFonts w:cstheme="minorHAnsi"/>
          <w:bCs/>
          <w:color w:val="538135" w:themeColor="accent6" w:themeShade="BF"/>
        </w:rPr>
        <w:t xml:space="preserve"> (skrze divizi </w:t>
      </w:r>
      <w:proofErr w:type="spellStart"/>
      <w:r w:rsidRPr="00690A16">
        <w:rPr>
          <w:rFonts w:cstheme="minorHAnsi"/>
          <w:bCs/>
          <w:color w:val="538135" w:themeColor="accent6" w:themeShade="BF"/>
        </w:rPr>
        <w:t>Alexion</w:t>
      </w:r>
      <w:proofErr w:type="spellEnd"/>
      <w:r w:rsidRPr="00690A16">
        <w:rPr>
          <w:rFonts w:cstheme="minorHAnsi"/>
          <w:bCs/>
          <w:color w:val="538135" w:themeColor="accent6" w:themeShade="BF"/>
        </w:rPr>
        <w:t>)</w:t>
      </w:r>
    </w:p>
    <w:p w14:paraId="7900F380" w14:textId="77777777" w:rsidR="00690A16" w:rsidRDefault="00690A16" w:rsidP="00690A16">
      <w:pPr>
        <w:ind w:left="1440"/>
        <w:jc w:val="both"/>
        <w:rPr>
          <w:rFonts w:cstheme="minorHAnsi"/>
          <w:bCs/>
          <w:color w:val="538135" w:themeColor="accent6" w:themeShade="BF"/>
        </w:rPr>
      </w:pPr>
    </w:p>
    <w:p w14:paraId="766BCD25" w14:textId="348A5E1A" w:rsidR="004B7F52" w:rsidRDefault="004B7F52" w:rsidP="004B7F52">
      <w:pPr>
        <w:numPr>
          <w:ilvl w:val="1"/>
          <w:numId w:val="5"/>
        </w:numPr>
        <w:jc w:val="both"/>
        <w:rPr>
          <w:rFonts w:cstheme="minorHAnsi"/>
          <w:bCs/>
          <w:color w:val="538135" w:themeColor="accent6" w:themeShade="BF"/>
        </w:rPr>
      </w:pPr>
      <w:r w:rsidRPr="004B7F52">
        <w:rPr>
          <w:rFonts w:cstheme="minorHAnsi"/>
          <w:bCs/>
          <w:color w:val="538135" w:themeColor="accent6" w:themeShade="BF"/>
        </w:rPr>
        <w:t xml:space="preserve">LP </w:t>
      </w:r>
      <w:proofErr w:type="spellStart"/>
      <w:r w:rsidRPr="004B7F52">
        <w:rPr>
          <w:rFonts w:cstheme="minorHAnsi"/>
          <w:bCs/>
          <w:color w:val="538135" w:themeColor="accent6" w:themeShade="BF"/>
        </w:rPr>
        <w:t>entyvio</w:t>
      </w:r>
      <w:proofErr w:type="spellEnd"/>
      <w:r w:rsidRPr="004B7F52">
        <w:rPr>
          <w:rFonts w:cstheme="minorHAnsi"/>
          <w:bCs/>
          <w:color w:val="538135" w:themeColor="accent6" w:themeShade="BF"/>
        </w:rPr>
        <w:t xml:space="preserve"> byl na trhu</w:t>
      </w:r>
      <w:r>
        <w:rPr>
          <w:rFonts w:cstheme="minorHAnsi"/>
          <w:bCs/>
          <w:color w:val="538135" w:themeColor="accent6" w:themeShade="BF"/>
        </w:rPr>
        <w:t xml:space="preserve"> poměrně </w:t>
      </w:r>
      <w:r w:rsidRPr="004B7F52">
        <w:rPr>
          <w:rFonts w:cstheme="minorHAnsi"/>
          <w:bCs/>
          <w:color w:val="538135" w:themeColor="accent6" w:themeShade="BF"/>
        </w:rPr>
        <w:t>krátce, ale zase nebyl</w:t>
      </w:r>
      <w:r>
        <w:rPr>
          <w:rFonts w:cstheme="minorHAnsi"/>
          <w:bCs/>
          <w:color w:val="538135" w:themeColor="accent6" w:themeShade="BF"/>
        </w:rPr>
        <w:t>o</w:t>
      </w:r>
      <w:r w:rsidRPr="004B7F52">
        <w:rPr>
          <w:rFonts w:cstheme="minorHAnsi"/>
          <w:bCs/>
          <w:color w:val="538135" w:themeColor="accent6" w:themeShade="BF"/>
        </w:rPr>
        <w:t xml:space="preserve"> známé přesné znění dohody o režimu tzv. DTP kanálu, který měl zástupce výrobce uzavřenou s distributorem. Navíc, jak je v protokolu uvedeno, SÚKL potvrdil, že existovalo </w:t>
      </w:r>
      <w:r>
        <w:rPr>
          <w:rFonts w:cstheme="minorHAnsi"/>
          <w:bCs/>
          <w:color w:val="538135" w:themeColor="accent6" w:themeShade="BF"/>
        </w:rPr>
        <w:t>v kontrolovaném období více dodavatelů než</w:t>
      </w:r>
      <w:r w:rsidR="008621A7">
        <w:rPr>
          <w:rFonts w:cstheme="minorHAnsi"/>
          <w:bCs/>
          <w:color w:val="538135" w:themeColor="accent6" w:themeShade="BF"/>
        </w:rPr>
        <w:t xml:space="preserve"> jen</w:t>
      </w:r>
      <w:r>
        <w:rPr>
          <w:rFonts w:cstheme="minorHAnsi"/>
          <w:bCs/>
          <w:color w:val="538135" w:themeColor="accent6" w:themeShade="BF"/>
        </w:rPr>
        <w:t xml:space="preserve"> </w:t>
      </w:r>
      <w:proofErr w:type="spellStart"/>
      <w:r>
        <w:rPr>
          <w:rFonts w:cstheme="minorHAnsi"/>
          <w:bCs/>
          <w:color w:val="538135" w:themeColor="accent6" w:themeShade="BF"/>
        </w:rPr>
        <w:t>Takedou</w:t>
      </w:r>
      <w:proofErr w:type="spellEnd"/>
      <w:r>
        <w:rPr>
          <w:rFonts w:cstheme="minorHAnsi"/>
          <w:bCs/>
          <w:color w:val="538135" w:themeColor="accent6" w:themeShade="BF"/>
        </w:rPr>
        <w:t xml:space="preserve"> popisovaný jediný dodavatel Phoenix.</w:t>
      </w:r>
    </w:p>
    <w:p w14:paraId="3B48D4CD" w14:textId="74188FA4" w:rsidR="00690A16" w:rsidRDefault="00690A16" w:rsidP="00690A16">
      <w:pPr>
        <w:ind w:left="1440"/>
        <w:jc w:val="both"/>
        <w:rPr>
          <w:rFonts w:cstheme="minorHAnsi"/>
          <w:bCs/>
          <w:color w:val="538135" w:themeColor="accent6" w:themeShade="BF"/>
        </w:rPr>
      </w:pPr>
    </w:p>
    <w:p w14:paraId="6D4B783E" w14:textId="77777777" w:rsidR="00690A16" w:rsidRPr="004B7F52" w:rsidRDefault="00690A16" w:rsidP="00690A16">
      <w:pPr>
        <w:ind w:left="1440"/>
        <w:jc w:val="both"/>
        <w:rPr>
          <w:rFonts w:cstheme="minorHAnsi"/>
          <w:bCs/>
          <w:color w:val="538135" w:themeColor="accent6" w:themeShade="BF"/>
        </w:rPr>
      </w:pPr>
    </w:p>
    <w:p w14:paraId="64A364AA" w14:textId="7AC89B11" w:rsidR="004B7F52" w:rsidRPr="004B7F52" w:rsidRDefault="004B7F52" w:rsidP="004B7F52">
      <w:pPr>
        <w:numPr>
          <w:ilvl w:val="1"/>
          <w:numId w:val="5"/>
        </w:numPr>
        <w:jc w:val="both"/>
        <w:rPr>
          <w:rFonts w:cstheme="minorHAnsi"/>
          <w:bCs/>
          <w:color w:val="000000" w:themeColor="text1"/>
          <w:highlight w:val="yellow"/>
        </w:rPr>
      </w:pPr>
      <w:r w:rsidRPr="004B7F52">
        <w:rPr>
          <w:rFonts w:cstheme="minorHAnsi"/>
          <w:bCs/>
          <w:color w:val="000000" w:themeColor="text1"/>
          <w:highlight w:val="yellow"/>
        </w:rPr>
        <w:lastRenderedPageBreak/>
        <w:t>§ 64 ZZVZ (výjimka pro mimořádnou naléhavost — např. krizový stav, ohrožení života pacientů</w:t>
      </w:r>
      <w:proofErr w:type="gramStart"/>
      <w:r w:rsidRPr="004B7F52">
        <w:rPr>
          <w:rFonts w:cstheme="minorHAnsi"/>
          <w:bCs/>
          <w:color w:val="000000" w:themeColor="text1"/>
          <w:highlight w:val="yellow"/>
        </w:rPr>
        <w:t>).</w:t>
      </w:r>
      <w:r>
        <w:rPr>
          <w:rFonts w:cstheme="minorHAnsi"/>
          <w:bCs/>
          <w:color w:val="000000" w:themeColor="text1"/>
          <w:highlight w:val="yellow"/>
        </w:rPr>
        <w:t>-</w:t>
      </w:r>
      <w:proofErr w:type="gramEnd"/>
      <w:r>
        <w:rPr>
          <w:rFonts w:cstheme="minorHAnsi"/>
          <w:bCs/>
          <w:color w:val="000000" w:themeColor="text1"/>
          <w:highlight w:val="yellow"/>
        </w:rPr>
        <w:t xml:space="preserve"> </w:t>
      </w:r>
      <w:r w:rsidR="008621A7" w:rsidRPr="008621A7">
        <w:rPr>
          <w:rFonts w:cstheme="minorHAnsi"/>
          <w:bCs/>
          <w:color w:val="538135" w:themeColor="accent6" w:themeShade="BF"/>
        </w:rPr>
        <w:t xml:space="preserve">šlo to předvídat </w:t>
      </w:r>
      <w:r w:rsidR="00C906A5">
        <w:rPr>
          <w:rFonts w:cstheme="minorHAnsi"/>
          <w:bCs/>
          <w:color w:val="538135" w:themeColor="accent6" w:themeShade="BF"/>
        </w:rPr>
        <w:t xml:space="preserve">- </w:t>
      </w:r>
      <w:r w:rsidR="008621A7" w:rsidRPr="008621A7">
        <w:rPr>
          <w:rFonts w:cstheme="minorHAnsi"/>
          <w:bCs/>
          <w:color w:val="538135" w:themeColor="accent6" w:themeShade="BF"/>
        </w:rPr>
        <w:t>chronické onemocnění</w:t>
      </w:r>
    </w:p>
    <w:p w14:paraId="6127D6AA" w14:textId="72307591" w:rsidR="00C906A5" w:rsidRPr="00C906A5" w:rsidRDefault="004B7F52" w:rsidP="00C906A5">
      <w:pPr>
        <w:pStyle w:val="Odstavecseseznamem"/>
        <w:numPr>
          <w:ilvl w:val="0"/>
          <w:numId w:val="9"/>
        </w:numPr>
        <w:jc w:val="both"/>
        <w:rPr>
          <w:rFonts w:cstheme="minorHAnsi"/>
          <w:bCs/>
          <w:color w:val="538135" w:themeColor="accent6" w:themeShade="BF"/>
        </w:rPr>
      </w:pPr>
      <w:r w:rsidRPr="00C906A5">
        <w:rPr>
          <w:rFonts w:cstheme="minorHAnsi"/>
          <w:bCs/>
          <w:color w:val="000000" w:themeColor="text1"/>
        </w:rPr>
        <w:t xml:space="preserve">Nákupy přes centrální zadavatele nebo rámcové dohody. </w:t>
      </w:r>
      <w:r w:rsidRPr="00C906A5">
        <w:rPr>
          <w:rFonts w:cstheme="minorHAnsi"/>
          <w:bCs/>
          <w:color w:val="538135" w:themeColor="accent6" w:themeShade="BF"/>
        </w:rPr>
        <w:t>Centralizace v současnosti neexistuje. Rámcová dohoda</w:t>
      </w:r>
      <w:r w:rsidR="00C906A5" w:rsidRPr="00C906A5">
        <w:rPr>
          <w:rFonts w:cstheme="minorHAnsi"/>
          <w:bCs/>
          <w:color w:val="538135" w:themeColor="accent6" w:themeShade="BF"/>
        </w:rPr>
        <w:t>, když je jeden dodavatel</w:t>
      </w:r>
      <w:r w:rsidRPr="00C906A5">
        <w:rPr>
          <w:rFonts w:cstheme="minorHAnsi"/>
          <w:bCs/>
          <w:color w:val="538135" w:themeColor="accent6" w:themeShade="BF"/>
        </w:rPr>
        <w:t>??</w:t>
      </w:r>
      <w:r w:rsidR="00C906A5" w:rsidRPr="00C906A5">
        <w:rPr>
          <w:rFonts w:ascii="Times New Roman" w:eastAsia="Times New Roman" w:hAnsi="Times New Roman" w:cs="Times New Roman"/>
          <w:sz w:val="24"/>
          <w:szCs w:val="24"/>
          <w:lang w:eastAsia="cs-CZ"/>
        </w:rPr>
        <w:t xml:space="preserve"> </w:t>
      </w:r>
      <w:r w:rsidR="00C906A5" w:rsidRPr="00C906A5">
        <w:rPr>
          <w:rFonts w:cstheme="minorHAnsi"/>
          <w:bCs/>
          <w:color w:val="538135" w:themeColor="accent6" w:themeShade="BF"/>
        </w:rPr>
        <w:t>V oblasti nemocnic se rámcové dohody běžně používají např. na: běžná cytostatika, antibiotika, infuzní roztoky – to není tento případ.</w:t>
      </w:r>
    </w:p>
    <w:p w14:paraId="6B59C232" w14:textId="45986259" w:rsidR="004B7F52" w:rsidRPr="004B7F52" w:rsidRDefault="004B7F52" w:rsidP="00C906A5">
      <w:pPr>
        <w:ind w:left="720"/>
        <w:jc w:val="both"/>
        <w:rPr>
          <w:rFonts w:cstheme="minorHAnsi"/>
          <w:bCs/>
          <w:color w:val="538135" w:themeColor="accent6" w:themeShade="BF"/>
        </w:rPr>
      </w:pPr>
    </w:p>
    <w:p w14:paraId="6D7BDC57" w14:textId="2E59BC34" w:rsidR="004B7F52" w:rsidRPr="00C906A5" w:rsidRDefault="004B7F52" w:rsidP="00C906A5">
      <w:pPr>
        <w:pStyle w:val="Odstavecseseznamem"/>
        <w:numPr>
          <w:ilvl w:val="0"/>
          <w:numId w:val="9"/>
        </w:numPr>
        <w:jc w:val="both"/>
        <w:rPr>
          <w:rFonts w:cstheme="minorHAnsi"/>
          <w:bCs/>
          <w:color w:val="000000" w:themeColor="text1"/>
        </w:rPr>
      </w:pPr>
      <w:r w:rsidRPr="00C906A5">
        <w:rPr>
          <w:rFonts w:cstheme="minorHAnsi"/>
          <w:bCs/>
          <w:color w:val="000000" w:themeColor="text1"/>
        </w:rPr>
        <w:t xml:space="preserve">Dělení na samostatné zakázky jen v případech, kdy to má objektivní důvody (nesmí být účelové obcházení limitu). </w:t>
      </w:r>
      <w:r w:rsidRPr="00C906A5">
        <w:rPr>
          <w:rFonts w:cstheme="minorHAnsi"/>
          <w:bCs/>
          <w:color w:val="538135" w:themeColor="accent6" w:themeShade="BF"/>
        </w:rPr>
        <w:t>(Porušení směrnice)</w:t>
      </w:r>
    </w:p>
    <w:p w14:paraId="5089F1EE" w14:textId="77777777" w:rsidR="00C906A5" w:rsidRDefault="00C906A5" w:rsidP="00C906A5">
      <w:pPr>
        <w:pStyle w:val="Odstavecseseznamem"/>
        <w:rPr>
          <w:rFonts w:cstheme="minorHAnsi"/>
          <w:bCs/>
          <w:color w:val="000000" w:themeColor="text1"/>
        </w:rPr>
      </w:pPr>
    </w:p>
    <w:p w14:paraId="20FE22CE" w14:textId="57132109" w:rsidR="00C906A5" w:rsidRDefault="00C906A5" w:rsidP="00C906A5">
      <w:pPr>
        <w:jc w:val="both"/>
        <w:rPr>
          <w:rFonts w:cstheme="minorHAnsi"/>
          <w:bCs/>
          <w:color w:val="000000" w:themeColor="text1"/>
        </w:rPr>
      </w:pPr>
    </w:p>
    <w:p w14:paraId="75227945" w14:textId="77777777" w:rsidR="008621A7" w:rsidRPr="008621A7" w:rsidRDefault="008621A7" w:rsidP="00C906A5">
      <w:pPr>
        <w:numPr>
          <w:ilvl w:val="0"/>
          <w:numId w:val="9"/>
        </w:numPr>
        <w:jc w:val="both"/>
        <w:rPr>
          <w:rFonts w:cstheme="minorHAnsi"/>
          <w:bCs/>
          <w:color w:val="538135" w:themeColor="accent6" w:themeShade="BF"/>
        </w:rPr>
      </w:pPr>
      <w:r w:rsidRPr="008621A7">
        <w:rPr>
          <w:rFonts w:cstheme="minorHAnsi"/>
          <w:b/>
          <w:bCs/>
          <w:color w:val="538135" w:themeColor="accent6" w:themeShade="BF"/>
        </w:rPr>
        <w:t>§ 13 ZZVZ</w:t>
      </w:r>
      <w:r w:rsidRPr="008621A7">
        <w:rPr>
          <w:rFonts w:cstheme="minorHAnsi"/>
          <w:bCs/>
          <w:color w:val="538135" w:themeColor="accent6" w:themeShade="BF"/>
        </w:rPr>
        <w:t xml:space="preserve"> říká, že některé zakázky </w:t>
      </w:r>
      <w:r w:rsidRPr="008621A7">
        <w:rPr>
          <w:rFonts w:cstheme="minorHAnsi"/>
          <w:b/>
          <w:bCs/>
          <w:color w:val="538135" w:themeColor="accent6" w:themeShade="BF"/>
        </w:rPr>
        <w:t>vůbec nepodléhají režimu zákona</w:t>
      </w:r>
      <w:r w:rsidRPr="008621A7">
        <w:rPr>
          <w:rFonts w:cstheme="minorHAnsi"/>
          <w:bCs/>
          <w:color w:val="538135" w:themeColor="accent6" w:themeShade="BF"/>
        </w:rPr>
        <w:t>, pokud:</w:t>
      </w:r>
    </w:p>
    <w:p w14:paraId="469333FE" w14:textId="55F03230" w:rsidR="008621A7" w:rsidRPr="00C906A5" w:rsidRDefault="008621A7" w:rsidP="00C906A5">
      <w:pPr>
        <w:pStyle w:val="Odstavecseseznamem"/>
        <w:numPr>
          <w:ilvl w:val="2"/>
          <w:numId w:val="5"/>
        </w:numPr>
        <w:jc w:val="both"/>
        <w:rPr>
          <w:rFonts w:cstheme="minorHAnsi"/>
          <w:bCs/>
          <w:color w:val="538135" w:themeColor="accent6" w:themeShade="BF"/>
        </w:rPr>
      </w:pPr>
      <w:r w:rsidRPr="00C906A5">
        <w:rPr>
          <w:rFonts w:cstheme="minorHAnsi"/>
          <w:bCs/>
          <w:color w:val="538135" w:themeColor="accent6" w:themeShade="BF"/>
        </w:rPr>
        <w:t>předmět zakázky spadá do zvláštní výjimky,</w:t>
      </w:r>
    </w:p>
    <w:p w14:paraId="452112AE" w14:textId="5DBA212E" w:rsidR="008621A7" w:rsidRPr="00C906A5" w:rsidRDefault="00C906A5" w:rsidP="00C906A5">
      <w:pPr>
        <w:pStyle w:val="Odstavecseseznamem"/>
        <w:numPr>
          <w:ilvl w:val="2"/>
          <w:numId w:val="5"/>
        </w:numPr>
        <w:jc w:val="both"/>
        <w:rPr>
          <w:rFonts w:cstheme="minorHAnsi"/>
          <w:bCs/>
          <w:color w:val="538135" w:themeColor="accent6" w:themeShade="BF"/>
          <w:highlight w:val="yellow"/>
        </w:rPr>
      </w:pPr>
      <w:r w:rsidRPr="00C906A5">
        <w:rPr>
          <w:rFonts w:cstheme="minorHAnsi"/>
          <w:bCs/>
          <w:color w:val="538135" w:themeColor="accent6" w:themeShade="BF"/>
        </w:rPr>
        <w:t>jde o</w:t>
      </w:r>
      <w:r w:rsidR="008621A7" w:rsidRPr="00C906A5">
        <w:rPr>
          <w:rFonts w:cstheme="minorHAnsi"/>
          <w:b/>
          <w:bCs/>
          <w:color w:val="538135" w:themeColor="accent6" w:themeShade="BF"/>
          <w:highlight w:val="yellow"/>
        </w:rPr>
        <w:t xml:space="preserve"> specifické případy ve zdravotnictví</w:t>
      </w:r>
      <w:r w:rsidR="008621A7" w:rsidRPr="00C906A5">
        <w:rPr>
          <w:rFonts w:cstheme="minorHAnsi"/>
          <w:bCs/>
          <w:color w:val="538135" w:themeColor="accent6" w:themeShade="BF"/>
          <w:highlight w:val="yellow"/>
        </w:rPr>
        <w:t>.</w:t>
      </w:r>
    </w:p>
    <w:p w14:paraId="20D66691" w14:textId="57F4D771" w:rsidR="008621A7" w:rsidRPr="00C906A5" w:rsidRDefault="008621A7" w:rsidP="00C906A5">
      <w:pPr>
        <w:pStyle w:val="Odstavecseseznamem"/>
        <w:numPr>
          <w:ilvl w:val="2"/>
          <w:numId w:val="5"/>
        </w:numPr>
        <w:jc w:val="both"/>
        <w:rPr>
          <w:rFonts w:cstheme="minorHAnsi"/>
          <w:bCs/>
          <w:color w:val="538135" w:themeColor="accent6" w:themeShade="BF"/>
        </w:rPr>
      </w:pPr>
      <w:r w:rsidRPr="00C906A5">
        <w:rPr>
          <w:rFonts w:cstheme="minorHAnsi"/>
          <w:bCs/>
          <w:color w:val="538135" w:themeColor="accent6" w:themeShade="BF"/>
        </w:rPr>
        <w:t xml:space="preserve">U zdravotnických zakázek je důležitá </w:t>
      </w:r>
      <w:r w:rsidRPr="00C906A5">
        <w:rPr>
          <w:rFonts w:cstheme="minorHAnsi"/>
          <w:b/>
          <w:bCs/>
          <w:color w:val="538135" w:themeColor="accent6" w:themeShade="BF"/>
        </w:rPr>
        <w:t>výjimka podle § 13 odst. 1 písm. b)</w:t>
      </w:r>
      <w:r w:rsidRPr="00C906A5">
        <w:rPr>
          <w:rFonts w:cstheme="minorHAnsi"/>
          <w:bCs/>
          <w:color w:val="538135" w:themeColor="accent6" w:themeShade="BF"/>
        </w:rPr>
        <w:t>:</w:t>
      </w:r>
    </w:p>
    <w:p w14:paraId="63B01959" w14:textId="220CB632" w:rsidR="008621A7" w:rsidRPr="00C906A5" w:rsidRDefault="008621A7" w:rsidP="00C906A5">
      <w:pPr>
        <w:pStyle w:val="Odstavecseseznamem"/>
        <w:numPr>
          <w:ilvl w:val="2"/>
          <w:numId w:val="5"/>
        </w:numPr>
        <w:jc w:val="both"/>
        <w:rPr>
          <w:rFonts w:cstheme="minorHAnsi"/>
          <w:bCs/>
          <w:color w:val="538135" w:themeColor="accent6" w:themeShade="BF"/>
        </w:rPr>
      </w:pPr>
      <w:r w:rsidRPr="00C906A5">
        <w:rPr>
          <w:rFonts w:cstheme="minorHAnsi"/>
          <w:bCs/>
          <w:color w:val="538135" w:themeColor="accent6" w:themeShade="BF"/>
        </w:rPr>
        <w:t xml:space="preserve">zákon </w:t>
      </w:r>
      <w:r w:rsidRPr="00C906A5">
        <w:rPr>
          <w:rFonts w:cstheme="minorHAnsi"/>
          <w:b/>
          <w:bCs/>
          <w:color w:val="538135" w:themeColor="accent6" w:themeShade="BF"/>
        </w:rPr>
        <w:t>se nepoužije</w:t>
      </w:r>
      <w:r w:rsidRPr="00C906A5">
        <w:rPr>
          <w:rFonts w:cstheme="minorHAnsi"/>
          <w:bCs/>
          <w:color w:val="538135" w:themeColor="accent6" w:themeShade="BF"/>
        </w:rPr>
        <w:t xml:space="preserve">, pokud by použití ZZVZ </w:t>
      </w:r>
      <w:r w:rsidRPr="00C906A5">
        <w:rPr>
          <w:rFonts w:cstheme="minorHAnsi"/>
          <w:b/>
          <w:bCs/>
          <w:color w:val="538135" w:themeColor="accent6" w:themeShade="BF"/>
        </w:rPr>
        <w:t>narušilo schopnost veřejného zadavatele</w:t>
      </w:r>
      <w:r w:rsidRPr="00C906A5">
        <w:rPr>
          <w:rFonts w:cstheme="minorHAnsi"/>
          <w:bCs/>
          <w:color w:val="538135" w:themeColor="accent6" w:themeShade="BF"/>
        </w:rPr>
        <w:t xml:space="preserve"> poskytnout </w:t>
      </w:r>
      <w:r w:rsidRPr="00C906A5">
        <w:rPr>
          <w:rFonts w:cstheme="minorHAnsi"/>
          <w:b/>
          <w:bCs/>
          <w:color w:val="538135" w:themeColor="accent6" w:themeShade="BF"/>
        </w:rPr>
        <w:t>nezbytnou zdravotní péči</w:t>
      </w:r>
      <w:r w:rsidRPr="00C906A5">
        <w:rPr>
          <w:rFonts w:cstheme="minorHAnsi"/>
          <w:bCs/>
          <w:color w:val="538135" w:themeColor="accent6" w:themeShade="BF"/>
        </w:rPr>
        <w:t>.</w:t>
      </w:r>
      <w:r w:rsidRPr="008621A7">
        <w:t xml:space="preserve"> </w:t>
      </w:r>
      <w:r>
        <w:t xml:space="preserve">Zadávání </w:t>
      </w:r>
      <w:r>
        <w:rPr>
          <w:rStyle w:val="Siln"/>
        </w:rPr>
        <w:t>se řídí občanským zákoníkem</w:t>
      </w:r>
      <w:r>
        <w:t xml:space="preserve"> (ZZVZ se vůbec nepoužije)</w:t>
      </w:r>
    </w:p>
    <w:p w14:paraId="434C9F23" w14:textId="588B4CA9" w:rsidR="008621A7" w:rsidRPr="00C906A5" w:rsidRDefault="00C906A5" w:rsidP="00C906A5">
      <w:pPr>
        <w:pStyle w:val="Odstavecseseznamem"/>
        <w:numPr>
          <w:ilvl w:val="2"/>
          <w:numId w:val="5"/>
        </w:numPr>
        <w:jc w:val="both"/>
        <w:rPr>
          <w:rFonts w:cstheme="minorHAnsi"/>
          <w:bCs/>
          <w:color w:val="538135" w:themeColor="accent6" w:themeShade="BF"/>
        </w:rPr>
      </w:pPr>
      <w:r>
        <w:rPr>
          <w:rFonts w:cstheme="minorHAnsi"/>
          <w:b/>
          <w:bCs/>
          <w:color w:val="538135" w:themeColor="accent6" w:themeShade="BF"/>
        </w:rPr>
        <w:t>t</w:t>
      </w:r>
      <w:r w:rsidR="008621A7" w:rsidRPr="00C906A5">
        <w:rPr>
          <w:rFonts w:cstheme="minorHAnsi"/>
          <w:b/>
          <w:bCs/>
          <w:color w:val="538135" w:themeColor="accent6" w:themeShade="BF"/>
        </w:rPr>
        <w:t>ext § 13 odst. 1 písm. b):</w:t>
      </w:r>
    </w:p>
    <w:p w14:paraId="6D81CA3E" w14:textId="67EBD1F5" w:rsidR="008621A7" w:rsidRPr="00C906A5" w:rsidRDefault="008621A7" w:rsidP="00C906A5">
      <w:pPr>
        <w:pStyle w:val="Odstavecseseznamem"/>
        <w:numPr>
          <w:ilvl w:val="2"/>
          <w:numId w:val="5"/>
        </w:numPr>
        <w:jc w:val="both"/>
        <w:rPr>
          <w:rFonts w:cstheme="minorHAnsi"/>
          <w:bCs/>
          <w:color w:val="538135" w:themeColor="accent6" w:themeShade="BF"/>
        </w:rPr>
      </w:pPr>
      <w:r w:rsidRPr="00C906A5">
        <w:rPr>
          <w:rFonts w:cstheme="minorHAnsi"/>
          <w:bCs/>
          <w:color w:val="538135" w:themeColor="accent6" w:themeShade="BF"/>
        </w:rPr>
        <w:t>Zákon se nepoužije na zadávání veřejných zakázek, jejichž předmětem je pořízení zboží, služeb nebo stavebních prací, pokud by použití tohoto zákona narušilo schopnost veřejného zadavatele poskytnout zdravotní péči odpovídající jeho zákonným povinnostem.</w:t>
      </w:r>
    </w:p>
    <w:p w14:paraId="7BD7E5A6" w14:textId="054580E8" w:rsidR="004B7F52" w:rsidRPr="00C906A5" w:rsidRDefault="004B7F52" w:rsidP="00C906A5">
      <w:pPr>
        <w:pStyle w:val="Odstavecseseznamem"/>
        <w:numPr>
          <w:ilvl w:val="2"/>
          <w:numId w:val="5"/>
        </w:numPr>
        <w:jc w:val="both"/>
        <w:rPr>
          <w:rFonts w:cstheme="minorHAnsi"/>
          <w:b/>
          <w:bCs/>
          <w:color w:val="538135" w:themeColor="accent6" w:themeShade="BF"/>
          <w:sz w:val="28"/>
          <w:szCs w:val="28"/>
          <w:u w:val="single"/>
        </w:rPr>
      </w:pPr>
      <w:r w:rsidRPr="00C906A5">
        <w:rPr>
          <w:color w:val="538135" w:themeColor="accent6" w:themeShade="BF"/>
        </w:rPr>
        <w:t xml:space="preserve">výpadek by vedl k bezprostřednímu ohrožení zdraví pacientů podstupujících </w:t>
      </w:r>
      <w:proofErr w:type="spellStart"/>
      <w:r w:rsidR="008621A7" w:rsidRPr="00C906A5">
        <w:rPr>
          <w:color w:val="538135" w:themeColor="accent6" w:themeShade="BF"/>
        </w:rPr>
        <w:t>XXXXXXXX</w:t>
      </w:r>
      <w:r w:rsidRPr="00C906A5">
        <w:rPr>
          <w:color w:val="538135" w:themeColor="accent6" w:themeShade="BF"/>
        </w:rPr>
        <w:t>ickou</w:t>
      </w:r>
      <w:proofErr w:type="spellEnd"/>
      <w:r w:rsidRPr="00C906A5">
        <w:rPr>
          <w:color w:val="538135" w:themeColor="accent6" w:themeShade="BF"/>
        </w:rPr>
        <w:t xml:space="preserve"> léčbu. Vzhledem k absenci alternativních zdrojů na trhu a nemožnosti vypsat otevřené řízení v nezbytném čase byl přímo osloven dodavatel ZY, který disponoval okamžitými skladovými zásobami.</w:t>
      </w:r>
    </w:p>
    <w:p w14:paraId="6525521D" w14:textId="7D7C8ECC" w:rsidR="001F6DE0" w:rsidRPr="00C906A5" w:rsidRDefault="008621A7" w:rsidP="00CB5913">
      <w:pPr>
        <w:pStyle w:val="Odstavecseseznamem"/>
        <w:numPr>
          <w:ilvl w:val="2"/>
          <w:numId w:val="5"/>
        </w:numPr>
        <w:jc w:val="both"/>
        <w:rPr>
          <w:rFonts w:cstheme="minorHAnsi"/>
          <w:bCs/>
          <w:color w:val="538135" w:themeColor="accent6" w:themeShade="BF"/>
        </w:rPr>
      </w:pPr>
      <w:r w:rsidRPr="00C906A5">
        <w:rPr>
          <w:rFonts w:cstheme="minorHAnsi"/>
          <w:bCs/>
          <w:color w:val="538135" w:themeColor="accent6" w:themeShade="BF"/>
        </w:rPr>
        <w:t>Mezidobí vzniklo vinou administrativních průtah</w:t>
      </w:r>
      <w:r w:rsidR="00283F42" w:rsidRPr="00C906A5">
        <w:rPr>
          <w:rFonts w:cstheme="minorHAnsi"/>
          <w:bCs/>
          <w:color w:val="538135" w:themeColor="accent6" w:themeShade="BF"/>
        </w:rPr>
        <w:t>ů</w:t>
      </w:r>
      <w:r w:rsidRPr="00C906A5">
        <w:rPr>
          <w:rFonts w:cstheme="minorHAnsi"/>
          <w:bCs/>
          <w:color w:val="538135" w:themeColor="accent6" w:themeShade="BF"/>
        </w:rPr>
        <w:t xml:space="preserve"> mezi sdruženými zadavateli.</w:t>
      </w:r>
      <w:r w:rsidR="00283F42" w:rsidRPr="00C906A5">
        <w:rPr>
          <w:color w:val="538135" w:themeColor="accent6" w:themeShade="BF"/>
        </w:rPr>
        <w:t xml:space="preserve"> A </w:t>
      </w:r>
      <w:r w:rsidR="00283F42" w:rsidRPr="00C906A5">
        <w:rPr>
          <w:rFonts w:cstheme="minorHAnsi"/>
          <w:bCs/>
          <w:color w:val="538135" w:themeColor="accent6" w:themeShade="BF"/>
        </w:rPr>
        <w:t>běžný postup by nebyl možný kvůli časovému tlaku</w:t>
      </w:r>
      <w:r w:rsidR="00460ADE" w:rsidRPr="00C906A5">
        <w:rPr>
          <w:rFonts w:cstheme="minorHAnsi"/>
          <w:bCs/>
          <w:color w:val="538135" w:themeColor="accent6" w:themeShade="BF"/>
        </w:rPr>
        <w:t>.</w:t>
      </w:r>
    </w:p>
    <w:sectPr w:rsidR="001F6DE0" w:rsidRPr="00C90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4E8"/>
    <w:multiLevelType w:val="multilevel"/>
    <w:tmpl w:val="311E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C0737"/>
    <w:multiLevelType w:val="hybridMultilevel"/>
    <w:tmpl w:val="5F12B6E0"/>
    <w:lvl w:ilvl="0" w:tplc="E758D26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155272C"/>
    <w:multiLevelType w:val="multilevel"/>
    <w:tmpl w:val="F5821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D4F1F"/>
    <w:multiLevelType w:val="multilevel"/>
    <w:tmpl w:val="2C52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05C69"/>
    <w:multiLevelType w:val="multilevel"/>
    <w:tmpl w:val="F2D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02BE5"/>
    <w:multiLevelType w:val="multilevel"/>
    <w:tmpl w:val="73E8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4029F"/>
    <w:multiLevelType w:val="hybridMultilevel"/>
    <w:tmpl w:val="92E4B9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6DDC65E5"/>
    <w:multiLevelType w:val="multilevel"/>
    <w:tmpl w:val="AC4E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E46DB"/>
    <w:multiLevelType w:val="hybridMultilevel"/>
    <w:tmpl w:val="E8B61BA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D667BFC"/>
    <w:multiLevelType w:val="multilevel"/>
    <w:tmpl w:val="815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7"/>
  </w:num>
  <w:num w:numId="5">
    <w:abstractNumId w:val="2"/>
  </w:num>
  <w:num w:numId="6">
    <w:abstractNumId w:val="0"/>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F0"/>
    <w:rsid w:val="000573FE"/>
    <w:rsid w:val="000C0222"/>
    <w:rsid w:val="000D3233"/>
    <w:rsid w:val="000D7817"/>
    <w:rsid w:val="000F51EB"/>
    <w:rsid w:val="00111ABF"/>
    <w:rsid w:val="0013179A"/>
    <w:rsid w:val="0014756B"/>
    <w:rsid w:val="00153FBA"/>
    <w:rsid w:val="00157E64"/>
    <w:rsid w:val="00160376"/>
    <w:rsid w:val="00160AA3"/>
    <w:rsid w:val="001A7FF9"/>
    <w:rsid w:val="001B2DFA"/>
    <w:rsid w:val="001F6DE0"/>
    <w:rsid w:val="0021554C"/>
    <w:rsid w:val="002170E6"/>
    <w:rsid w:val="002507FA"/>
    <w:rsid w:val="00262E47"/>
    <w:rsid w:val="00264180"/>
    <w:rsid w:val="00276F8E"/>
    <w:rsid w:val="00283F42"/>
    <w:rsid w:val="002F2B70"/>
    <w:rsid w:val="003020BE"/>
    <w:rsid w:val="00305E01"/>
    <w:rsid w:val="003176B5"/>
    <w:rsid w:val="00341BC6"/>
    <w:rsid w:val="00341DE5"/>
    <w:rsid w:val="003A3A42"/>
    <w:rsid w:val="003A73E5"/>
    <w:rsid w:val="003E0226"/>
    <w:rsid w:val="003E26E7"/>
    <w:rsid w:val="003E45BE"/>
    <w:rsid w:val="003E67EB"/>
    <w:rsid w:val="00400E85"/>
    <w:rsid w:val="004165B5"/>
    <w:rsid w:val="00427798"/>
    <w:rsid w:val="00427A7D"/>
    <w:rsid w:val="00452176"/>
    <w:rsid w:val="00460ADE"/>
    <w:rsid w:val="004860E1"/>
    <w:rsid w:val="004A10F5"/>
    <w:rsid w:val="004A135C"/>
    <w:rsid w:val="004A7933"/>
    <w:rsid w:val="004B7F52"/>
    <w:rsid w:val="004C5ADA"/>
    <w:rsid w:val="004E0B6F"/>
    <w:rsid w:val="004E157C"/>
    <w:rsid w:val="004E7FA0"/>
    <w:rsid w:val="004F2537"/>
    <w:rsid w:val="00504466"/>
    <w:rsid w:val="005057ED"/>
    <w:rsid w:val="00543029"/>
    <w:rsid w:val="00544D25"/>
    <w:rsid w:val="005525DE"/>
    <w:rsid w:val="005535A8"/>
    <w:rsid w:val="005B0B5F"/>
    <w:rsid w:val="005E5A8B"/>
    <w:rsid w:val="00611888"/>
    <w:rsid w:val="006221C2"/>
    <w:rsid w:val="006242DF"/>
    <w:rsid w:val="00633DF7"/>
    <w:rsid w:val="00645019"/>
    <w:rsid w:val="00654E25"/>
    <w:rsid w:val="00661594"/>
    <w:rsid w:val="00671C89"/>
    <w:rsid w:val="00690A16"/>
    <w:rsid w:val="00694D3F"/>
    <w:rsid w:val="006A2B53"/>
    <w:rsid w:val="006B345D"/>
    <w:rsid w:val="006D4375"/>
    <w:rsid w:val="00724E13"/>
    <w:rsid w:val="00737650"/>
    <w:rsid w:val="00771045"/>
    <w:rsid w:val="00780824"/>
    <w:rsid w:val="007A3030"/>
    <w:rsid w:val="007B2C14"/>
    <w:rsid w:val="007C315E"/>
    <w:rsid w:val="007C68CF"/>
    <w:rsid w:val="007E1CD7"/>
    <w:rsid w:val="007F6C7D"/>
    <w:rsid w:val="0080206A"/>
    <w:rsid w:val="00802888"/>
    <w:rsid w:val="008231E1"/>
    <w:rsid w:val="008262F8"/>
    <w:rsid w:val="008354F6"/>
    <w:rsid w:val="0084573E"/>
    <w:rsid w:val="008621A7"/>
    <w:rsid w:val="00896817"/>
    <w:rsid w:val="008C11D5"/>
    <w:rsid w:val="008C1FA0"/>
    <w:rsid w:val="008C2866"/>
    <w:rsid w:val="008E23CB"/>
    <w:rsid w:val="008E5614"/>
    <w:rsid w:val="00941923"/>
    <w:rsid w:val="0094303B"/>
    <w:rsid w:val="00947049"/>
    <w:rsid w:val="0096142E"/>
    <w:rsid w:val="00967061"/>
    <w:rsid w:val="00975C10"/>
    <w:rsid w:val="009A3C89"/>
    <w:rsid w:val="009F0BC4"/>
    <w:rsid w:val="00A14489"/>
    <w:rsid w:val="00A51230"/>
    <w:rsid w:val="00A73326"/>
    <w:rsid w:val="00A752E5"/>
    <w:rsid w:val="00AB2586"/>
    <w:rsid w:val="00AB3BAF"/>
    <w:rsid w:val="00AC1CB5"/>
    <w:rsid w:val="00AD36F0"/>
    <w:rsid w:val="00AE44E3"/>
    <w:rsid w:val="00AF6792"/>
    <w:rsid w:val="00AF70C7"/>
    <w:rsid w:val="00B27771"/>
    <w:rsid w:val="00B3321F"/>
    <w:rsid w:val="00B40DE8"/>
    <w:rsid w:val="00B633A4"/>
    <w:rsid w:val="00BA1A4A"/>
    <w:rsid w:val="00BA30DA"/>
    <w:rsid w:val="00BB420E"/>
    <w:rsid w:val="00BB4975"/>
    <w:rsid w:val="00BC3A97"/>
    <w:rsid w:val="00C1610A"/>
    <w:rsid w:val="00C24F76"/>
    <w:rsid w:val="00C906A5"/>
    <w:rsid w:val="00CA3CD1"/>
    <w:rsid w:val="00CB3DFD"/>
    <w:rsid w:val="00CD45E3"/>
    <w:rsid w:val="00CF4163"/>
    <w:rsid w:val="00D03521"/>
    <w:rsid w:val="00D21B88"/>
    <w:rsid w:val="00D21F48"/>
    <w:rsid w:val="00D41961"/>
    <w:rsid w:val="00D47955"/>
    <w:rsid w:val="00D60EA6"/>
    <w:rsid w:val="00D75C91"/>
    <w:rsid w:val="00D819EE"/>
    <w:rsid w:val="00D95108"/>
    <w:rsid w:val="00DD3709"/>
    <w:rsid w:val="00E72B4E"/>
    <w:rsid w:val="00EA6100"/>
    <w:rsid w:val="00EA7EC1"/>
    <w:rsid w:val="00EC60A7"/>
    <w:rsid w:val="00ED1492"/>
    <w:rsid w:val="00EF7CC1"/>
    <w:rsid w:val="00F71693"/>
    <w:rsid w:val="00F77CA0"/>
    <w:rsid w:val="00F92F8B"/>
    <w:rsid w:val="00F95CB9"/>
    <w:rsid w:val="00FB1DA4"/>
    <w:rsid w:val="00FC0911"/>
    <w:rsid w:val="00FC6A11"/>
    <w:rsid w:val="00FD0186"/>
    <w:rsid w:val="00FF052B"/>
    <w:rsid w:val="00FF5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7D28"/>
  <w15:chartTrackingRefBased/>
  <w15:docId w15:val="{B28DDD51-B78C-4714-863C-43920C77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DFA"/>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mallfont">
    <w:name w:val="smallfont"/>
    <w:basedOn w:val="Standardnpsmoodstavce"/>
    <w:rsid w:val="009F0BC4"/>
  </w:style>
  <w:style w:type="character" w:styleId="Odkaznakoment">
    <w:name w:val="annotation reference"/>
    <w:basedOn w:val="Standardnpsmoodstavce"/>
    <w:uiPriority w:val="99"/>
    <w:semiHidden/>
    <w:unhideWhenUsed/>
    <w:rsid w:val="00C24F76"/>
    <w:rPr>
      <w:sz w:val="16"/>
      <w:szCs w:val="16"/>
    </w:rPr>
  </w:style>
  <w:style w:type="paragraph" w:styleId="Textkomente">
    <w:name w:val="annotation text"/>
    <w:basedOn w:val="Normln"/>
    <w:link w:val="TextkomenteChar"/>
    <w:uiPriority w:val="99"/>
    <w:semiHidden/>
    <w:unhideWhenUsed/>
    <w:rsid w:val="00C24F76"/>
    <w:pPr>
      <w:spacing w:line="240" w:lineRule="auto"/>
    </w:pPr>
    <w:rPr>
      <w:sz w:val="20"/>
      <w:szCs w:val="20"/>
    </w:rPr>
  </w:style>
  <w:style w:type="character" w:customStyle="1" w:styleId="TextkomenteChar">
    <w:name w:val="Text komentáře Char"/>
    <w:basedOn w:val="Standardnpsmoodstavce"/>
    <w:link w:val="Textkomente"/>
    <w:uiPriority w:val="99"/>
    <w:semiHidden/>
    <w:rsid w:val="00C24F76"/>
    <w:rPr>
      <w:sz w:val="20"/>
      <w:szCs w:val="20"/>
    </w:rPr>
  </w:style>
  <w:style w:type="paragraph" w:styleId="Pedmtkomente">
    <w:name w:val="annotation subject"/>
    <w:basedOn w:val="Textkomente"/>
    <w:next w:val="Textkomente"/>
    <w:link w:val="PedmtkomenteChar"/>
    <w:uiPriority w:val="99"/>
    <w:semiHidden/>
    <w:unhideWhenUsed/>
    <w:rsid w:val="00C24F76"/>
    <w:rPr>
      <w:b/>
      <w:bCs/>
    </w:rPr>
  </w:style>
  <w:style w:type="character" w:customStyle="1" w:styleId="PedmtkomenteChar">
    <w:name w:val="Předmět komentáře Char"/>
    <w:basedOn w:val="TextkomenteChar"/>
    <w:link w:val="Pedmtkomente"/>
    <w:uiPriority w:val="99"/>
    <w:semiHidden/>
    <w:rsid w:val="00C24F76"/>
    <w:rPr>
      <w:b/>
      <w:bCs/>
      <w:sz w:val="20"/>
      <w:szCs w:val="20"/>
    </w:rPr>
  </w:style>
  <w:style w:type="paragraph" w:styleId="Textbubliny">
    <w:name w:val="Balloon Text"/>
    <w:basedOn w:val="Normln"/>
    <w:link w:val="TextbublinyChar"/>
    <w:uiPriority w:val="99"/>
    <w:semiHidden/>
    <w:unhideWhenUsed/>
    <w:rsid w:val="00C24F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4F76"/>
    <w:rPr>
      <w:rFonts w:ascii="Segoe UI" w:hAnsi="Segoe UI" w:cs="Segoe UI"/>
      <w:sz w:val="18"/>
      <w:szCs w:val="18"/>
    </w:rPr>
  </w:style>
  <w:style w:type="paragraph" w:styleId="Odstavecseseznamem">
    <w:name w:val="List Paragraph"/>
    <w:basedOn w:val="Normln"/>
    <w:uiPriority w:val="34"/>
    <w:qFormat/>
    <w:rsid w:val="008C11D5"/>
    <w:pPr>
      <w:ind w:left="720"/>
      <w:contextualSpacing/>
    </w:pPr>
  </w:style>
  <w:style w:type="table" w:styleId="Mkatabulky">
    <w:name w:val="Table Grid"/>
    <w:basedOn w:val="Normlntabulka"/>
    <w:uiPriority w:val="39"/>
    <w:rsid w:val="00BB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62F8"/>
    <w:rPr>
      <w:color w:val="0563C1" w:themeColor="hyperlink"/>
      <w:u w:val="single"/>
    </w:rPr>
  </w:style>
  <w:style w:type="character" w:styleId="Nevyeenzmnka">
    <w:name w:val="Unresolved Mention"/>
    <w:basedOn w:val="Standardnpsmoodstavce"/>
    <w:uiPriority w:val="99"/>
    <w:semiHidden/>
    <w:unhideWhenUsed/>
    <w:rsid w:val="008262F8"/>
    <w:rPr>
      <w:color w:val="605E5C"/>
      <w:shd w:val="clear" w:color="auto" w:fill="E1DFDD"/>
    </w:rPr>
  </w:style>
  <w:style w:type="character" w:styleId="Siln">
    <w:name w:val="Strong"/>
    <w:basedOn w:val="Standardnpsmoodstavce"/>
    <w:uiPriority w:val="22"/>
    <w:qFormat/>
    <w:rsid w:val="00862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5736">
      <w:bodyDiv w:val="1"/>
      <w:marLeft w:val="0"/>
      <w:marRight w:val="0"/>
      <w:marTop w:val="0"/>
      <w:marBottom w:val="0"/>
      <w:divBdr>
        <w:top w:val="none" w:sz="0" w:space="0" w:color="auto"/>
        <w:left w:val="none" w:sz="0" w:space="0" w:color="auto"/>
        <w:bottom w:val="none" w:sz="0" w:space="0" w:color="auto"/>
        <w:right w:val="none" w:sz="0" w:space="0" w:color="auto"/>
      </w:divBdr>
    </w:div>
    <w:div w:id="96365413">
      <w:bodyDiv w:val="1"/>
      <w:marLeft w:val="0"/>
      <w:marRight w:val="0"/>
      <w:marTop w:val="0"/>
      <w:marBottom w:val="0"/>
      <w:divBdr>
        <w:top w:val="none" w:sz="0" w:space="0" w:color="auto"/>
        <w:left w:val="none" w:sz="0" w:space="0" w:color="auto"/>
        <w:bottom w:val="none" w:sz="0" w:space="0" w:color="auto"/>
        <w:right w:val="none" w:sz="0" w:space="0" w:color="auto"/>
      </w:divBdr>
    </w:div>
    <w:div w:id="97332280">
      <w:bodyDiv w:val="1"/>
      <w:marLeft w:val="0"/>
      <w:marRight w:val="0"/>
      <w:marTop w:val="0"/>
      <w:marBottom w:val="0"/>
      <w:divBdr>
        <w:top w:val="none" w:sz="0" w:space="0" w:color="auto"/>
        <w:left w:val="none" w:sz="0" w:space="0" w:color="auto"/>
        <w:bottom w:val="none" w:sz="0" w:space="0" w:color="auto"/>
        <w:right w:val="none" w:sz="0" w:space="0" w:color="auto"/>
      </w:divBdr>
    </w:div>
    <w:div w:id="166529232">
      <w:bodyDiv w:val="1"/>
      <w:marLeft w:val="0"/>
      <w:marRight w:val="0"/>
      <w:marTop w:val="0"/>
      <w:marBottom w:val="0"/>
      <w:divBdr>
        <w:top w:val="none" w:sz="0" w:space="0" w:color="auto"/>
        <w:left w:val="none" w:sz="0" w:space="0" w:color="auto"/>
        <w:bottom w:val="none" w:sz="0" w:space="0" w:color="auto"/>
        <w:right w:val="none" w:sz="0" w:space="0" w:color="auto"/>
      </w:divBdr>
    </w:div>
    <w:div w:id="198131480">
      <w:bodyDiv w:val="1"/>
      <w:marLeft w:val="0"/>
      <w:marRight w:val="0"/>
      <w:marTop w:val="0"/>
      <w:marBottom w:val="0"/>
      <w:divBdr>
        <w:top w:val="none" w:sz="0" w:space="0" w:color="auto"/>
        <w:left w:val="none" w:sz="0" w:space="0" w:color="auto"/>
        <w:bottom w:val="none" w:sz="0" w:space="0" w:color="auto"/>
        <w:right w:val="none" w:sz="0" w:space="0" w:color="auto"/>
      </w:divBdr>
    </w:div>
    <w:div w:id="211694827">
      <w:bodyDiv w:val="1"/>
      <w:marLeft w:val="0"/>
      <w:marRight w:val="0"/>
      <w:marTop w:val="0"/>
      <w:marBottom w:val="0"/>
      <w:divBdr>
        <w:top w:val="none" w:sz="0" w:space="0" w:color="auto"/>
        <w:left w:val="none" w:sz="0" w:space="0" w:color="auto"/>
        <w:bottom w:val="none" w:sz="0" w:space="0" w:color="auto"/>
        <w:right w:val="none" w:sz="0" w:space="0" w:color="auto"/>
      </w:divBdr>
    </w:div>
    <w:div w:id="228081164">
      <w:bodyDiv w:val="1"/>
      <w:marLeft w:val="0"/>
      <w:marRight w:val="0"/>
      <w:marTop w:val="0"/>
      <w:marBottom w:val="0"/>
      <w:divBdr>
        <w:top w:val="none" w:sz="0" w:space="0" w:color="auto"/>
        <w:left w:val="none" w:sz="0" w:space="0" w:color="auto"/>
        <w:bottom w:val="none" w:sz="0" w:space="0" w:color="auto"/>
        <w:right w:val="none" w:sz="0" w:space="0" w:color="auto"/>
      </w:divBdr>
    </w:div>
    <w:div w:id="256403413">
      <w:bodyDiv w:val="1"/>
      <w:marLeft w:val="0"/>
      <w:marRight w:val="0"/>
      <w:marTop w:val="0"/>
      <w:marBottom w:val="0"/>
      <w:divBdr>
        <w:top w:val="none" w:sz="0" w:space="0" w:color="auto"/>
        <w:left w:val="none" w:sz="0" w:space="0" w:color="auto"/>
        <w:bottom w:val="none" w:sz="0" w:space="0" w:color="auto"/>
        <w:right w:val="none" w:sz="0" w:space="0" w:color="auto"/>
      </w:divBdr>
    </w:div>
    <w:div w:id="274753180">
      <w:bodyDiv w:val="1"/>
      <w:marLeft w:val="0"/>
      <w:marRight w:val="0"/>
      <w:marTop w:val="0"/>
      <w:marBottom w:val="0"/>
      <w:divBdr>
        <w:top w:val="none" w:sz="0" w:space="0" w:color="auto"/>
        <w:left w:val="none" w:sz="0" w:space="0" w:color="auto"/>
        <w:bottom w:val="none" w:sz="0" w:space="0" w:color="auto"/>
        <w:right w:val="none" w:sz="0" w:space="0" w:color="auto"/>
      </w:divBdr>
    </w:div>
    <w:div w:id="281613506">
      <w:bodyDiv w:val="1"/>
      <w:marLeft w:val="0"/>
      <w:marRight w:val="0"/>
      <w:marTop w:val="0"/>
      <w:marBottom w:val="0"/>
      <w:divBdr>
        <w:top w:val="none" w:sz="0" w:space="0" w:color="auto"/>
        <w:left w:val="none" w:sz="0" w:space="0" w:color="auto"/>
        <w:bottom w:val="none" w:sz="0" w:space="0" w:color="auto"/>
        <w:right w:val="none" w:sz="0" w:space="0" w:color="auto"/>
      </w:divBdr>
      <w:divsChild>
        <w:div w:id="812911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467664">
      <w:bodyDiv w:val="1"/>
      <w:marLeft w:val="0"/>
      <w:marRight w:val="0"/>
      <w:marTop w:val="0"/>
      <w:marBottom w:val="0"/>
      <w:divBdr>
        <w:top w:val="none" w:sz="0" w:space="0" w:color="auto"/>
        <w:left w:val="none" w:sz="0" w:space="0" w:color="auto"/>
        <w:bottom w:val="none" w:sz="0" w:space="0" w:color="auto"/>
        <w:right w:val="none" w:sz="0" w:space="0" w:color="auto"/>
      </w:divBdr>
    </w:div>
    <w:div w:id="343824526">
      <w:bodyDiv w:val="1"/>
      <w:marLeft w:val="0"/>
      <w:marRight w:val="0"/>
      <w:marTop w:val="0"/>
      <w:marBottom w:val="0"/>
      <w:divBdr>
        <w:top w:val="none" w:sz="0" w:space="0" w:color="auto"/>
        <w:left w:val="none" w:sz="0" w:space="0" w:color="auto"/>
        <w:bottom w:val="none" w:sz="0" w:space="0" w:color="auto"/>
        <w:right w:val="none" w:sz="0" w:space="0" w:color="auto"/>
      </w:divBdr>
    </w:div>
    <w:div w:id="353963962">
      <w:bodyDiv w:val="1"/>
      <w:marLeft w:val="0"/>
      <w:marRight w:val="0"/>
      <w:marTop w:val="0"/>
      <w:marBottom w:val="0"/>
      <w:divBdr>
        <w:top w:val="none" w:sz="0" w:space="0" w:color="auto"/>
        <w:left w:val="none" w:sz="0" w:space="0" w:color="auto"/>
        <w:bottom w:val="none" w:sz="0" w:space="0" w:color="auto"/>
        <w:right w:val="none" w:sz="0" w:space="0" w:color="auto"/>
      </w:divBdr>
    </w:div>
    <w:div w:id="404961648">
      <w:bodyDiv w:val="1"/>
      <w:marLeft w:val="0"/>
      <w:marRight w:val="0"/>
      <w:marTop w:val="0"/>
      <w:marBottom w:val="0"/>
      <w:divBdr>
        <w:top w:val="none" w:sz="0" w:space="0" w:color="auto"/>
        <w:left w:val="none" w:sz="0" w:space="0" w:color="auto"/>
        <w:bottom w:val="none" w:sz="0" w:space="0" w:color="auto"/>
        <w:right w:val="none" w:sz="0" w:space="0" w:color="auto"/>
      </w:divBdr>
    </w:div>
    <w:div w:id="501705437">
      <w:bodyDiv w:val="1"/>
      <w:marLeft w:val="0"/>
      <w:marRight w:val="0"/>
      <w:marTop w:val="0"/>
      <w:marBottom w:val="0"/>
      <w:divBdr>
        <w:top w:val="none" w:sz="0" w:space="0" w:color="auto"/>
        <w:left w:val="none" w:sz="0" w:space="0" w:color="auto"/>
        <w:bottom w:val="none" w:sz="0" w:space="0" w:color="auto"/>
        <w:right w:val="none" w:sz="0" w:space="0" w:color="auto"/>
      </w:divBdr>
    </w:div>
    <w:div w:id="556622833">
      <w:bodyDiv w:val="1"/>
      <w:marLeft w:val="0"/>
      <w:marRight w:val="0"/>
      <w:marTop w:val="0"/>
      <w:marBottom w:val="0"/>
      <w:divBdr>
        <w:top w:val="none" w:sz="0" w:space="0" w:color="auto"/>
        <w:left w:val="none" w:sz="0" w:space="0" w:color="auto"/>
        <w:bottom w:val="none" w:sz="0" w:space="0" w:color="auto"/>
        <w:right w:val="none" w:sz="0" w:space="0" w:color="auto"/>
      </w:divBdr>
    </w:div>
    <w:div w:id="557589456">
      <w:bodyDiv w:val="1"/>
      <w:marLeft w:val="0"/>
      <w:marRight w:val="0"/>
      <w:marTop w:val="0"/>
      <w:marBottom w:val="0"/>
      <w:divBdr>
        <w:top w:val="none" w:sz="0" w:space="0" w:color="auto"/>
        <w:left w:val="none" w:sz="0" w:space="0" w:color="auto"/>
        <w:bottom w:val="none" w:sz="0" w:space="0" w:color="auto"/>
        <w:right w:val="none" w:sz="0" w:space="0" w:color="auto"/>
      </w:divBdr>
    </w:div>
    <w:div w:id="561795840">
      <w:bodyDiv w:val="1"/>
      <w:marLeft w:val="0"/>
      <w:marRight w:val="0"/>
      <w:marTop w:val="0"/>
      <w:marBottom w:val="0"/>
      <w:divBdr>
        <w:top w:val="none" w:sz="0" w:space="0" w:color="auto"/>
        <w:left w:val="none" w:sz="0" w:space="0" w:color="auto"/>
        <w:bottom w:val="none" w:sz="0" w:space="0" w:color="auto"/>
        <w:right w:val="none" w:sz="0" w:space="0" w:color="auto"/>
      </w:divBdr>
      <w:divsChild>
        <w:div w:id="362172193">
          <w:marLeft w:val="0"/>
          <w:marRight w:val="0"/>
          <w:marTop w:val="0"/>
          <w:marBottom w:val="0"/>
          <w:divBdr>
            <w:top w:val="none" w:sz="0" w:space="0" w:color="auto"/>
            <w:left w:val="none" w:sz="0" w:space="0" w:color="auto"/>
            <w:bottom w:val="none" w:sz="0" w:space="0" w:color="auto"/>
            <w:right w:val="none" w:sz="0" w:space="0" w:color="auto"/>
          </w:divBdr>
          <w:divsChild>
            <w:div w:id="487867591">
              <w:marLeft w:val="0"/>
              <w:marRight w:val="0"/>
              <w:marTop w:val="0"/>
              <w:marBottom w:val="0"/>
              <w:divBdr>
                <w:top w:val="none" w:sz="0" w:space="0" w:color="auto"/>
                <w:left w:val="none" w:sz="0" w:space="0" w:color="auto"/>
                <w:bottom w:val="none" w:sz="0" w:space="0" w:color="auto"/>
                <w:right w:val="none" w:sz="0" w:space="0" w:color="auto"/>
              </w:divBdr>
              <w:divsChild>
                <w:div w:id="1661542566">
                  <w:marLeft w:val="0"/>
                  <w:marRight w:val="0"/>
                  <w:marTop w:val="0"/>
                  <w:marBottom w:val="0"/>
                  <w:divBdr>
                    <w:top w:val="none" w:sz="0" w:space="0" w:color="auto"/>
                    <w:left w:val="none" w:sz="0" w:space="0" w:color="auto"/>
                    <w:bottom w:val="none" w:sz="0" w:space="0" w:color="auto"/>
                    <w:right w:val="none" w:sz="0" w:space="0" w:color="auto"/>
                  </w:divBdr>
                  <w:divsChild>
                    <w:div w:id="10903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5122">
          <w:marLeft w:val="0"/>
          <w:marRight w:val="0"/>
          <w:marTop w:val="0"/>
          <w:marBottom w:val="0"/>
          <w:divBdr>
            <w:top w:val="none" w:sz="0" w:space="0" w:color="auto"/>
            <w:left w:val="none" w:sz="0" w:space="0" w:color="auto"/>
            <w:bottom w:val="none" w:sz="0" w:space="0" w:color="auto"/>
            <w:right w:val="none" w:sz="0" w:space="0" w:color="auto"/>
          </w:divBdr>
          <w:divsChild>
            <w:div w:id="2045060787">
              <w:marLeft w:val="0"/>
              <w:marRight w:val="0"/>
              <w:marTop w:val="0"/>
              <w:marBottom w:val="0"/>
              <w:divBdr>
                <w:top w:val="none" w:sz="0" w:space="0" w:color="auto"/>
                <w:left w:val="none" w:sz="0" w:space="0" w:color="auto"/>
                <w:bottom w:val="none" w:sz="0" w:space="0" w:color="auto"/>
                <w:right w:val="none" w:sz="0" w:space="0" w:color="auto"/>
              </w:divBdr>
              <w:divsChild>
                <w:div w:id="210504658">
                  <w:marLeft w:val="0"/>
                  <w:marRight w:val="0"/>
                  <w:marTop w:val="0"/>
                  <w:marBottom w:val="0"/>
                  <w:divBdr>
                    <w:top w:val="none" w:sz="0" w:space="0" w:color="auto"/>
                    <w:left w:val="none" w:sz="0" w:space="0" w:color="auto"/>
                    <w:bottom w:val="none" w:sz="0" w:space="0" w:color="auto"/>
                    <w:right w:val="none" w:sz="0" w:space="0" w:color="auto"/>
                  </w:divBdr>
                  <w:divsChild>
                    <w:div w:id="12369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5742">
      <w:bodyDiv w:val="1"/>
      <w:marLeft w:val="0"/>
      <w:marRight w:val="0"/>
      <w:marTop w:val="0"/>
      <w:marBottom w:val="0"/>
      <w:divBdr>
        <w:top w:val="none" w:sz="0" w:space="0" w:color="auto"/>
        <w:left w:val="none" w:sz="0" w:space="0" w:color="auto"/>
        <w:bottom w:val="none" w:sz="0" w:space="0" w:color="auto"/>
        <w:right w:val="none" w:sz="0" w:space="0" w:color="auto"/>
      </w:divBdr>
    </w:div>
    <w:div w:id="659193774">
      <w:bodyDiv w:val="1"/>
      <w:marLeft w:val="0"/>
      <w:marRight w:val="0"/>
      <w:marTop w:val="0"/>
      <w:marBottom w:val="0"/>
      <w:divBdr>
        <w:top w:val="none" w:sz="0" w:space="0" w:color="auto"/>
        <w:left w:val="none" w:sz="0" w:space="0" w:color="auto"/>
        <w:bottom w:val="none" w:sz="0" w:space="0" w:color="auto"/>
        <w:right w:val="none" w:sz="0" w:space="0" w:color="auto"/>
      </w:divBdr>
    </w:div>
    <w:div w:id="684332600">
      <w:bodyDiv w:val="1"/>
      <w:marLeft w:val="0"/>
      <w:marRight w:val="0"/>
      <w:marTop w:val="0"/>
      <w:marBottom w:val="0"/>
      <w:divBdr>
        <w:top w:val="none" w:sz="0" w:space="0" w:color="auto"/>
        <w:left w:val="none" w:sz="0" w:space="0" w:color="auto"/>
        <w:bottom w:val="none" w:sz="0" w:space="0" w:color="auto"/>
        <w:right w:val="none" w:sz="0" w:space="0" w:color="auto"/>
      </w:divBdr>
    </w:div>
    <w:div w:id="714620301">
      <w:bodyDiv w:val="1"/>
      <w:marLeft w:val="0"/>
      <w:marRight w:val="0"/>
      <w:marTop w:val="0"/>
      <w:marBottom w:val="0"/>
      <w:divBdr>
        <w:top w:val="none" w:sz="0" w:space="0" w:color="auto"/>
        <w:left w:val="none" w:sz="0" w:space="0" w:color="auto"/>
        <w:bottom w:val="none" w:sz="0" w:space="0" w:color="auto"/>
        <w:right w:val="none" w:sz="0" w:space="0" w:color="auto"/>
      </w:divBdr>
    </w:div>
    <w:div w:id="739207576">
      <w:bodyDiv w:val="1"/>
      <w:marLeft w:val="0"/>
      <w:marRight w:val="0"/>
      <w:marTop w:val="0"/>
      <w:marBottom w:val="0"/>
      <w:divBdr>
        <w:top w:val="none" w:sz="0" w:space="0" w:color="auto"/>
        <w:left w:val="none" w:sz="0" w:space="0" w:color="auto"/>
        <w:bottom w:val="none" w:sz="0" w:space="0" w:color="auto"/>
        <w:right w:val="none" w:sz="0" w:space="0" w:color="auto"/>
      </w:divBdr>
    </w:div>
    <w:div w:id="753629557">
      <w:bodyDiv w:val="1"/>
      <w:marLeft w:val="0"/>
      <w:marRight w:val="0"/>
      <w:marTop w:val="0"/>
      <w:marBottom w:val="0"/>
      <w:divBdr>
        <w:top w:val="none" w:sz="0" w:space="0" w:color="auto"/>
        <w:left w:val="none" w:sz="0" w:space="0" w:color="auto"/>
        <w:bottom w:val="none" w:sz="0" w:space="0" w:color="auto"/>
        <w:right w:val="none" w:sz="0" w:space="0" w:color="auto"/>
      </w:divBdr>
    </w:div>
    <w:div w:id="754740007">
      <w:bodyDiv w:val="1"/>
      <w:marLeft w:val="0"/>
      <w:marRight w:val="0"/>
      <w:marTop w:val="0"/>
      <w:marBottom w:val="0"/>
      <w:divBdr>
        <w:top w:val="none" w:sz="0" w:space="0" w:color="auto"/>
        <w:left w:val="none" w:sz="0" w:space="0" w:color="auto"/>
        <w:bottom w:val="none" w:sz="0" w:space="0" w:color="auto"/>
        <w:right w:val="none" w:sz="0" w:space="0" w:color="auto"/>
      </w:divBdr>
      <w:divsChild>
        <w:div w:id="384766304">
          <w:marLeft w:val="0"/>
          <w:marRight w:val="0"/>
          <w:marTop w:val="0"/>
          <w:marBottom w:val="0"/>
          <w:divBdr>
            <w:top w:val="none" w:sz="0" w:space="0" w:color="auto"/>
            <w:left w:val="none" w:sz="0" w:space="0" w:color="auto"/>
            <w:bottom w:val="none" w:sz="0" w:space="0" w:color="auto"/>
            <w:right w:val="none" w:sz="0" w:space="0" w:color="auto"/>
          </w:divBdr>
          <w:divsChild>
            <w:div w:id="1687713564">
              <w:marLeft w:val="0"/>
              <w:marRight w:val="0"/>
              <w:marTop w:val="0"/>
              <w:marBottom w:val="0"/>
              <w:divBdr>
                <w:top w:val="none" w:sz="0" w:space="0" w:color="auto"/>
                <w:left w:val="none" w:sz="0" w:space="0" w:color="auto"/>
                <w:bottom w:val="none" w:sz="0" w:space="0" w:color="auto"/>
                <w:right w:val="none" w:sz="0" w:space="0" w:color="auto"/>
              </w:divBdr>
              <w:divsChild>
                <w:div w:id="208343094">
                  <w:marLeft w:val="0"/>
                  <w:marRight w:val="0"/>
                  <w:marTop w:val="0"/>
                  <w:marBottom w:val="0"/>
                  <w:divBdr>
                    <w:top w:val="none" w:sz="0" w:space="0" w:color="auto"/>
                    <w:left w:val="none" w:sz="0" w:space="0" w:color="auto"/>
                    <w:bottom w:val="none" w:sz="0" w:space="0" w:color="auto"/>
                    <w:right w:val="none" w:sz="0" w:space="0" w:color="auto"/>
                  </w:divBdr>
                  <w:divsChild>
                    <w:div w:id="924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382">
          <w:marLeft w:val="0"/>
          <w:marRight w:val="0"/>
          <w:marTop w:val="0"/>
          <w:marBottom w:val="0"/>
          <w:divBdr>
            <w:top w:val="none" w:sz="0" w:space="0" w:color="auto"/>
            <w:left w:val="none" w:sz="0" w:space="0" w:color="auto"/>
            <w:bottom w:val="none" w:sz="0" w:space="0" w:color="auto"/>
            <w:right w:val="none" w:sz="0" w:space="0" w:color="auto"/>
          </w:divBdr>
          <w:divsChild>
            <w:div w:id="606428548">
              <w:marLeft w:val="0"/>
              <w:marRight w:val="0"/>
              <w:marTop w:val="0"/>
              <w:marBottom w:val="0"/>
              <w:divBdr>
                <w:top w:val="none" w:sz="0" w:space="0" w:color="auto"/>
                <w:left w:val="none" w:sz="0" w:space="0" w:color="auto"/>
                <w:bottom w:val="none" w:sz="0" w:space="0" w:color="auto"/>
                <w:right w:val="none" w:sz="0" w:space="0" w:color="auto"/>
              </w:divBdr>
              <w:divsChild>
                <w:div w:id="896861842">
                  <w:marLeft w:val="0"/>
                  <w:marRight w:val="0"/>
                  <w:marTop w:val="0"/>
                  <w:marBottom w:val="0"/>
                  <w:divBdr>
                    <w:top w:val="none" w:sz="0" w:space="0" w:color="auto"/>
                    <w:left w:val="none" w:sz="0" w:space="0" w:color="auto"/>
                    <w:bottom w:val="none" w:sz="0" w:space="0" w:color="auto"/>
                    <w:right w:val="none" w:sz="0" w:space="0" w:color="auto"/>
                  </w:divBdr>
                  <w:divsChild>
                    <w:div w:id="551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4751">
      <w:bodyDiv w:val="1"/>
      <w:marLeft w:val="0"/>
      <w:marRight w:val="0"/>
      <w:marTop w:val="0"/>
      <w:marBottom w:val="0"/>
      <w:divBdr>
        <w:top w:val="none" w:sz="0" w:space="0" w:color="auto"/>
        <w:left w:val="none" w:sz="0" w:space="0" w:color="auto"/>
        <w:bottom w:val="none" w:sz="0" w:space="0" w:color="auto"/>
        <w:right w:val="none" w:sz="0" w:space="0" w:color="auto"/>
      </w:divBdr>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65869462">
      <w:bodyDiv w:val="1"/>
      <w:marLeft w:val="0"/>
      <w:marRight w:val="0"/>
      <w:marTop w:val="0"/>
      <w:marBottom w:val="0"/>
      <w:divBdr>
        <w:top w:val="none" w:sz="0" w:space="0" w:color="auto"/>
        <w:left w:val="none" w:sz="0" w:space="0" w:color="auto"/>
        <w:bottom w:val="none" w:sz="0" w:space="0" w:color="auto"/>
        <w:right w:val="none" w:sz="0" w:space="0" w:color="auto"/>
      </w:divBdr>
    </w:div>
    <w:div w:id="953245113">
      <w:bodyDiv w:val="1"/>
      <w:marLeft w:val="0"/>
      <w:marRight w:val="0"/>
      <w:marTop w:val="0"/>
      <w:marBottom w:val="0"/>
      <w:divBdr>
        <w:top w:val="none" w:sz="0" w:space="0" w:color="auto"/>
        <w:left w:val="none" w:sz="0" w:space="0" w:color="auto"/>
        <w:bottom w:val="none" w:sz="0" w:space="0" w:color="auto"/>
        <w:right w:val="none" w:sz="0" w:space="0" w:color="auto"/>
      </w:divBdr>
    </w:div>
    <w:div w:id="958025374">
      <w:bodyDiv w:val="1"/>
      <w:marLeft w:val="0"/>
      <w:marRight w:val="0"/>
      <w:marTop w:val="0"/>
      <w:marBottom w:val="0"/>
      <w:divBdr>
        <w:top w:val="none" w:sz="0" w:space="0" w:color="auto"/>
        <w:left w:val="none" w:sz="0" w:space="0" w:color="auto"/>
        <w:bottom w:val="none" w:sz="0" w:space="0" w:color="auto"/>
        <w:right w:val="none" w:sz="0" w:space="0" w:color="auto"/>
      </w:divBdr>
    </w:div>
    <w:div w:id="1027485825">
      <w:bodyDiv w:val="1"/>
      <w:marLeft w:val="0"/>
      <w:marRight w:val="0"/>
      <w:marTop w:val="0"/>
      <w:marBottom w:val="0"/>
      <w:divBdr>
        <w:top w:val="none" w:sz="0" w:space="0" w:color="auto"/>
        <w:left w:val="none" w:sz="0" w:space="0" w:color="auto"/>
        <w:bottom w:val="none" w:sz="0" w:space="0" w:color="auto"/>
        <w:right w:val="none" w:sz="0" w:space="0" w:color="auto"/>
      </w:divBdr>
    </w:div>
    <w:div w:id="1098597285">
      <w:bodyDiv w:val="1"/>
      <w:marLeft w:val="0"/>
      <w:marRight w:val="0"/>
      <w:marTop w:val="0"/>
      <w:marBottom w:val="0"/>
      <w:divBdr>
        <w:top w:val="none" w:sz="0" w:space="0" w:color="auto"/>
        <w:left w:val="none" w:sz="0" w:space="0" w:color="auto"/>
        <w:bottom w:val="none" w:sz="0" w:space="0" w:color="auto"/>
        <w:right w:val="none" w:sz="0" w:space="0" w:color="auto"/>
      </w:divBdr>
    </w:div>
    <w:div w:id="1101535922">
      <w:bodyDiv w:val="1"/>
      <w:marLeft w:val="0"/>
      <w:marRight w:val="0"/>
      <w:marTop w:val="0"/>
      <w:marBottom w:val="0"/>
      <w:divBdr>
        <w:top w:val="none" w:sz="0" w:space="0" w:color="auto"/>
        <w:left w:val="none" w:sz="0" w:space="0" w:color="auto"/>
        <w:bottom w:val="none" w:sz="0" w:space="0" w:color="auto"/>
        <w:right w:val="none" w:sz="0" w:space="0" w:color="auto"/>
      </w:divBdr>
    </w:div>
    <w:div w:id="1151141688">
      <w:bodyDiv w:val="1"/>
      <w:marLeft w:val="0"/>
      <w:marRight w:val="0"/>
      <w:marTop w:val="0"/>
      <w:marBottom w:val="0"/>
      <w:divBdr>
        <w:top w:val="none" w:sz="0" w:space="0" w:color="auto"/>
        <w:left w:val="none" w:sz="0" w:space="0" w:color="auto"/>
        <w:bottom w:val="none" w:sz="0" w:space="0" w:color="auto"/>
        <w:right w:val="none" w:sz="0" w:space="0" w:color="auto"/>
      </w:divBdr>
    </w:div>
    <w:div w:id="1209761389">
      <w:bodyDiv w:val="1"/>
      <w:marLeft w:val="0"/>
      <w:marRight w:val="0"/>
      <w:marTop w:val="0"/>
      <w:marBottom w:val="0"/>
      <w:divBdr>
        <w:top w:val="none" w:sz="0" w:space="0" w:color="auto"/>
        <w:left w:val="none" w:sz="0" w:space="0" w:color="auto"/>
        <w:bottom w:val="none" w:sz="0" w:space="0" w:color="auto"/>
        <w:right w:val="none" w:sz="0" w:space="0" w:color="auto"/>
      </w:divBdr>
    </w:div>
    <w:div w:id="1234001357">
      <w:bodyDiv w:val="1"/>
      <w:marLeft w:val="0"/>
      <w:marRight w:val="0"/>
      <w:marTop w:val="0"/>
      <w:marBottom w:val="0"/>
      <w:divBdr>
        <w:top w:val="none" w:sz="0" w:space="0" w:color="auto"/>
        <w:left w:val="none" w:sz="0" w:space="0" w:color="auto"/>
        <w:bottom w:val="none" w:sz="0" w:space="0" w:color="auto"/>
        <w:right w:val="none" w:sz="0" w:space="0" w:color="auto"/>
      </w:divBdr>
    </w:div>
    <w:div w:id="1323583106">
      <w:bodyDiv w:val="1"/>
      <w:marLeft w:val="0"/>
      <w:marRight w:val="0"/>
      <w:marTop w:val="0"/>
      <w:marBottom w:val="0"/>
      <w:divBdr>
        <w:top w:val="none" w:sz="0" w:space="0" w:color="auto"/>
        <w:left w:val="none" w:sz="0" w:space="0" w:color="auto"/>
        <w:bottom w:val="none" w:sz="0" w:space="0" w:color="auto"/>
        <w:right w:val="none" w:sz="0" w:space="0" w:color="auto"/>
      </w:divBdr>
    </w:div>
    <w:div w:id="1396050587">
      <w:bodyDiv w:val="1"/>
      <w:marLeft w:val="0"/>
      <w:marRight w:val="0"/>
      <w:marTop w:val="0"/>
      <w:marBottom w:val="0"/>
      <w:divBdr>
        <w:top w:val="none" w:sz="0" w:space="0" w:color="auto"/>
        <w:left w:val="none" w:sz="0" w:space="0" w:color="auto"/>
        <w:bottom w:val="none" w:sz="0" w:space="0" w:color="auto"/>
        <w:right w:val="none" w:sz="0" w:space="0" w:color="auto"/>
      </w:divBdr>
    </w:div>
    <w:div w:id="1403679651">
      <w:bodyDiv w:val="1"/>
      <w:marLeft w:val="0"/>
      <w:marRight w:val="0"/>
      <w:marTop w:val="0"/>
      <w:marBottom w:val="0"/>
      <w:divBdr>
        <w:top w:val="none" w:sz="0" w:space="0" w:color="auto"/>
        <w:left w:val="none" w:sz="0" w:space="0" w:color="auto"/>
        <w:bottom w:val="none" w:sz="0" w:space="0" w:color="auto"/>
        <w:right w:val="none" w:sz="0" w:space="0" w:color="auto"/>
      </w:divBdr>
    </w:div>
    <w:div w:id="1451899626">
      <w:bodyDiv w:val="1"/>
      <w:marLeft w:val="0"/>
      <w:marRight w:val="0"/>
      <w:marTop w:val="0"/>
      <w:marBottom w:val="0"/>
      <w:divBdr>
        <w:top w:val="none" w:sz="0" w:space="0" w:color="auto"/>
        <w:left w:val="none" w:sz="0" w:space="0" w:color="auto"/>
        <w:bottom w:val="none" w:sz="0" w:space="0" w:color="auto"/>
        <w:right w:val="none" w:sz="0" w:space="0" w:color="auto"/>
      </w:divBdr>
    </w:div>
    <w:div w:id="1464545816">
      <w:bodyDiv w:val="1"/>
      <w:marLeft w:val="0"/>
      <w:marRight w:val="0"/>
      <w:marTop w:val="0"/>
      <w:marBottom w:val="0"/>
      <w:divBdr>
        <w:top w:val="none" w:sz="0" w:space="0" w:color="auto"/>
        <w:left w:val="none" w:sz="0" w:space="0" w:color="auto"/>
        <w:bottom w:val="none" w:sz="0" w:space="0" w:color="auto"/>
        <w:right w:val="none" w:sz="0" w:space="0" w:color="auto"/>
      </w:divBdr>
    </w:div>
    <w:div w:id="1480684601">
      <w:bodyDiv w:val="1"/>
      <w:marLeft w:val="0"/>
      <w:marRight w:val="0"/>
      <w:marTop w:val="0"/>
      <w:marBottom w:val="0"/>
      <w:divBdr>
        <w:top w:val="none" w:sz="0" w:space="0" w:color="auto"/>
        <w:left w:val="none" w:sz="0" w:space="0" w:color="auto"/>
        <w:bottom w:val="none" w:sz="0" w:space="0" w:color="auto"/>
        <w:right w:val="none" w:sz="0" w:space="0" w:color="auto"/>
      </w:divBdr>
    </w:div>
    <w:div w:id="1495874599">
      <w:bodyDiv w:val="1"/>
      <w:marLeft w:val="0"/>
      <w:marRight w:val="0"/>
      <w:marTop w:val="0"/>
      <w:marBottom w:val="0"/>
      <w:divBdr>
        <w:top w:val="none" w:sz="0" w:space="0" w:color="auto"/>
        <w:left w:val="none" w:sz="0" w:space="0" w:color="auto"/>
        <w:bottom w:val="none" w:sz="0" w:space="0" w:color="auto"/>
        <w:right w:val="none" w:sz="0" w:space="0" w:color="auto"/>
      </w:divBdr>
    </w:div>
    <w:div w:id="1565065352">
      <w:bodyDiv w:val="1"/>
      <w:marLeft w:val="0"/>
      <w:marRight w:val="0"/>
      <w:marTop w:val="0"/>
      <w:marBottom w:val="0"/>
      <w:divBdr>
        <w:top w:val="none" w:sz="0" w:space="0" w:color="auto"/>
        <w:left w:val="none" w:sz="0" w:space="0" w:color="auto"/>
        <w:bottom w:val="none" w:sz="0" w:space="0" w:color="auto"/>
        <w:right w:val="none" w:sz="0" w:space="0" w:color="auto"/>
      </w:divBdr>
    </w:div>
    <w:div w:id="1575969588">
      <w:bodyDiv w:val="1"/>
      <w:marLeft w:val="0"/>
      <w:marRight w:val="0"/>
      <w:marTop w:val="0"/>
      <w:marBottom w:val="0"/>
      <w:divBdr>
        <w:top w:val="none" w:sz="0" w:space="0" w:color="auto"/>
        <w:left w:val="none" w:sz="0" w:space="0" w:color="auto"/>
        <w:bottom w:val="none" w:sz="0" w:space="0" w:color="auto"/>
        <w:right w:val="none" w:sz="0" w:space="0" w:color="auto"/>
      </w:divBdr>
    </w:div>
    <w:div w:id="1579052973">
      <w:bodyDiv w:val="1"/>
      <w:marLeft w:val="0"/>
      <w:marRight w:val="0"/>
      <w:marTop w:val="0"/>
      <w:marBottom w:val="0"/>
      <w:divBdr>
        <w:top w:val="none" w:sz="0" w:space="0" w:color="auto"/>
        <w:left w:val="none" w:sz="0" w:space="0" w:color="auto"/>
        <w:bottom w:val="none" w:sz="0" w:space="0" w:color="auto"/>
        <w:right w:val="none" w:sz="0" w:space="0" w:color="auto"/>
      </w:divBdr>
    </w:div>
    <w:div w:id="1589844479">
      <w:bodyDiv w:val="1"/>
      <w:marLeft w:val="0"/>
      <w:marRight w:val="0"/>
      <w:marTop w:val="0"/>
      <w:marBottom w:val="0"/>
      <w:divBdr>
        <w:top w:val="none" w:sz="0" w:space="0" w:color="auto"/>
        <w:left w:val="none" w:sz="0" w:space="0" w:color="auto"/>
        <w:bottom w:val="none" w:sz="0" w:space="0" w:color="auto"/>
        <w:right w:val="none" w:sz="0" w:space="0" w:color="auto"/>
      </w:divBdr>
    </w:div>
    <w:div w:id="1623879261">
      <w:bodyDiv w:val="1"/>
      <w:marLeft w:val="0"/>
      <w:marRight w:val="0"/>
      <w:marTop w:val="0"/>
      <w:marBottom w:val="0"/>
      <w:divBdr>
        <w:top w:val="none" w:sz="0" w:space="0" w:color="auto"/>
        <w:left w:val="none" w:sz="0" w:space="0" w:color="auto"/>
        <w:bottom w:val="none" w:sz="0" w:space="0" w:color="auto"/>
        <w:right w:val="none" w:sz="0" w:space="0" w:color="auto"/>
      </w:divBdr>
    </w:div>
    <w:div w:id="1702321789">
      <w:bodyDiv w:val="1"/>
      <w:marLeft w:val="0"/>
      <w:marRight w:val="0"/>
      <w:marTop w:val="0"/>
      <w:marBottom w:val="0"/>
      <w:divBdr>
        <w:top w:val="none" w:sz="0" w:space="0" w:color="auto"/>
        <w:left w:val="none" w:sz="0" w:space="0" w:color="auto"/>
        <w:bottom w:val="none" w:sz="0" w:space="0" w:color="auto"/>
        <w:right w:val="none" w:sz="0" w:space="0" w:color="auto"/>
      </w:divBdr>
    </w:div>
    <w:div w:id="1717123119">
      <w:bodyDiv w:val="1"/>
      <w:marLeft w:val="0"/>
      <w:marRight w:val="0"/>
      <w:marTop w:val="0"/>
      <w:marBottom w:val="0"/>
      <w:divBdr>
        <w:top w:val="none" w:sz="0" w:space="0" w:color="auto"/>
        <w:left w:val="none" w:sz="0" w:space="0" w:color="auto"/>
        <w:bottom w:val="none" w:sz="0" w:space="0" w:color="auto"/>
        <w:right w:val="none" w:sz="0" w:space="0" w:color="auto"/>
      </w:divBdr>
    </w:div>
    <w:div w:id="1750076430">
      <w:bodyDiv w:val="1"/>
      <w:marLeft w:val="0"/>
      <w:marRight w:val="0"/>
      <w:marTop w:val="0"/>
      <w:marBottom w:val="0"/>
      <w:divBdr>
        <w:top w:val="none" w:sz="0" w:space="0" w:color="auto"/>
        <w:left w:val="none" w:sz="0" w:space="0" w:color="auto"/>
        <w:bottom w:val="none" w:sz="0" w:space="0" w:color="auto"/>
        <w:right w:val="none" w:sz="0" w:space="0" w:color="auto"/>
      </w:divBdr>
    </w:div>
    <w:div w:id="1773626217">
      <w:bodyDiv w:val="1"/>
      <w:marLeft w:val="0"/>
      <w:marRight w:val="0"/>
      <w:marTop w:val="0"/>
      <w:marBottom w:val="0"/>
      <w:divBdr>
        <w:top w:val="none" w:sz="0" w:space="0" w:color="auto"/>
        <w:left w:val="none" w:sz="0" w:space="0" w:color="auto"/>
        <w:bottom w:val="none" w:sz="0" w:space="0" w:color="auto"/>
        <w:right w:val="none" w:sz="0" w:space="0" w:color="auto"/>
      </w:divBdr>
    </w:div>
    <w:div w:id="1776904481">
      <w:bodyDiv w:val="1"/>
      <w:marLeft w:val="0"/>
      <w:marRight w:val="0"/>
      <w:marTop w:val="0"/>
      <w:marBottom w:val="0"/>
      <w:divBdr>
        <w:top w:val="none" w:sz="0" w:space="0" w:color="auto"/>
        <w:left w:val="none" w:sz="0" w:space="0" w:color="auto"/>
        <w:bottom w:val="none" w:sz="0" w:space="0" w:color="auto"/>
        <w:right w:val="none" w:sz="0" w:space="0" w:color="auto"/>
      </w:divBdr>
    </w:div>
    <w:div w:id="1855218770">
      <w:bodyDiv w:val="1"/>
      <w:marLeft w:val="0"/>
      <w:marRight w:val="0"/>
      <w:marTop w:val="0"/>
      <w:marBottom w:val="0"/>
      <w:divBdr>
        <w:top w:val="none" w:sz="0" w:space="0" w:color="auto"/>
        <w:left w:val="none" w:sz="0" w:space="0" w:color="auto"/>
        <w:bottom w:val="none" w:sz="0" w:space="0" w:color="auto"/>
        <w:right w:val="none" w:sz="0" w:space="0" w:color="auto"/>
      </w:divBdr>
    </w:div>
    <w:div w:id="1871449633">
      <w:bodyDiv w:val="1"/>
      <w:marLeft w:val="0"/>
      <w:marRight w:val="0"/>
      <w:marTop w:val="0"/>
      <w:marBottom w:val="0"/>
      <w:divBdr>
        <w:top w:val="none" w:sz="0" w:space="0" w:color="auto"/>
        <w:left w:val="none" w:sz="0" w:space="0" w:color="auto"/>
        <w:bottom w:val="none" w:sz="0" w:space="0" w:color="auto"/>
        <w:right w:val="none" w:sz="0" w:space="0" w:color="auto"/>
      </w:divBdr>
    </w:div>
    <w:div w:id="1919708820">
      <w:bodyDiv w:val="1"/>
      <w:marLeft w:val="0"/>
      <w:marRight w:val="0"/>
      <w:marTop w:val="0"/>
      <w:marBottom w:val="0"/>
      <w:divBdr>
        <w:top w:val="none" w:sz="0" w:space="0" w:color="auto"/>
        <w:left w:val="none" w:sz="0" w:space="0" w:color="auto"/>
        <w:bottom w:val="none" w:sz="0" w:space="0" w:color="auto"/>
        <w:right w:val="none" w:sz="0" w:space="0" w:color="auto"/>
      </w:divBdr>
    </w:div>
    <w:div w:id="1927685275">
      <w:bodyDiv w:val="1"/>
      <w:marLeft w:val="0"/>
      <w:marRight w:val="0"/>
      <w:marTop w:val="0"/>
      <w:marBottom w:val="0"/>
      <w:divBdr>
        <w:top w:val="none" w:sz="0" w:space="0" w:color="auto"/>
        <w:left w:val="none" w:sz="0" w:space="0" w:color="auto"/>
        <w:bottom w:val="none" w:sz="0" w:space="0" w:color="auto"/>
        <w:right w:val="none" w:sz="0" w:space="0" w:color="auto"/>
      </w:divBdr>
    </w:div>
    <w:div w:id="1947077834">
      <w:bodyDiv w:val="1"/>
      <w:marLeft w:val="0"/>
      <w:marRight w:val="0"/>
      <w:marTop w:val="0"/>
      <w:marBottom w:val="0"/>
      <w:divBdr>
        <w:top w:val="none" w:sz="0" w:space="0" w:color="auto"/>
        <w:left w:val="none" w:sz="0" w:space="0" w:color="auto"/>
        <w:bottom w:val="none" w:sz="0" w:space="0" w:color="auto"/>
        <w:right w:val="none" w:sz="0" w:space="0" w:color="auto"/>
      </w:divBdr>
    </w:div>
    <w:div w:id="1984654505">
      <w:bodyDiv w:val="1"/>
      <w:marLeft w:val="0"/>
      <w:marRight w:val="0"/>
      <w:marTop w:val="0"/>
      <w:marBottom w:val="0"/>
      <w:divBdr>
        <w:top w:val="none" w:sz="0" w:space="0" w:color="auto"/>
        <w:left w:val="none" w:sz="0" w:space="0" w:color="auto"/>
        <w:bottom w:val="none" w:sz="0" w:space="0" w:color="auto"/>
        <w:right w:val="none" w:sz="0" w:space="0" w:color="auto"/>
      </w:divBdr>
    </w:div>
    <w:div w:id="2028017029">
      <w:bodyDiv w:val="1"/>
      <w:marLeft w:val="0"/>
      <w:marRight w:val="0"/>
      <w:marTop w:val="0"/>
      <w:marBottom w:val="0"/>
      <w:divBdr>
        <w:top w:val="none" w:sz="0" w:space="0" w:color="auto"/>
        <w:left w:val="none" w:sz="0" w:space="0" w:color="auto"/>
        <w:bottom w:val="none" w:sz="0" w:space="0" w:color="auto"/>
        <w:right w:val="none" w:sz="0" w:space="0" w:color="auto"/>
      </w:divBdr>
      <w:divsChild>
        <w:div w:id="1991446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292860">
      <w:bodyDiv w:val="1"/>
      <w:marLeft w:val="0"/>
      <w:marRight w:val="0"/>
      <w:marTop w:val="0"/>
      <w:marBottom w:val="0"/>
      <w:divBdr>
        <w:top w:val="none" w:sz="0" w:space="0" w:color="auto"/>
        <w:left w:val="none" w:sz="0" w:space="0" w:color="auto"/>
        <w:bottom w:val="none" w:sz="0" w:space="0" w:color="auto"/>
        <w:right w:val="none" w:sz="0" w:space="0" w:color="auto"/>
      </w:divBdr>
    </w:div>
    <w:div w:id="2054648071">
      <w:bodyDiv w:val="1"/>
      <w:marLeft w:val="0"/>
      <w:marRight w:val="0"/>
      <w:marTop w:val="0"/>
      <w:marBottom w:val="0"/>
      <w:divBdr>
        <w:top w:val="none" w:sz="0" w:space="0" w:color="auto"/>
        <w:left w:val="none" w:sz="0" w:space="0" w:color="auto"/>
        <w:bottom w:val="none" w:sz="0" w:space="0" w:color="auto"/>
        <w:right w:val="none" w:sz="0" w:space="0" w:color="auto"/>
      </w:divBdr>
    </w:div>
    <w:div w:id="21306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1041</Words>
  <Characters>6147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Ondráčková Kateřina, Ing., MHA</dc:creator>
  <cp:keywords/>
  <dc:description/>
  <cp:lastModifiedBy>Ondráčková Kateřina, Ing., MHA</cp:lastModifiedBy>
  <cp:revision>3</cp:revision>
  <cp:lastPrinted>2025-02-27T14:50:00Z</cp:lastPrinted>
  <dcterms:created xsi:type="dcterms:W3CDTF">2025-05-02T12:45:00Z</dcterms:created>
  <dcterms:modified xsi:type="dcterms:W3CDTF">2025-05-02T13:25:00Z</dcterms:modified>
</cp:coreProperties>
</file>