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4AD" w:rsidRDefault="00E664AD" w:rsidP="00E664AD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Bartošová Petra, Mgr. &lt;</w:t>
      </w:r>
      <w:hyperlink r:id="rId6" w:history="1">
        <w:r>
          <w:rPr>
            <w:rStyle w:val="Hypertextovodkaz"/>
            <w:lang w:eastAsia="cs-CZ"/>
          </w:rPr>
          <w:t>Petra.Bartosova@fnol.cz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20, 2025 1:52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Kučerová Veronika, Mgr. &lt;</w:t>
      </w:r>
      <w:hyperlink r:id="rId7" w:history="1">
        <w:r>
          <w:rPr>
            <w:rStyle w:val="Hypertextovodkaz"/>
            <w:lang w:eastAsia="cs-CZ"/>
          </w:rPr>
          <w:t>Veronika.Kucerova@fnol.cz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Šeflová Lenka, Mgr. &lt;</w:t>
      </w:r>
      <w:hyperlink r:id="rId8" w:history="1">
        <w:r>
          <w:rPr>
            <w:rStyle w:val="Hypertextovodkaz"/>
            <w:lang w:eastAsia="cs-CZ"/>
          </w:rPr>
          <w:t>Lenka.Seflova@fnol.cz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POCT přístroje a metody</w:t>
      </w:r>
    </w:p>
    <w:p w:rsidR="00E664AD" w:rsidRDefault="00E664AD" w:rsidP="00E664AD"/>
    <w:p w:rsidR="00E664AD" w:rsidRDefault="00E664AD" w:rsidP="00E664AD">
      <w:r>
        <w:t>Dobrý den,</w:t>
      </w:r>
    </w:p>
    <w:p w:rsidR="00E664AD" w:rsidRDefault="00E664AD" w:rsidP="00E664AD"/>
    <w:p w:rsidR="00E664AD" w:rsidRDefault="00E664AD" w:rsidP="00E664AD">
      <w:r>
        <w:t>posílám doplňující informace.</w:t>
      </w:r>
    </w:p>
    <w:p w:rsidR="00E664AD" w:rsidRDefault="00E664AD" w:rsidP="00E664AD"/>
    <w:p w:rsidR="00E664AD" w:rsidRDefault="00E664AD" w:rsidP="00E664AD">
      <w:r>
        <w:t>On-</w:t>
      </w:r>
      <w:proofErr w:type="spellStart"/>
      <w:r>
        <w:t>site</w:t>
      </w:r>
      <w:proofErr w:type="spellEnd"/>
      <w:r>
        <w:t xml:space="preserve"> cytologie</w:t>
      </w:r>
    </w:p>
    <w:p w:rsidR="00E664AD" w:rsidRDefault="00E664AD" w:rsidP="00E664A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prim. MUDr. </w:t>
      </w:r>
      <w:proofErr w:type="spellStart"/>
      <w:r>
        <w:rPr>
          <w:rFonts w:eastAsia="Times New Roman"/>
        </w:rPr>
        <w:t>Skanderová</w:t>
      </w:r>
      <w:proofErr w:type="spellEnd"/>
      <w:r>
        <w:rPr>
          <w:rFonts w:eastAsia="Times New Roman"/>
        </w:rPr>
        <w:t xml:space="preserve"> Daniela             kl. 7-2466</w:t>
      </w:r>
    </w:p>
    <w:p w:rsidR="00E664AD" w:rsidRDefault="00E664AD" w:rsidP="00E664A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provádí zatím 4 lékaři patologie, další se zaučují</w:t>
      </w:r>
    </w:p>
    <w:p w:rsidR="00E664AD" w:rsidRDefault="00E664AD" w:rsidP="00E664AD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barvení preparátů na endoskopii provádí 3 endoskopické sestry zaučené laboranty z patologie</w:t>
      </w:r>
    </w:p>
    <w:p w:rsidR="00E664AD" w:rsidRDefault="00E664AD" w:rsidP="00E664AD"/>
    <w:p w:rsidR="00E664AD" w:rsidRDefault="00E664AD" w:rsidP="00E664AD">
      <w:r>
        <w:t>Test HP</w:t>
      </w:r>
    </w:p>
    <w:p w:rsidR="00E664AD" w:rsidRDefault="00E664AD" w:rsidP="00E664AD">
      <w:pPr>
        <w:pStyle w:val="Odstavecseseznamem"/>
        <w:numPr>
          <w:ilvl w:val="0"/>
          <w:numId w:val="2"/>
        </w:numPr>
        <w:rPr>
          <w:rStyle w:val="fs11lh1-5"/>
        </w:rPr>
      </w:pPr>
      <w:r>
        <w:rPr>
          <w:rFonts w:eastAsia="Times New Roman"/>
        </w:rPr>
        <w:t xml:space="preserve">karta QI               DB325   SO331   ITEST-HELICOBACTER     </w:t>
      </w:r>
    </w:p>
    <w:p w:rsidR="00E664AD" w:rsidRDefault="00E664AD" w:rsidP="00E664AD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b/>
          <w:bCs/>
        </w:rPr>
        <w:t>Význam a použití:</w:t>
      </w:r>
      <w:r>
        <w:rPr>
          <w:rFonts w:eastAsia="Times New Roman"/>
        </w:rPr>
        <w:br/>
        <w:t xml:space="preserve">Souprava ITEST HELICOBACTER je určena k rychlé identifikaci </w:t>
      </w:r>
      <w:proofErr w:type="spellStart"/>
      <w:r>
        <w:rPr>
          <w:rFonts w:eastAsia="Times New Roman"/>
        </w:rPr>
        <w:t>Helicobacter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pylori</w:t>
      </w:r>
      <w:proofErr w:type="spellEnd"/>
      <w:r>
        <w:rPr>
          <w:rFonts w:eastAsia="Times New Roman"/>
        </w:rPr>
        <w:t xml:space="preserve"> v bioptickém vzorku žaludeční sliznice biochemickou metodou. Souprava umožňuje odlišit vředovou chorobu etiologicky vázanou na </w:t>
      </w:r>
      <w:proofErr w:type="spellStart"/>
      <w:r>
        <w:rPr>
          <w:rFonts w:eastAsia="Times New Roman"/>
        </w:rPr>
        <w:t>helikobakterovou</w:t>
      </w:r>
      <w:proofErr w:type="spellEnd"/>
      <w:r>
        <w:rPr>
          <w:rFonts w:eastAsia="Times New Roman"/>
        </w:rPr>
        <w:t xml:space="preserve"> infekci od případů </w:t>
      </w:r>
      <w:proofErr w:type="spellStart"/>
      <w:r>
        <w:rPr>
          <w:rFonts w:eastAsia="Times New Roman"/>
        </w:rPr>
        <w:t>Helicobacter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pylori</w:t>
      </w:r>
      <w:proofErr w:type="spellEnd"/>
      <w:r>
        <w:rPr>
          <w:rFonts w:eastAsia="Times New Roman"/>
        </w:rPr>
        <w:t xml:space="preserve"> negativních, vzniklých na bázi jiné specifické příčiny (např. </w:t>
      </w:r>
      <w:proofErr w:type="spellStart"/>
      <w:r>
        <w:rPr>
          <w:rFonts w:eastAsia="Times New Roman"/>
        </w:rPr>
        <w:t>gastrinom</w:t>
      </w:r>
      <w:proofErr w:type="spellEnd"/>
      <w:r>
        <w:rPr>
          <w:rFonts w:eastAsia="Times New Roman"/>
        </w:rPr>
        <w:t xml:space="preserve">, Crohnova choroba </w:t>
      </w:r>
      <w:proofErr w:type="gramStart"/>
      <w:r>
        <w:rPr>
          <w:rFonts w:eastAsia="Times New Roman"/>
        </w:rPr>
        <w:t>a pod.</w:t>
      </w:r>
      <w:proofErr w:type="gramEnd"/>
      <w:r>
        <w:rPr>
          <w:rFonts w:eastAsia="Times New Roman"/>
        </w:rPr>
        <w:t xml:space="preserve">). Průkaz peptických vředů vzniklých mechanismem </w:t>
      </w:r>
      <w:proofErr w:type="spellStart"/>
      <w:r>
        <w:rPr>
          <w:rFonts w:eastAsia="Times New Roman"/>
        </w:rPr>
        <w:t>helikobakterové</w:t>
      </w:r>
      <w:proofErr w:type="spellEnd"/>
      <w:r>
        <w:rPr>
          <w:rFonts w:eastAsia="Times New Roman"/>
        </w:rPr>
        <w:t xml:space="preserve"> infekce umožňuje včasné zahájení účinné </w:t>
      </w:r>
      <w:proofErr w:type="spellStart"/>
      <w:r>
        <w:rPr>
          <w:rFonts w:eastAsia="Times New Roman"/>
        </w:rPr>
        <w:t>antihelikobakterové</w:t>
      </w:r>
      <w:proofErr w:type="spellEnd"/>
      <w:r>
        <w:rPr>
          <w:rFonts w:eastAsia="Times New Roman"/>
        </w:rPr>
        <w:t xml:space="preserve"> léčby.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Princip testu: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Helicobacter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pylori</w:t>
      </w:r>
      <w:proofErr w:type="spellEnd"/>
      <w:r>
        <w:rPr>
          <w:rFonts w:eastAsia="Times New Roman"/>
        </w:rPr>
        <w:t xml:space="preserve"> produkuje ureázu, jejíž průkaz je založen na změně pH při vzniku amoniaku.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Provedení testu:</w:t>
      </w:r>
      <w:r>
        <w:rPr>
          <w:rFonts w:eastAsia="Times New Roman"/>
        </w:rPr>
        <w:br/>
        <w:t xml:space="preserve">Do detekční zkumavky s dehydratovaným substrátem přidejte 2 kapky rozpouštědla. Po dokonalém rozpuštění do roztoku dejte vyšetřovaný bioptický materiál. Zkumavku uzavřete a inkubujte </w:t>
      </w:r>
      <w:proofErr w:type="gramStart"/>
      <w:r>
        <w:rPr>
          <w:rFonts w:eastAsia="Times New Roman"/>
        </w:rPr>
        <w:t>3 – 4</w:t>
      </w:r>
      <w:proofErr w:type="gramEnd"/>
      <w:r>
        <w:rPr>
          <w:rFonts w:eastAsia="Times New Roman"/>
        </w:rPr>
        <w:t xml:space="preserve"> hodiny při pokojové teplotě. V ojedinělých případech zkumavky inkubujte do druhého dne.</w:t>
      </w:r>
    </w:p>
    <w:p w:rsidR="00E664AD" w:rsidRDefault="00E664AD" w:rsidP="00E664AD">
      <w:pPr>
        <w:pStyle w:val="imtaleft"/>
        <w:numPr>
          <w:ilvl w:val="0"/>
          <w:numId w:val="2"/>
        </w:numPr>
        <w:spacing w:before="0" w:beforeAutospacing="0" w:after="0" w:afterAutospacing="0"/>
        <w:textAlignment w:val="baseline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>Hodnocení testu:</w:t>
      </w:r>
      <w:r>
        <w:rPr>
          <w:rFonts w:eastAsia="Times New Roman"/>
          <w:lang w:eastAsia="en-US"/>
        </w:rPr>
        <w:br/>
        <w:t xml:space="preserve">Při pozitivní reakci (přítomnost </w:t>
      </w:r>
      <w:proofErr w:type="spellStart"/>
      <w:r>
        <w:rPr>
          <w:rFonts w:eastAsia="Times New Roman"/>
          <w:lang w:eastAsia="en-US"/>
        </w:rPr>
        <w:t>Helicobacter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pylori</w:t>
      </w:r>
      <w:proofErr w:type="spellEnd"/>
      <w:r>
        <w:rPr>
          <w:rFonts w:eastAsia="Times New Roman"/>
          <w:lang w:eastAsia="en-US"/>
        </w:rPr>
        <w:t xml:space="preserve"> ve vyšetřovaném vzorku) se během inkubace substrát zbarví do </w:t>
      </w:r>
      <w:proofErr w:type="spellStart"/>
      <w:r>
        <w:rPr>
          <w:rFonts w:eastAsia="Times New Roman"/>
          <w:lang w:eastAsia="en-US"/>
        </w:rPr>
        <w:t>růžovofialova</w:t>
      </w:r>
      <w:proofErr w:type="spellEnd"/>
      <w:r>
        <w:rPr>
          <w:rFonts w:eastAsia="Times New Roman"/>
          <w:lang w:eastAsia="en-US"/>
        </w:rPr>
        <w:t xml:space="preserve"> až fialova.</w:t>
      </w:r>
      <w:r>
        <w:rPr>
          <w:rFonts w:eastAsia="Times New Roman"/>
          <w:lang w:eastAsia="en-US"/>
        </w:rPr>
        <w:br/>
        <w:t>Při negativní reakci se barva substrátu během inkubace nemění, tzn. zůstane žlutá až žlutooranžová.</w:t>
      </w:r>
    </w:p>
    <w:p w:rsidR="00E664AD" w:rsidRDefault="00E664AD" w:rsidP="00E664AD">
      <w:pPr>
        <w:pStyle w:val="imtaleft"/>
        <w:numPr>
          <w:ilvl w:val="0"/>
          <w:numId w:val="2"/>
        </w:numPr>
        <w:spacing w:before="0" w:beforeAutospacing="0" w:after="240" w:afterAutospacing="0"/>
        <w:textAlignment w:val="baseline"/>
        <w:rPr>
          <w:rFonts w:eastAsia="Times New Roman"/>
          <w:lang w:eastAsia="en-US"/>
        </w:rPr>
      </w:pPr>
      <w:r>
        <w:rPr>
          <w:rFonts w:eastAsia="Times New Roman"/>
          <w:b/>
          <w:bCs/>
          <w:lang w:eastAsia="en-US"/>
        </w:rPr>
        <w:t>Upozornění:</w:t>
      </w:r>
      <w:r>
        <w:rPr>
          <w:rFonts w:eastAsia="Times New Roman"/>
          <w:lang w:eastAsia="en-US"/>
        </w:rPr>
        <w:br/>
        <w:t>1. Souprava ITEST HELICOBACTER je dodávána v balení po 25 testech (kat. č. SO 331) a je pouze pro použití in vitro.</w:t>
      </w:r>
      <w:r>
        <w:rPr>
          <w:rFonts w:eastAsia="Times New Roman"/>
          <w:lang w:eastAsia="en-US"/>
        </w:rPr>
        <w:br/>
        <w:t xml:space="preserve">2. Soupravu uchovávejte v temnu při </w:t>
      </w:r>
      <w:proofErr w:type="gramStart"/>
      <w:r>
        <w:rPr>
          <w:rFonts w:eastAsia="Times New Roman"/>
          <w:lang w:eastAsia="en-US"/>
        </w:rPr>
        <w:t>2 – 8</w:t>
      </w:r>
      <w:proofErr w:type="gramEnd"/>
      <w:r>
        <w:rPr>
          <w:rFonts w:eastAsia="Times New Roman"/>
          <w:lang w:eastAsia="en-US"/>
        </w:rPr>
        <w:t>°C a spotřebujte doby exspirace uvedené na štítku.</w:t>
      </w:r>
    </w:p>
    <w:p w:rsidR="00E664AD" w:rsidRDefault="00E664AD" w:rsidP="00E664AD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výsledek zapisujeme do </w:t>
      </w:r>
      <w:proofErr w:type="spellStart"/>
      <w:r>
        <w:rPr>
          <w:rFonts w:eastAsia="Times New Roman"/>
        </w:rPr>
        <w:t>Medea</w:t>
      </w:r>
      <w:proofErr w:type="spellEnd"/>
      <w:r>
        <w:rPr>
          <w:rFonts w:eastAsia="Times New Roman"/>
        </w:rPr>
        <w:t xml:space="preserve"> / zadávání výsledků</w:t>
      </w:r>
    </w:p>
    <w:p w:rsidR="00E664AD" w:rsidRDefault="00E664AD" w:rsidP="00E664AD">
      <w:pPr>
        <w:pStyle w:val="Odstavecseseznamem"/>
      </w:pPr>
    </w:p>
    <w:p w:rsidR="00E664AD" w:rsidRDefault="00E664AD" w:rsidP="00E664AD">
      <w:r>
        <w:t>Ráda doplním, pokud budete potřebovat.</w:t>
      </w:r>
    </w:p>
    <w:p w:rsidR="00E664AD" w:rsidRDefault="00E664AD" w:rsidP="00E664AD"/>
    <w:p w:rsidR="00E664AD" w:rsidRDefault="00E664AD" w:rsidP="00E664AD">
      <w:r>
        <w:t>Děkuji</w:t>
      </w:r>
    </w:p>
    <w:p w:rsidR="00E664AD" w:rsidRDefault="00E664AD" w:rsidP="00E664AD">
      <w:r>
        <w:t>Krásný den</w:t>
      </w:r>
    </w:p>
    <w:p w:rsidR="00E664AD" w:rsidRDefault="00E664AD" w:rsidP="00E664AD"/>
    <w:p w:rsidR="00E664AD" w:rsidRDefault="00E664AD" w:rsidP="00E664AD"/>
    <w:p w:rsidR="00E664AD" w:rsidRDefault="00E664AD" w:rsidP="00E664AD">
      <w:pPr>
        <w:autoSpaceDE w:val="0"/>
        <w:autoSpaceDN w:val="0"/>
        <w:rPr>
          <w:color w:val="000000"/>
          <w:sz w:val="24"/>
          <w:szCs w:val="2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4072255</wp:posOffset>
            </wp:positionH>
            <wp:positionV relativeFrom="paragraph">
              <wp:posOffset>62230</wp:posOffset>
            </wp:positionV>
            <wp:extent cx="1162685" cy="30607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306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4994"/>
          <w:sz w:val="24"/>
          <w:szCs w:val="24"/>
        </w:rPr>
        <w:t>Mgr. Petra Bartošová</w:t>
      </w:r>
      <w:r>
        <w:rPr>
          <w:b/>
          <w:bCs/>
          <w:color w:val="004994"/>
          <w:sz w:val="24"/>
          <w:szCs w:val="24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</w:t>
      </w:r>
    </w:p>
    <w:p w:rsidR="00E664AD" w:rsidRDefault="00E664AD" w:rsidP="00E664AD">
      <w:pPr>
        <w:autoSpaceDE w:val="0"/>
        <w:autoSpaceDN w:val="0"/>
        <w:rPr>
          <w:color w:val="000000"/>
          <w:lang w:val="en-US"/>
        </w:rPr>
      </w:pPr>
      <w:r>
        <w:rPr>
          <w:color w:val="8C9399"/>
          <w:sz w:val="20"/>
          <w:szCs w:val="20"/>
        </w:rPr>
        <w:t>úseková sestra</w:t>
      </w:r>
      <w:r>
        <w:rPr>
          <w:color w:val="8C9399"/>
          <w:sz w:val="20"/>
          <w:szCs w:val="20"/>
          <w:lang w:val="en-US"/>
        </w:rPr>
        <w:t xml:space="preserve">                                            </w:t>
      </w:r>
      <w:r>
        <w:rPr>
          <w:color w:val="8C9399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664AD" w:rsidRDefault="00E664AD" w:rsidP="00E664AD">
      <w:pPr>
        <w:autoSpaceDE w:val="0"/>
        <w:autoSpaceDN w:val="0"/>
        <w:rPr>
          <w:color w:val="000000"/>
          <w:sz w:val="20"/>
          <w:szCs w:val="20"/>
          <w:lang w:val="en-US"/>
        </w:rPr>
      </w:pPr>
      <w:r>
        <w:rPr>
          <w:color w:val="8C9399"/>
          <w:sz w:val="20"/>
          <w:szCs w:val="20"/>
        </w:rPr>
        <w:t xml:space="preserve">II. Interní klinika – gastroenterologická a geriatrická: odd. </w:t>
      </w:r>
      <w:proofErr w:type="spellStart"/>
      <w:r>
        <w:rPr>
          <w:color w:val="8C9399"/>
          <w:sz w:val="20"/>
          <w:szCs w:val="20"/>
        </w:rPr>
        <w:t>invaz</w:t>
      </w:r>
      <w:proofErr w:type="spellEnd"/>
      <w:r>
        <w:rPr>
          <w:color w:val="8C9399"/>
          <w:sz w:val="20"/>
          <w:szCs w:val="20"/>
        </w:rPr>
        <w:t>. vyš. metody-endoskopie</w:t>
      </w:r>
      <w:r>
        <w:rPr>
          <w:color w:val="8C9399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</w:t>
      </w:r>
    </w:p>
    <w:p w:rsidR="00E664AD" w:rsidRDefault="00E664AD" w:rsidP="00E664AD">
      <w:pPr>
        <w:autoSpaceDE w:val="0"/>
        <w:autoSpaceDN w:val="0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___________________________________________________________________________________</w:t>
      </w:r>
    </w:p>
    <w:p w:rsidR="00E664AD" w:rsidRDefault="00E664AD" w:rsidP="00E664AD">
      <w:pPr>
        <w:autoSpaceDE w:val="0"/>
        <w:autoSpaceDN w:val="0"/>
        <w:rPr>
          <w:color w:val="000000"/>
          <w:sz w:val="20"/>
          <w:szCs w:val="20"/>
          <w:lang w:val="en-US"/>
        </w:rPr>
      </w:pPr>
      <w:proofErr w:type="spellStart"/>
      <w:r>
        <w:rPr>
          <w:color w:val="000000"/>
          <w:sz w:val="20"/>
          <w:szCs w:val="20"/>
          <w:lang w:val="en-US"/>
        </w:rPr>
        <w:t>Fakultní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nemocnice</w:t>
      </w:r>
      <w:proofErr w:type="spellEnd"/>
      <w:r>
        <w:rPr>
          <w:color w:val="000000"/>
          <w:sz w:val="20"/>
          <w:szCs w:val="20"/>
          <w:lang w:val="en-US"/>
        </w:rPr>
        <w:t xml:space="preserve"> Olomouc®, </w:t>
      </w:r>
      <w:proofErr w:type="spellStart"/>
      <w:r>
        <w:rPr>
          <w:color w:val="000000"/>
          <w:sz w:val="20"/>
          <w:szCs w:val="20"/>
          <w:lang w:val="en-US"/>
        </w:rPr>
        <w:t>Zdravotníků</w:t>
      </w:r>
      <w:proofErr w:type="spellEnd"/>
      <w:r>
        <w:rPr>
          <w:color w:val="000000"/>
          <w:sz w:val="20"/>
          <w:szCs w:val="20"/>
          <w:lang w:val="en-US"/>
        </w:rPr>
        <w:t xml:space="preserve"> 248/7, 779 00 Olomouc</w:t>
      </w:r>
    </w:p>
    <w:p w:rsidR="00E664AD" w:rsidRDefault="00E664AD" w:rsidP="00E664AD">
      <w:pPr>
        <w:autoSpaceDE w:val="0"/>
        <w:autoSpaceDN w:val="0"/>
        <w:rPr>
          <w:color w:val="000000"/>
          <w:sz w:val="20"/>
          <w:szCs w:val="20"/>
          <w:lang w:val="en-US"/>
        </w:rPr>
      </w:pPr>
      <w:r>
        <w:rPr>
          <w:b/>
          <w:bCs/>
          <w:color w:val="004994"/>
          <w:sz w:val="20"/>
          <w:szCs w:val="20"/>
          <w:lang w:val="en-US"/>
        </w:rPr>
        <w:t>Tel.:</w:t>
      </w:r>
      <w:r>
        <w:rPr>
          <w:color w:val="000000"/>
          <w:sz w:val="20"/>
          <w:szCs w:val="20"/>
        </w:rPr>
        <w:t xml:space="preserve"> 588445854</w:t>
      </w:r>
    </w:p>
    <w:p w:rsidR="00E664AD" w:rsidRDefault="00E664AD" w:rsidP="00E664AD">
      <w:pPr>
        <w:autoSpaceDE w:val="0"/>
        <w:autoSpaceDN w:val="0"/>
        <w:rPr>
          <w:color w:val="000000"/>
          <w:sz w:val="20"/>
          <w:szCs w:val="20"/>
          <w:lang w:val="en-US"/>
        </w:rPr>
      </w:pPr>
      <w:r>
        <w:rPr>
          <w:b/>
          <w:bCs/>
          <w:color w:val="004994"/>
          <w:sz w:val="20"/>
          <w:szCs w:val="20"/>
          <w:lang w:val="en-US"/>
        </w:rPr>
        <w:t xml:space="preserve">E-mail: </w:t>
      </w:r>
      <w:hyperlink r:id="rId10" w:history="1">
        <w:r>
          <w:rPr>
            <w:rStyle w:val="Hypertextovodkaz"/>
            <w:color w:val="000000"/>
            <w:sz w:val="20"/>
            <w:szCs w:val="20"/>
          </w:rPr>
          <w:t>Petra.Bartosova@fnol.cz</w:t>
        </w:r>
        <w:r>
          <w:rPr>
            <w:rStyle w:val="Hypertextovodkaz"/>
            <w:color w:val="000000"/>
            <w:sz w:val="20"/>
            <w:szCs w:val="20"/>
            <w:u w:val="none"/>
          </w:rPr>
          <w:t xml:space="preserve"> </w:t>
        </w:r>
      </w:hyperlink>
      <w:r>
        <w:rPr>
          <w:color w:val="000000"/>
          <w:sz w:val="20"/>
          <w:szCs w:val="20"/>
        </w:rPr>
        <w:t> </w:t>
      </w:r>
    </w:p>
    <w:p w:rsidR="00E664AD" w:rsidRDefault="00E664AD" w:rsidP="00E664AD">
      <w:pPr>
        <w:autoSpaceDE w:val="0"/>
        <w:autoSpaceDN w:val="0"/>
        <w:rPr>
          <w:color w:val="000000"/>
          <w:sz w:val="20"/>
          <w:szCs w:val="20"/>
          <w:lang w:val="en-US"/>
        </w:rPr>
      </w:pPr>
      <w:r>
        <w:rPr>
          <w:b/>
          <w:bCs/>
          <w:color w:val="32599E"/>
          <w:sz w:val="20"/>
          <w:szCs w:val="20"/>
          <w:lang w:val="en-US"/>
        </w:rPr>
        <w:t xml:space="preserve">Web: </w:t>
      </w:r>
      <w:hyperlink r:id="rId11" w:history="1">
        <w:r>
          <w:rPr>
            <w:rStyle w:val="Hypertextovodkaz"/>
            <w:color w:val="0066CC"/>
            <w:sz w:val="20"/>
            <w:szCs w:val="20"/>
            <w:lang w:val="en-US"/>
          </w:rPr>
          <w:t>www.fnol.cz</w:t>
        </w:r>
      </w:hyperlink>
    </w:p>
    <w:p w:rsidR="009C2347" w:rsidRDefault="009C2347">
      <w:bookmarkStart w:id="0" w:name="_GoBack"/>
      <w:bookmarkEnd w:id="0"/>
    </w:p>
    <w:sectPr w:rsidR="009C2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70175"/>
    <w:multiLevelType w:val="hybridMultilevel"/>
    <w:tmpl w:val="0832A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7304A"/>
    <w:multiLevelType w:val="hybridMultilevel"/>
    <w:tmpl w:val="6FDEF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AD"/>
    <w:rsid w:val="009C2347"/>
    <w:rsid w:val="00AA509D"/>
    <w:rsid w:val="00E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5438AB-4C86-4997-9978-DBE745A2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64A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64AD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664AD"/>
    <w:pPr>
      <w:ind w:left="720"/>
    </w:pPr>
  </w:style>
  <w:style w:type="paragraph" w:customStyle="1" w:styleId="imtaleft">
    <w:name w:val="imtaleft"/>
    <w:basedOn w:val="Normln"/>
    <w:rsid w:val="00E664AD"/>
    <w:pPr>
      <w:spacing w:before="100" w:beforeAutospacing="1" w:after="100" w:afterAutospacing="1"/>
    </w:pPr>
    <w:rPr>
      <w:lang w:eastAsia="cs-CZ"/>
    </w:rPr>
  </w:style>
  <w:style w:type="character" w:customStyle="1" w:styleId="fs11lh1-5">
    <w:name w:val="fs11lh1-5"/>
    <w:basedOn w:val="Standardnpsmoodstavce"/>
    <w:rsid w:val="00E6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Seflova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eronika.Kucerova@fnol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tra.Bartosova@fnol.cz" TargetMode="External"/><Relationship Id="rId11" Type="http://schemas.openxmlformats.org/officeDocument/2006/relationships/hyperlink" Target="http://www.fnol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etra.Bartosova@fno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97BB-A591-49CD-8EE2-A07FDB1F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Veronika, Mgr., Ph.D.</dc:creator>
  <cp:keywords/>
  <dc:description/>
  <cp:lastModifiedBy>Kučerová Veronika, Mgr., Ph.D.</cp:lastModifiedBy>
  <cp:revision>1</cp:revision>
  <dcterms:created xsi:type="dcterms:W3CDTF">2025-03-03T12:42:00Z</dcterms:created>
  <dcterms:modified xsi:type="dcterms:W3CDTF">2025-03-03T12:46:00Z</dcterms:modified>
</cp:coreProperties>
</file>