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EHLED PRAX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k: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Rehabilita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stav Hrabyn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(3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dny)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Jednodenn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praxe: Domov pro seniory Hrub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Voda, rehabilita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FNOL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Druh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k: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rehabilita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centrum Medv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dek v Brn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(3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dny)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Rehabilita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stav Hrabyn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(1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den)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Nemocnice AGEL Prost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jov (1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den)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k: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Rehabilita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FNOL (3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dny)</w:t>
      </w:r>
    </w:p>
    <w:p>
      <w:pPr>
        <w:pStyle w:val="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Jednodenn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praxe: Senzaspace 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Ji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n, Centrum Dominika Kokory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omlčka">
    <w:name w:val="Pomlč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