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75" w:rsidRDefault="003122FB" w:rsidP="0018609E">
      <w:pPr>
        <w:pStyle w:val="Nadpis3"/>
        <w:spacing w:before="24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B. </w:t>
      </w:r>
      <w:r w:rsidR="002E25CA">
        <w:rPr>
          <w:rFonts w:cs="Arial"/>
          <w:sz w:val="32"/>
          <w:szCs w:val="32"/>
        </w:rPr>
        <w:t>SOUHRNNÁ</w:t>
      </w:r>
      <w:r w:rsidR="0018609E">
        <w:rPr>
          <w:rFonts w:cs="Arial"/>
          <w:sz w:val="32"/>
          <w:szCs w:val="32"/>
        </w:rPr>
        <w:t xml:space="preserve"> </w:t>
      </w:r>
      <w:r w:rsidR="002E25CA">
        <w:rPr>
          <w:rFonts w:cs="Arial"/>
          <w:sz w:val="32"/>
          <w:szCs w:val="32"/>
        </w:rPr>
        <w:t>TECHN</w:t>
      </w:r>
      <w:r w:rsidR="007215C9">
        <w:rPr>
          <w:rFonts w:cs="Arial"/>
          <w:sz w:val="32"/>
          <w:szCs w:val="32"/>
        </w:rPr>
        <w:t>I</w:t>
      </w:r>
      <w:r w:rsidR="002E25CA">
        <w:rPr>
          <w:rFonts w:cs="Arial"/>
          <w:sz w:val="32"/>
          <w:szCs w:val="32"/>
        </w:rPr>
        <w:t>CKÁ</w:t>
      </w:r>
      <w:r w:rsidR="007215C9">
        <w:rPr>
          <w:rFonts w:cs="Arial"/>
          <w:sz w:val="32"/>
          <w:szCs w:val="32"/>
        </w:rPr>
        <w:t xml:space="preserve"> </w:t>
      </w:r>
      <w:r w:rsidR="006B1C75" w:rsidRPr="00FD71AD">
        <w:rPr>
          <w:rFonts w:cs="Arial"/>
          <w:sz w:val="32"/>
          <w:szCs w:val="32"/>
        </w:rPr>
        <w:t>ZPRÁVA</w:t>
      </w:r>
    </w:p>
    <w:p w:rsidR="00E601A5" w:rsidRPr="00E601A5" w:rsidRDefault="00E601A5" w:rsidP="00E601A5"/>
    <w:p w:rsidR="006B1C75" w:rsidRPr="003F1A47" w:rsidRDefault="006B1C75" w:rsidP="0018609E">
      <w:pPr>
        <w:pStyle w:val="Zkladntextodsazen"/>
        <w:spacing w:line="276" w:lineRule="auto"/>
        <w:ind w:left="0" w:firstLine="0"/>
        <w:rPr>
          <w:rFonts w:cs="Arial"/>
          <w:sz w:val="24"/>
          <w:szCs w:val="24"/>
        </w:rPr>
      </w:pPr>
    </w:p>
    <w:p w:rsidR="006B1C75" w:rsidRPr="000B1B38" w:rsidRDefault="006B1C75" w:rsidP="0018609E">
      <w:pPr>
        <w:pStyle w:val="Nadpis1"/>
        <w:tabs>
          <w:tab w:val="clear" w:pos="858"/>
          <w:tab w:val="num" w:pos="567"/>
        </w:tabs>
        <w:spacing w:line="276" w:lineRule="auto"/>
        <w:ind w:left="567" w:hanging="567"/>
      </w:pPr>
      <w:r w:rsidRPr="000B1B38">
        <w:t xml:space="preserve">Základní údaje o </w:t>
      </w:r>
      <w:r w:rsidR="003478BB">
        <w:t>stavbě</w:t>
      </w:r>
    </w:p>
    <w:p w:rsidR="001C6746" w:rsidRDefault="00480347" w:rsidP="008D7D5C">
      <w:pPr>
        <w:spacing w:before="60" w:line="276" w:lineRule="auto"/>
        <w:ind w:firstLine="567"/>
      </w:pPr>
      <w:r>
        <w:t>Stavba se nachází v</w:t>
      </w:r>
      <w:r w:rsidR="00084A13">
        <w:t xml:space="preserve"> </w:t>
      </w:r>
      <w:r>
        <w:t xml:space="preserve">intravilánu města </w:t>
      </w:r>
      <w:r w:rsidR="001C6746">
        <w:t>Olomouc</w:t>
      </w:r>
      <w:r w:rsidR="00084A13">
        <w:t xml:space="preserve"> a</w:t>
      </w:r>
      <w:r w:rsidR="000C2AED">
        <w:t xml:space="preserve"> </w:t>
      </w:r>
      <w:r w:rsidR="00084A13">
        <w:t xml:space="preserve">řeší </w:t>
      </w:r>
      <w:r w:rsidR="001C6746">
        <w:t>opravy</w:t>
      </w:r>
      <w:r w:rsidR="00690546">
        <w:t xml:space="preserve"> a výstavbu nových chodníků</w:t>
      </w:r>
      <w:r w:rsidR="001C6746">
        <w:t xml:space="preserve"> na</w:t>
      </w:r>
      <w:r w:rsidR="00084A13">
        <w:t xml:space="preserve"> </w:t>
      </w:r>
      <w:r w:rsidR="0001214F">
        <w:t xml:space="preserve">ulici I. P. </w:t>
      </w:r>
      <w:r w:rsidR="00813B2F">
        <w:t>Pavlova</w:t>
      </w:r>
      <w:r w:rsidR="00690546">
        <w:t>, Za N</w:t>
      </w:r>
      <w:r w:rsidR="0001214F">
        <w:t>e</w:t>
      </w:r>
      <w:r w:rsidR="00690546">
        <w:t xml:space="preserve">mocnicí, u budovy Y, </w:t>
      </w:r>
      <w:r w:rsidR="0001214F">
        <w:t>WD a</w:t>
      </w:r>
      <w:r w:rsidR="00715EA7">
        <w:t xml:space="preserve"> </w:t>
      </w:r>
      <w:r w:rsidR="00717499">
        <w:t xml:space="preserve">navazujících chodníků </w:t>
      </w:r>
      <w:r w:rsidR="00FF6153">
        <w:t>části</w:t>
      </w:r>
      <w:r w:rsidR="00717499">
        <w:t xml:space="preserve"> </w:t>
      </w:r>
      <w:r w:rsidR="00715EA7">
        <w:t>v areálu Fakultní nemocnice Olomouc</w:t>
      </w:r>
      <w:r w:rsidR="00813B2F">
        <w:t>.</w:t>
      </w:r>
    </w:p>
    <w:p w:rsidR="00480347" w:rsidRDefault="008467D1" w:rsidP="0018609E">
      <w:pPr>
        <w:spacing w:before="60" w:line="276" w:lineRule="auto"/>
      </w:pPr>
      <w:r>
        <w:rPr>
          <w:rFonts w:cs="Arial"/>
        </w:rPr>
        <w:t>Stavba se nachází v</w:t>
      </w:r>
      <w:r w:rsidRPr="008467D1">
        <w:rPr>
          <w:rFonts w:cs="Arial"/>
        </w:rPr>
        <w:t xml:space="preserve"> </w:t>
      </w:r>
      <w:r w:rsidR="002E25CA" w:rsidRPr="008467D1">
        <w:rPr>
          <w:rFonts w:cs="Arial"/>
        </w:rPr>
        <w:t>k. ú.</w:t>
      </w:r>
      <w:r w:rsidRPr="008467D1">
        <w:rPr>
          <w:rFonts w:cs="Arial"/>
        </w:rPr>
        <w:t xml:space="preserve"> Nová Ulice na dotčených pozemcích druhu ostatní plocha par. č. 132/87, 634/2, 613/2, 153/6, 132/104, 153/2, 290/31, na pozemcích druhu zastavěná plocha a nádvoří par</w:t>
      </w:r>
      <w:r>
        <w:rPr>
          <w:rFonts w:cs="Arial"/>
        </w:rPr>
        <w:t xml:space="preserve">. </w:t>
      </w:r>
      <w:r w:rsidRPr="008467D1">
        <w:rPr>
          <w:rFonts w:cs="Arial"/>
        </w:rPr>
        <w:t>č. st. 297 vše ve vlastnictví Fakultní nemocnice Olomouc. Dále na pozemcích druhu ostatní plocha par. č.</w:t>
      </w:r>
      <w:r>
        <w:rPr>
          <w:rFonts w:cs="Arial"/>
        </w:rPr>
        <w:t xml:space="preserve"> </w:t>
      </w:r>
      <w:r w:rsidRPr="008467D1">
        <w:rPr>
          <w:rFonts w:cs="Arial"/>
        </w:rPr>
        <w:t>132/105, 132/135 a na pozemcích druhu</w:t>
      </w:r>
      <w:r>
        <w:rPr>
          <w:rFonts w:cs="Arial"/>
        </w:rPr>
        <w:t xml:space="preserve"> zastavěná plocha a nádvoří par.</w:t>
      </w:r>
      <w:r w:rsidRPr="008467D1">
        <w:rPr>
          <w:rFonts w:cs="Arial"/>
        </w:rPr>
        <w:t xml:space="preserve"> č. st.1218/1 vše ve vlastnictví Univerzita Palackého v Olomouci.</w:t>
      </w:r>
    </w:p>
    <w:p w:rsidR="00085848" w:rsidRDefault="009B5332" w:rsidP="0018609E">
      <w:pPr>
        <w:spacing w:before="60" w:line="276" w:lineRule="auto"/>
        <w:rPr>
          <w:rFonts w:cs="Arial"/>
        </w:rPr>
      </w:pPr>
      <w:r>
        <w:rPr>
          <w:rFonts w:cs="Arial"/>
        </w:rPr>
        <w:t xml:space="preserve">Stavba je </w:t>
      </w:r>
      <w:r w:rsidR="009459FC">
        <w:rPr>
          <w:rFonts w:cs="Arial"/>
        </w:rPr>
        <w:t>situována v zastavěném území, na plochách veřejných prostranství</w:t>
      </w:r>
      <w:r w:rsidR="00595CFC">
        <w:rPr>
          <w:rFonts w:cs="Arial"/>
        </w:rPr>
        <w:t>.</w:t>
      </w:r>
    </w:p>
    <w:p w:rsidR="006B7DB8" w:rsidRDefault="006B7DB8" w:rsidP="0018609E">
      <w:pPr>
        <w:spacing w:before="60" w:line="276" w:lineRule="auto"/>
        <w:rPr>
          <w:rFonts w:cs="Arial"/>
        </w:rPr>
      </w:pPr>
      <w:r>
        <w:t>Účelem s</w:t>
      </w:r>
      <w:r w:rsidRPr="006432D4">
        <w:t>tavb</w:t>
      </w:r>
      <w:r>
        <w:t>y je celková rekonstrukce chodníků</w:t>
      </w:r>
      <w:r w:rsidR="00FF6153">
        <w:t>,</w:t>
      </w:r>
      <w:r w:rsidR="002B300D">
        <w:t xml:space="preserve"> výstavba nových a rozšíření veřejného osvětlení</w:t>
      </w:r>
      <w:r w:rsidR="00AC260E">
        <w:t>.</w:t>
      </w:r>
      <w:r w:rsidR="002B300D">
        <w:t xml:space="preserve"> Dále dojde k rozšíření </w:t>
      </w:r>
      <w:r w:rsidR="008D7D5C">
        <w:t xml:space="preserve">podzemního </w:t>
      </w:r>
      <w:r w:rsidR="002B300D">
        <w:t>vedení NN kabelů v prostoru ulice Za Nemocnicí.</w:t>
      </w:r>
    </w:p>
    <w:p w:rsidR="003478BB" w:rsidRPr="000B1B38" w:rsidRDefault="009B5332" w:rsidP="0018609E">
      <w:pPr>
        <w:spacing w:before="60" w:line="276" w:lineRule="auto"/>
        <w:rPr>
          <w:rFonts w:cs="Arial"/>
        </w:rPr>
      </w:pPr>
      <w:r>
        <w:rPr>
          <w:rFonts w:cs="Arial"/>
        </w:rPr>
        <w:t xml:space="preserve">Stavba </w:t>
      </w:r>
      <w:r w:rsidRPr="00A933EC">
        <w:t>zásadně</w:t>
      </w:r>
      <w:r>
        <w:rPr>
          <w:rFonts w:cs="Arial"/>
        </w:rPr>
        <w:t xml:space="preserve"> neovlivní životní prostředí v dané loka</w:t>
      </w:r>
      <w:r w:rsidR="002B300D">
        <w:rPr>
          <w:rFonts w:cs="Arial"/>
        </w:rPr>
        <w:t>litě.</w:t>
      </w:r>
    </w:p>
    <w:p w:rsidR="006B1C75" w:rsidRPr="003F1A47" w:rsidRDefault="006B1C75" w:rsidP="0018609E">
      <w:pPr>
        <w:spacing w:line="276" w:lineRule="auto"/>
        <w:rPr>
          <w:rFonts w:cs="Arial"/>
          <w:b/>
          <w:caps/>
          <w:sz w:val="24"/>
          <w:szCs w:val="24"/>
        </w:rPr>
      </w:pPr>
    </w:p>
    <w:p w:rsidR="006B1C75" w:rsidRPr="000B1B38" w:rsidRDefault="006B1C75" w:rsidP="0018609E">
      <w:pPr>
        <w:pStyle w:val="Nadpis1"/>
        <w:tabs>
          <w:tab w:val="clear" w:pos="858"/>
          <w:tab w:val="num" w:pos="567"/>
        </w:tabs>
        <w:spacing w:line="276" w:lineRule="auto"/>
        <w:ind w:left="567" w:hanging="567"/>
      </w:pPr>
      <w:r w:rsidRPr="000B1B38">
        <w:t>Přehled výchozích podkladů a průzkumů</w:t>
      </w:r>
    </w:p>
    <w:p w:rsidR="00AD55E9" w:rsidRPr="006855BF" w:rsidRDefault="002E4C72" w:rsidP="0018609E">
      <w:pPr>
        <w:spacing w:before="120" w:line="276" w:lineRule="auto"/>
        <w:rPr>
          <w:rFonts w:cs="Arial"/>
        </w:rPr>
      </w:pPr>
      <w:r>
        <w:rPr>
          <w:rFonts w:cs="Arial"/>
        </w:rPr>
        <w:t>Při zpracování projektu byly</w:t>
      </w:r>
      <w:r w:rsidR="00AD55E9" w:rsidRPr="006855BF">
        <w:rPr>
          <w:rFonts w:cs="Arial"/>
        </w:rPr>
        <w:t xml:space="preserve"> použit</w:t>
      </w:r>
      <w:r w:rsidR="00AD55E9">
        <w:rPr>
          <w:rFonts w:cs="Arial"/>
        </w:rPr>
        <w:t>y</w:t>
      </w:r>
      <w:r w:rsidR="00AD55E9" w:rsidRPr="006855BF">
        <w:rPr>
          <w:rFonts w:cs="Arial"/>
        </w:rPr>
        <w:t xml:space="preserve"> </w:t>
      </w:r>
      <w:r w:rsidR="00AD55E9">
        <w:rPr>
          <w:rFonts w:cs="Arial"/>
        </w:rPr>
        <w:t xml:space="preserve">tyto </w:t>
      </w:r>
      <w:r w:rsidR="00AD55E9" w:rsidRPr="006855BF">
        <w:rPr>
          <w:rFonts w:cs="Arial"/>
        </w:rPr>
        <w:t>podklady:</w:t>
      </w:r>
    </w:p>
    <w:p w:rsidR="003122FB" w:rsidRPr="003122FB" w:rsidRDefault="003122FB" w:rsidP="003122FB">
      <w:pPr>
        <w:pStyle w:val="Zhlav"/>
        <w:numPr>
          <w:ilvl w:val="0"/>
          <w:numId w:val="28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cs="Arial"/>
          <w:b w:val="0"/>
          <w:sz w:val="22"/>
          <w:szCs w:val="22"/>
        </w:rPr>
      </w:pPr>
      <w:r w:rsidRPr="003122FB">
        <w:rPr>
          <w:rFonts w:cs="Arial"/>
          <w:b w:val="0"/>
          <w:sz w:val="22"/>
          <w:szCs w:val="22"/>
        </w:rPr>
        <w:t>Katastrálních podkladů – mapové podklady z katastru nemovitostí</w:t>
      </w:r>
    </w:p>
    <w:p w:rsidR="003122FB" w:rsidRPr="003122FB" w:rsidRDefault="003122FB" w:rsidP="003122FB">
      <w:pPr>
        <w:pStyle w:val="Zhlav"/>
        <w:numPr>
          <w:ilvl w:val="0"/>
          <w:numId w:val="28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cs="Arial"/>
          <w:b w:val="0"/>
          <w:sz w:val="22"/>
          <w:szCs w:val="22"/>
        </w:rPr>
      </w:pPr>
      <w:r w:rsidRPr="003122FB">
        <w:rPr>
          <w:rFonts w:cs="Arial"/>
          <w:b w:val="0"/>
          <w:sz w:val="22"/>
          <w:szCs w:val="22"/>
        </w:rPr>
        <w:t>Projektová dokumentace stavby zpracovaná Ing. Ivo Vzatkem, FNOL, 12/2019</w:t>
      </w:r>
    </w:p>
    <w:p w:rsidR="003122FB" w:rsidRPr="003122FB" w:rsidRDefault="003122FB" w:rsidP="003122FB">
      <w:pPr>
        <w:pStyle w:val="Zhlav"/>
        <w:numPr>
          <w:ilvl w:val="0"/>
          <w:numId w:val="28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cs="Arial"/>
          <w:b w:val="0"/>
          <w:sz w:val="22"/>
          <w:szCs w:val="22"/>
        </w:rPr>
      </w:pPr>
      <w:r w:rsidRPr="003122FB">
        <w:rPr>
          <w:rFonts w:cs="Arial"/>
          <w:b w:val="0"/>
          <w:sz w:val="22"/>
          <w:szCs w:val="22"/>
        </w:rPr>
        <w:t>Prohlídka objektu projektantem s doměřením</w:t>
      </w:r>
    </w:p>
    <w:p w:rsidR="003122FB" w:rsidRPr="003122FB" w:rsidRDefault="003122FB" w:rsidP="003122FB">
      <w:pPr>
        <w:pStyle w:val="Zhlav"/>
        <w:numPr>
          <w:ilvl w:val="0"/>
          <w:numId w:val="28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cs="Arial"/>
          <w:b w:val="0"/>
          <w:sz w:val="22"/>
          <w:szCs w:val="22"/>
        </w:rPr>
      </w:pPr>
      <w:r w:rsidRPr="003122FB">
        <w:rPr>
          <w:rFonts w:cs="Arial"/>
          <w:b w:val="0"/>
          <w:sz w:val="22"/>
          <w:szCs w:val="22"/>
        </w:rPr>
        <w:t>Polohopis a výškopis skutečného provedení</w:t>
      </w:r>
    </w:p>
    <w:p w:rsidR="00AD55E9" w:rsidRPr="00AD55E9" w:rsidRDefault="00AD55E9" w:rsidP="0018609E">
      <w:pPr>
        <w:spacing w:line="276" w:lineRule="auto"/>
        <w:rPr>
          <w:rFonts w:cs="Arial"/>
        </w:rPr>
      </w:pPr>
    </w:p>
    <w:p w:rsidR="006B1C75" w:rsidRPr="000B1B38" w:rsidRDefault="006B1C75" w:rsidP="0018609E">
      <w:pPr>
        <w:pStyle w:val="Nadpis1"/>
        <w:tabs>
          <w:tab w:val="clear" w:pos="858"/>
          <w:tab w:val="num" w:pos="567"/>
        </w:tabs>
        <w:spacing w:line="276" w:lineRule="auto"/>
        <w:ind w:left="567" w:hanging="567"/>
      </w:pPr>
      <w:r w:rsidRPr="000B1B38">
        <w:t>Členění stavby (jednotlivých částí stavby)</w:t>
      </w:r>
    </w:p>
    <w:p w:rsidR="002B300D" w:rsidRDefault="004917D7" w:rsidP="0018609E">
      <w:pPr>
        <w:spacing w:before="60" w:line="276" w:lineRule="auto"/>
      </w:pPr>
      <w:r w:rsidRPr="004917D7">
        <w:t xml:space="preserve">Stavba </w:t>
      </w:r>
      <w:r w:rsidR="002B300D">
        <w:t>je členěna na</w:t>
      </w:r>
      <w:r w:rsidR="001D377C">
        <w:t xml:space="preserve"> </w:t>
      </w:r>
      <w:r w:rsidR="002B300D">
        <w:t>6 stavebních objektů:</w:t>
      </w:r>
    </w:p>
    <w:p w:rsidR="002B300D" w:rsidRPr="002B300D" w:rsidRDefault="0001214F" w:rsidP="0018609E">
      <w:pPr>
        <w:pStyle w:val="Odstavecseseznamem"/>
        <w:numPr>
          <w:ilvl w:val="0"/>
          <w:numId w:val="27"/>
        </w:numPr>
        <w:spacing w:before="60" w:line="276" w:lineRule="auto"/>
        <w:ind w:left="993"/>
      </w:pPr>
      <w:r w:rsidRPr="002B300D">
        <w:t>D. 1 - Chodník</w:t>
      </w:r>
      <w:r w:rsidR="002B300D" w:rsidRPr="002B300D">
        <w:t xml:space="preserve"> v ulici Za Nemocnicí</w:t>
      </w:r>
    </w:p>
    <w:p w:rsidR="002B300D" w:rsidRPr="002B300D" w:rsidRDefault="0001214F" w:rsidP="0018609E">
      <w:pPr>
        <w:pStyle w:val="Odstavecseseznamem"/>
        <w:numPr>
          <w:ilvl w:val="0"/>
          <w:numId w:val="27"/>
        </w:numPr>
        <w:spacing w:before="60" w:line="276" w:lineRule="auto"/>
        <w:ind w:left="993"/>
      </w:pPr>
      <w:r w:rsidRPr="002B300D">
        <w:t>D. 2 - Chodník</w:t>
      </w:r>
      <w:r w:rsidR="002B300D" w:rsidRPr="002B300D">
        <w:t xml:space="preserve"> u II. interní kliniky</w:t>
      </w:r>
    </w:p>
    <w:p w:rsidR="002B300D" w:rsidRPr="002B300D" w:rsidRDefault="0001214F" w:rsidP="0018609E">
      <w:pPr>
        <w:pStyle w:val="Odstavecseseznamem"/>
        <w:numPr>
          <w:ilvl w:val="0"/>
          <w:numId w:val="27"/>
        </w:numPr>
        <w:spacing w:before="60" w:line="276" w:lineRule="auto"/>
        <w:ind w:left="993"/>
      </w:pPr>
      <w:r w:rsidRPr="002B300D">
        <w:t>D. 3 - Chodník</w:t>
      </w:r>
      <w:r w:rsidR="002B300D" w:rsidRPr="002B300D">
        <w:t xml:space="preserve"> pod budovou Y</w:t>
      </w:r>
    </w:p>
    <w:p w:rsidR="002B300D" w:rsidRPr="002B300D" w:rsidRDefault="0001214F" w:rsidP="0018609E">
      <w:pPr>
        <w:pStyle w:val="Odstavecseseznamem"/>
        <w:numPr>
          <w:ilvl w:val="0"/>
          <w:numId w:val="27"/>
        </w:numPr>
        <w:spacing w:before="60" w:line="276" w:lineRule="auto"/>
        <w:ind w:left="993"/>
      </w:pPr>
      <w:r w:rsidRPr="002B300D">
        <w:t>D. 4 - Chodník</w:t>
      </w:r>
      <w:r w:rsidR="002B300D" w:rsidRPr="002B300D">
        <w:t xml:space="preserve"> u budovy WD</w:t>
      </w:r>
    </w:p>
    <w:p w:rsidR="002B300D" w:rsidRPr="002B300D" w:rsidRDefault="0001214F" w:rsidP="0018609E">
      <w:pPr>
        <w:pStyle w:val="Odstavecseseznamem"/>
        <w:numPr>
          <w:ilvl w:val="0"/>
          <w:numId w:val="27"/>
        </w:numPr>
        <w:spacing w:before="60" w:line="276" w:lineRule="auto"/>
        <w:ind w:left="993"/>
      </w:pPr>
      <w:r w:rsidRPr="002B300D">
        <w:t>D. 5 - Rozšíření</w:t>
      </w:r>
      <w:r w:rsidR="002B300D" w:rsidRPr="002B300D">
        <w:t xml:space="preserve"> VO</w:t>
      </w:r>
    </w:p>
    <w:p w:rsidR="002B300D" w:rsidRPr="002B300D" w:rsidRDefault="0001214F" w:rsidP="0018609E">
      <w:pPr>
        <w:pStyle w:val="Odstavecseseznamem"/>
        <w:numPr>
          <w:ilvl w:val="0"/>
          <w:numId w:val="27"/>
        </w:numPr>
        <w:spacing w:before="60" w:line="276" w:lineRule="auto"/>
        <w:ind w:left="993"/>
      </w:pPr>
      <w:r w:rsidRPr="002B300D">
        <w:t>D. 6 - Rozšíření</w:t>
      </w:r>
      <w:r w:rsidR="002B300D" w:rsidRPr="002B300D">
        <w:t xml:space="preserve"> rozvodů NN         </w:t>
      </w:r>
    </w:p>
    <w:p w:rsidR="002B300D" w:rsidRDefault="002B300D" w:rsidP="0018609E">
      <w:pPr>
        <w:spacing w:before="60" w:line="276" w:lineRule="auto"/>
      </w:pPr>
    </w:p>
    <w:p w:rsidR="00FF6153" w:rsidRPr="008467D1" w:rsidRDefault="0001214F" w:rsidP="0018609E">
      <w:pPr>
        <w:spacing w:before="60" w:line="276" w:lineRule="auto"/>
        <w:rPr>
          <w:b/>
        </w:rPr>
      </w:pPr>
      <w:r w:rsidRPr="008467D1">
        <w:rPr>
          <w:b/>
        </w:rPr>
        <w:t>1. Objekt D. 1 - Chodník</w:t>
      </w:r>
      <w:r w:rsidR="00827768" w:rsidRPr="008467D1">
        <w:rPr>
          <w:b/>
        </w:rPr>
        <w:t xml:space="preserve"> v ulici Za </w:t>
      </w:r>
      <w:r w:rsidRPr="008467D1">
        <w:rPr>
          <w:b/>
        </w:rPr>
        <w:t>Nemocnicí:</w:t>
      </w:r>
      <w:r w:rsidR="00FF6153" w:rsidRPr="008467D1">
        <w:rPr>
          <w:b/>
        </w:rPr>
        <w:t xml:space="preserve"> </w:t>
      </w:r>
    </w:p>
    <w:p w:rsidR="00B63419" w:rsidRDefault="00827768" w:rsidP="002766C2">
      <w:pPr>
        <w:spacing w:before="60" w:line="276" w:lineRule="auto"/>
        <w:ind w:firstLine="708"/>
      </w:pPr>
      <w:r>
        <w:t xml:space="preserve">Chodník v ulici Za Nemocnicí </w:t>
      </w:r>
      <w:r w:rsidR="003122FB">
        <w:t>je</w:t>
      </w:r>
      <w:r>
        <w:t xml:space="preserve"> zbudován vlevo ve směru od ulice </w:t>
      </w:r>
      <w:r w:rsidR="0001214F">
        <w:t>I. P. Pavlova</w:t>
      </w:r>
      <w:r>
        <w:t xml:space="preserve">. Částečně </w:t>
      </w:r>
      <w:r w:rsidR="003122FB">
        <w:t>j</w:t>
      </w:r>
      <w:r>
        <w:t xml:space="preserve">e rekonstruován stávající stav k budově „U“ výměnou dlažby ze stávající 30x30cm za zámkovou betonovou dlažbu 20x10cm. </w:t>
      </w:r>
      <w:r w:rsidR="003122FB">
        <w:t>Proběhlo</w:t>
      </w:r>
      <w:r>
        <w:t xml:space="preserve"> vytrhání krajníků a nahrazení silniční betonovou obrubou s rozdílem oproti komunikaci (nášlapem) +15cm. Šířka chodníku </w:t>
      </w:r>
      <w:r w:rsidR="003122FB">
        <w:t>je</w:t>
      </w:r>
      <w:r>
        <w:t xml:space="preserve"> v této části stávající 3050mm včetně nové silniční obruby. Podélný sklon je dle stávajícího sklonu chodníku, příčný 2% směrem ke komunikaci. Dále od budovy „U“ bude zbudován nový chodník ze zámkové dlažby šířky 2m podél komunikace s novou silniční obrubou +15cm a příčným sklonem chodníku 2% směrem ke komunikaci.</w:t>
      </w:r>
      <w:r w:rsidR="00473F44">
        <w:t xml:space="preserve"> Za budovou WN chodník uhýbá do zeleného prostoru směrem od komunikace kolem vzrostlých stromů </w:t>
      </w:r>
      <w:r w:rsidR="002766C2">
        <w:t xml:space="preserve">v dostatečné vzdálenosti </w:t>
      </w:r>
      <w:r w:rsidR="002766C2">
        <w:lastRenderedPageBreak/>
        <w:t>od kořenového systému a bude</w:t>
      </w:r>
      <w:r w:rsidR="00473F44">
        <w:t xml:space="preserve"> lemovaný chodníkovou </w:t>
      </w:r>
      <w:r w:rsidR="002766C2">
        <w:t xml:space="preserve">oboustrannou </w:t>
      </w:r>
      <w:r w:rsidR="00473F44">
        <w:t xml:space="preserve">obrubou a příčným sklonem 2%. </w:t>
      </w:r>
    </w:p>
    <w:p w:rsidR="00473F44" w:rsidRDefault="00473F44" w:rsidP="0018609E">
      <w:pPr>
        <w:spacing w:before="60" w:line="276" w:lineRule="auto"/>
      </w:pPr>
      <w:r w:rsidRPr="00473F44">
        <w:t xml:space="preserve">Konstrukce chodníku bude ukončena silničním betonovým obrubníkem BO 15/25 (1000/150/250mm), chodníkovým betonovým obrubníkem BO 10/25 (1000/100/250mm). Dlažba bude osazena 0,01m nad přilehlý silniční obrubník a v místě šíře </w:t>
      </w:r>
      <w:r w:rsidR="008D7D5C">
        <w:t>2,0</w:t>
      </w:r>
      <w:r w:rsidRPr="00473F44">
        <w:t xml:space="preserve">m i nad chodníkový obrubník. Chodníkový obrubník bude oproti dlažbě osazen o 0,06m výš, a tím vytvoří vodící linii pro nevidomé. Základní příčný sklon povrchu chodníků bude 2,0%. Základní podélný sklon pláně je dle podélného řezu, a především dodržením silniční obruby +0,15m nad stávající komunikaci.  </w:t>
      </w:r>
    </w:p>
    <w:p w:rsidR="00473F44" w:rsidRPr="00473F44" w:rsidRDefault="00473F44" w:rsidP="0018609E">
      <w:pPr>
        <w:spacing w:before="60" w:line="276" w:lineRule="auto"/>
      </w:pPr>
      <w:r w:rsidRPr="00473F44">
        <w:t xml:space="preserve">Všechna místa pro přecházení přes jednotlivá napojení účelových komunikací jsou upravena jako bezbariérová s varovným pásem širokým 0,40m z červené reliéfní zámkové dlažby tloušťky 60mm a signálním pásem širokým 0,80m z reliéfní zámkové dlažby s odstupem 0,40m od varovného pásu a dále vodícími pásy (6ks) v místech přechodů přes komunikace. </w:t>
      </w:r>
    </w:p>
    <w:p w:rsidR="00473F44" w:rsidRDefault="00473F44" w:rsidP="0018609E">
      <w:pPr>
        <w:spacing w:before="60" w:line="276" w:lineRule="auto"/>
      </w:pPr>
    </w:p>
    <w:p w:rsidR="00473F44" w:rsidRPr="008467D1" w:rsidRDefault="0001214F" w:rsidP="0018609E">
      <w:pPr>
        <w:spacing w:before="60" w:line="276" w:lineRule="auto"/>
        <w:rPr>
          <w:b/>
        </w:rPr>
      </w:pPr>
      <w:r w:rsidRPr="008467D1">
        <w:rPr>
          <w:b/>
        </w:rPr>
        <w:t>2. Objekt</w:t>
      </w:r>
      <w:r w:rsidR="00473F44" w:rsidRPr="008467D1">
        <w:rPr>
          <w:b/>
        </w:rPr>
        <w:t>:</w:t>
      </w:r>
      <w:r w:rsidR="00955E0F" w:rsidRPr="008467D1">
        <w:rPr>
          <w:b/>
        </w:rPr>
        <w:t xml:space="preserve"> </w:t>
      </w:r>
      <w:r w:rsidRPr="008467D1">
        <w:rPr>
          <w:b/>
        </w:rPr>
        <w:t>D. 2 - Chodník</w:t>
      </w:r>
      <w:r w:rsidR="00473F44" w:rsidRPr="008467D1">
        <w:rPr>
          <w:b/>
        </w:rPr>
        <w:t xml:space="preserve"> u II. interní kliniky</w:t>
      </w:r>
    </w:p>
    <w:p w:rsidR="00473F44" w:rsidRPr="00473F44" w:rsidRDefault="00473F44" w:rsidP="002766C2">
      <w:pPr>
        <w:spacing w:before="60" w:line="276" w:lineRule="auto"/>
        <w:ind w:firstLine="708"/>
      </w:pPr>
      <w:r>
        <w:t xml:space="preserve">Nový chodník bude veden po pravé straně od lékařské fakulty Univerzity Palackého směrem k centrálnímu parkovišti FNOL. </w:t>
      </w:r>
      <w:r w:rsidRPr="00473F44">
        <w:t>Konstrukce chodníku bude ukončena</w:t>
      </w:r>
      <w:r>
        <w:t xml:space="preserve"> stávajícím</w:t>
      </w:r>
      <w:r w:rsidRPr="00473F44">
        <w:t xml:space="preserve"> silničním betonovým obrubníkem BO 15/25 (1000/150/250mm), chodníkovým betonovým obrubníkem BO 10/25 (1000/100/250mm). </w:t>
      </w:r>
      <w:r>
        <w:t xml:space="preserve">Ve spodní části bude lemován palisádovou stěnou z důvodu velkého násypu a zásahu do stávajícího terénu. </w:t>
      </w:r>
      <w:r w:rsidRPr="00473F44">
        <w:t xml:space="preserve">Dlažba bude osazena 0,01m nad přilehlý silniční obrubník a v místě šíře </w:t>
      </w:r>
      <w:r w:rsidR="008D7D5C">
        <w:t>2</w:t>
      </w:r>
      <w:r w:rsidRPr="00473F44">
        <w:t>,</w:t>
      </w:r>
      <w:r w:rsidR="008D7D5C">
        <w:t>0</w:t>
      </w:r>
      <w:r w:rsidRPr="00473F44">
        <w:t>m i nad chodníkový obrubník. Chodníkový obrubník bude oproti dlažbě osazen o 0,06m výš, a tím vytvoří vodící linii pro nevidomé. Základní příčný sklon povrchu chodníků bude 2,0%.</w:t>
      </w:r>
      <w:r>
        <w:t xml:space="preserve"> </w:t>
      </w:r>
      <w:r w:rsidRPr="00473F44">
        <w:t xml:space="preserve">Všechna místa pro přecházení přes jednotlivá napojení účelových komunikací jsou upravena jako bezbariérová s varovným pásem širokým 0,40m z červené reliéfní zámkové dlažby tloušťky 60mm a signálním pásem širokým 0,80m z reliéfní zámkové dlažby s odstupem 0,40m od varovného pásu a dále vodícími pásy (6ks) v místech přechodů přes komunikace. </w:t>
      </w:r>
    </w:p>
    <w:p w:rsidR="00473F44" w:rsidRPr="002B300D" w:rsidRDefault="00473F44" w:rsidP="0018609E">
      <w:pPr>
        <w:spacing w:before="60" w:line="276" w:lineRule="auto"/>
      </w:pPr>
    </w:p>
    <w:p w:rsidR="00473F44" w:rsidRPr="008467D1" w:rsidRDefault="0001214F" w:rsidP="0018609E">
      <w:pPr>
        <w:spacing w:before="60" w:line="276" w:lineRule="auto"/>
        <w:rPr>
          <w:b/>
        </w:rPr>
      </w:pPr>
      <w:r w:rsidRPr="008467D1">
        <w:rPr>
          <w:b/>
        </w:rPr>
        <w:t>3. Objekt</w:t>
      </w:r>
      <w:r w:rsidR="00473F44" w:rsidRPr="008467D1">
        <w:rPr>
          <w:b/>
        </w:rPr>
        <w:t xml:space="preserve">: </w:t>
      </w:r>
      <w:r w:rsidRPr="008467D1">
        <w:rPr>
          <w:b/>
        </w:rPr>
        <w:t>D. 3 - Chodník</w:t>
      </w:r>
      <w:r w:rsidR="00473F44" w:rsidRPr="008467D1">
        <w:rPr>
          <w:b/>
        </w:rPr>
        <w:t xml:space="preserve"> pod budovou Y</w:t>
      </w:r>
    </w:p>
    <w:p w:rsidR="008D7D5C" w:rsidRDefault="002E4C72" w:rsidP="002766C2">
      <w:pPr>
        <w:spacing w:before="60" w:line="276" w:lineRule="auto"/>
        <w:ind w:firstLine="708"/>
      </w:pPr>
      <w:r w:rsidRPr="002E4C72">
        <w:t>Objekt chodníku u budovy Y a jeho projektová dokumentace stavby jsou samostatnou stavbou. Umožní přímé propojení pěší trasy z lékařské fakulty směrem k objektu A dále. Konstrukce chodníku bude ukončena chodníkovým betonovým obrubníkem BO 10/25 (1000/100/250mm). Dlaždice budou osazeny 0,01m nad přilehlý silniční obrubník.</w:t>
      </w:r>
    </w:p>
    <w:p w:rsidR="002E4C72" w:rsidRPr="00473F44" w:rsidRDefault="002E4C72" w:rsidP="002766C2">
      <w:pPr>
        <w:spacing w:before="60" w:line="276" w:lineRule="auto"/>
        <w:ind w:firstLine="708"/>
      </w:pPr>
      <w:r w:rsidRPr="002E4C72">
        <w:t xml:space="preserve"> Chodníkový obrubník tvořící vodící linii pro nevidomé bude oproti dlažbě osazen o 0,06m výše. Základní příčný sklon povrchu chodníků bude 2,0%. Základní podélný sklon je dle stávajícího terénu a napojovacích míst chodníku. </w:t>
      </w:r>
      <w:r w:rsidRPr="00473F44">
        <w:t xml:space="preserve">Všechna místa pro přecházení přes jednotlivá napojení účelových komunikací jsou upravena jako bezbariérová s varovným pásem širokým 0,40m z červené reliéfní zámkové dlažby tloušťky 60mm a signálním pásem širokým 0,80m z reliéfní zámkové dlažby s odstupem 0,40m od varovného pásu a dále vodícími pásy (6ks) v místech přechodů přes komunikace. </w:t>
      </w:r>
    </w:p>
    <w:p w:rsidR="0018609E" w:rsidRDefault="0018609E" w:rsidP="0018609E">
      <w:pPr>
        <w:spacing w:before="60" w:line="276" w:lineRule="auto"/>
        <w:rPr>
          <w:b/>
        </w:rPr>
      </w:pPr>
    </w:p>
    <w:p w:rsidR="002E4C72" w:rsidRPr="008467D1" w:rsidRDefault="002E4C72" w:rsidP="0018609E">
      <w:pPr>
        <w:spacing w:before="60" w:line="276" w:lineRule="auto"/>
        <w:rPr>
          <w:b/>
        </w:rPr>
      </w:pPr>
      <w:r w:rsidRPr="008467D1">
        <w:rPr>
          <w:b/>
        </w:rPr>
        <w:t xml:space="preserve">4. Objekt: </w:t>
      </w:r>
      <w:r w:rsidR="0001214F" w:rsidRPr="008467D1">
        <w:rPr>
          <w:b/>
        </w:rPr>
        <w:t>D. 4 - Chodník</w:t>
      </w:r>
      <w:r w:rsidRPr="008467D1">
        <w:rPr>
          <w:b/>
        </w:rPr>
        <w:t xml:space="preserve"> u budovy WD</w:t>
      </w:r>
    </w:p>
    <w:p w:rsidR="002E4C72" w:rsidRDefault="002E4C72" w:rsidP="0018609E">
      <w:pPr>
        <w:spacing w:before="60" w:line="276" w:lineRule="auto"/>
      </w:pPr>
      <w:r w:rsidRPr="002E4C72">
        <w:t xml:space="preserve">Stávající chodník u WD je proveden v šíři 1500mm z dlažby betonové 300x300mm. Nově bude chodník rozšířen na 2000mm s povrchem ze zámkové dlažby. Chodník bude lemován chodníkovou obrubou vodící linií 6cm ze strany jedné, a druhé z části stávající silniční </w:t>
      </w:r>
      <w:r w:rsidRPr="002E4C72">
        <w:lastRenderedPageBreak/>
        <w:t xml:space="preserve">obrubou a z větší části nově osazenou silniční obrubou s převýšením 0,15m nad stávající komunikaci. Dlaždice budou osazeny 0,01m nad přilehlý silniční obrubník. Chodníkový obrubník tvořící vodící linii pro nevidomé bude oproti dlažbě osazen o 0,06m výše. Základní příčný sklon povrchu chodníků bude 2,0%. Základní podélný sklon je dle stávajícího terénu a napojovacích míst chodníku. </w:t>
      </w:r>
      <w:r w:rsidRPr="00473F44">
        <w:t>Všechna místa pro přecházení přes jednotlivá napojení účelových komunikací jsou upravena jako bezbariérová s varovným pásem širokým 0,40m z červené reliéfní zámkové dlažby tloušťky 60mm a signálním pásem širokým 0,80m z reliéfní zámkové dlažby s odstupem 0,40m od varovného pásu a dále vodícími pásy (6ks) v místech přechodů přes komunikace.</w:t>
      </w:r>
    </w:p>
    <w:p w:rsidR="002E4C72" w:rsidRDefault="002E4C72" w:rsidP="0018609E">
      <w:pPr>
        <w:spacing w:before="60" w:line="276" w:lineRule="auto"/>
      </w:pPr>
    </w:p>
    <w:p w:rsidR="00AB6300" w:rsidRPr="008467D1" w:rsidRDefault="0001214F" w:rsidP="0018609E">
      <w:pPr>
        <w:spacing w:before="60" w:line="276" w:lineRule="auto"/>
        <w:rPr>
          <w:b/>
        </w:rPr>
      </w:pPr>
      <w:r w:rsidRPr="008467D1">
        <w:rPr>
          <w:b/>
        </w:rPr>
        <w:t>5. Objekt D. 1 - Rozšíření</w:t>
      </w:r>
      <w:r w:rsidR="002E4C72" w:rsidRPr="008467D1">
        <w:rPr>
          <w:b/>
        </w:rPr>
        <w:t xml:space="preserve"> VO:</w:t>
      </w:r>
    </w:p>
    <w:p w:rsidR="00AB6300" w:rsidRDefault="00AB6300" w:rsidP="0018609E">
      <w:pPr>
        <w:spacing w:before="60" w:line="276" w:lineRule="auto"/>
      </w:pPr>
      <w:r w:rsidRPr="00AB6300">
        <w:t>O</w:t>
      </w:r>
      <w:r>
        <w:t>sazením nového veřejného osvětlení dojde k rozšíření stávající sítě, a to sice u objektů:</w:t>
      </w:r>
    </w:p>
    <w:p w:rsidR="00AB6300" w:rsidRDefault="0001214F" w:rsidP="0018609E">
      <w:pPr>
        <w:pStyle w:val="Odstavecseseznamem"/>
        <w:numPr>
          <w:ilvl w:val="0"/>
          <w:numId w:val="8"/>
        </w:numPr>
        <w:spacing w:before="60" w:line="276" w:lineRule="auto"/>
      </w:pPr>
      <w:r w:rsidRPr="002B300D">
        <w:t>D. 1 - Chodník</w:t>
      </w:r>
      <w:r w:rsidR="00AB6300" w:rsidRPr="002B300D">
        <w:t xml:space="preserve"> v ulici Za Nemocnicí</w:t>
      </w:r>
      <w:r w:rsidR="00AB6300">
        <w:t xml:space="preserve"> - bude vedeno pod chodníkem s osvětlením v celé délce nového chodníku s počtem nových lamp 9ks. </w:t>
      </w:r>
      <w:r>
        <w:t>Napojovací</w:t>
      </w:r>
      <w:r w:rsidR="00AB6300">
        <w:t xml:space="preserve"> místo bude řešeno překopem přes komunikaci Za Nemocnicí., </w:t>
      </w:r>
    </w:p>
    <w:p w:rsidR="00AB6300" w:rsidRDefault="0001214F" w:rsidP="0018609E">
      <w:pPr>
        <w:pStyle w:val="Odstavecseseznamem"/>
        <w:numPr>
          <w:ilvl w:val="0"/>
          <w:numId w:val="8"/>
        </w:numPr>
        <w:spacing w:before="60" w:line="276" w:lineRule="auto"/>
      </w:pPr>
      <w:r w:rsidRPr="002B300D">
        <w:t>D. 2 - Chodník</w:t>
      </w:r>
      <w:r w:rsidR="00AB6300" w:rsidRPr="002B300D">
        <w:t xml:space="preserve"> u II. interní kliniky</w:t>
      </w:r>
      <w:r w:rsidR="00AB6300">
        <w:t xml:space="preserve">  - bude vedeno ve volném terénu s přihlédnutím na stávající sítě. Bude zde také jeden překop přes komunikaci v místě vjezdu do areálu dopravy. Nově budou osazeny 4ks lamp.</w:t>
      </w:r>
    </w:p>
    <w:p w:rsidR="00AB6300" w:rsidRPr="002B300D" w:rsidRDefault="0001214F" w:rsidP="0018609E">
      <w:pPr>
        <w:pStyle w:val="Odstavecseseznamem"/>
        <w:numPr>
          <w:ilvl w:val="0"/>
          <w:numId w:val="8"/>
        </w:numPr>
        <w:spacing w:before="60" w:line="276" w:lineRule="auto"/>
      </w:pPr>
      <w:r>
        <w:t>D. 3 - Chodník</w:t>
      </w:r>
      <w:r w:rsidR="00AB6300">
        <w:t xml:space="preserve"> pod budovou </w:t>
      </w:r>
      <w:r w:rsidR="00AB6300" w:rsidRPr="002B300D">
        <w:t>Y</w:t>
      </w:r>
      <w:r w:rsidR="00AB6300">
        <w:t xml:space="preserve"> – bude vedeno ve volném terénu s jedním překopem přes chodník. Osazena bude jedna </w:t>
      </w:r>
      <w:r w:rsidR="00E601A5">
        <w:t xml:space="preserve">(1) </w:t>
      </w:r>
      <w:r w:rsidR="00AB6300">
        <w:t>lampa.</w:t>
      </w:r>
    </w:p>
    <w:p w:rsidR="002E4C72" w:rsidRDefault="002E4C72" w:rsidP="0018609E">
      <w:pPr>
        <w:spacing w:before="60" w:line="276" w:lineRule="auto"/>
      </w:pPr>
    </w:p>
    <w:p w:rsidR="00AB6300" w:rsidRPr="008467D1" w:rsidRDefault="0001214F" w:rsidP="0018609E">
      <w:pPr>
        <w:spacing w:before="60" w:line="276" w:lineRule="auto"/>
        <w:rPr>
          <w:b/>
        </w:rPr>
      </w:pPr>
      <w:r w:rsidRPr="008467D1">
        <w:rPr>
          <w:b/>
        </w:rPr>
        <w:t>6. Objekt D. 6 - Rozšíření</w:t>
      </w:r>
      <w:r w:rsidR="00AB6300" w:rsidRPr="008467D1">
        <w:rPr>
          <w:b/>
        </w:rPr>
        <w:t xml:space="preserve"> rozvodů NN:</w:t>
      </w:r>
    </w:p>
    <w:p w:rsidR="00AB6300" w:rsidRPr="00D11680" w:rsidRDefault="00AB6300" w:rsidP="0018609E">
      <w:pPr>
        <w:spacing w:before="60" w:line="276" w:lineRule="auto"/>
      </w:pPr>
      <w:r>
        <w:t>Tento objekt</w:t>
      </w:r>
      <w:r w:rsidRPr="00D11680">
        <w:t xml:space="preserve"> řeší instalaci kabelové sítě NN z TS5 v zájmové lokalitě</w:t>
      </w:r>
      <w:r>
        <w:t xml:space="preserve">. Kabelové trasy budou nově přivedeny ke chladící stanici v počtu 4ks, dále k budovám YG, WN, WV, a YF. V případě, že nebudou </w:t>
      </w:r>
      <w:r w:rsidR="0003129D">
        <w:t>objekty na napojení připraveny, dojde k zásypu kabelů s dostatečnou rezervou, zeminou.</w:t>
      </w:r>
    </w:p>
    <w:p w:rsidR="00AB6300" w:rsidRDefault="00AB6300" w:rsidP="0018609E">
      <w:pPr>
        <w:spacing w:before="60" w:line="276" w:lineRule="auto"/>
        <w:rPr>
          <w:b/>
        </w:rPr>
      </w:pPr>
    </w:p>
    <w:p w:rsidR="006B1C75" w:rsidRPr="000B1B38" w:rsidRDefault="006B1C75" w:rsidP="0018609E">
      <w:pPr>
        <w:pStyle w:val="Nadpis1"/>
        <w:tabs>
          <w:tab w:val="clear" w:pos="858"/>
          <w:tab w:val="num" w:pos="567"/>
        </w:tabs>
        <w:spacing w:line="276" w:lineRule="auto"/>
        <w:ind w:left="567" w:hanging="567"/>
      </w:pPr>
      <w:r w:rsidRPr="000B1B38">
        <w:t>Podmínky realizace stavby</w:t>
      </w:r>
    </w:p>
    <w:p w:rsidR="008D4C5F" w:rsidRDefault="003478BB" w:rsidP="0018609E">
      <w:pPr>
        <w:spacing w:before="60" w:line="276" w:lineRule="auto"/>
        <w:rPr>
          <w:rFonts w:cs="Arial"/>
        </w:rPr>
      </w:pPr>
      <w:r>
        <w:rPr>
          <w:rFonts w:cs="Arial"/>
        </w:rPr>
        <w:t xml:space="preserve">Přístup na stavbu bude po stávajících komunikacích. </w:t>
      </w:r>
      <w:r w:rsidR="001D377C">
        <w:rPr>
          <w:rFonts w:cs="Arial"/>
        </w:rPr>
        <w:t>Po dobu stavby dojde</w:t>
      </w:r>
      <w:r w:rsidR="007255E0">
        <w:rPr>
          <w:rFonts w:cs="Arial"/>
        </w:rPr>
        <w:t xml:space="preserve"> </w:t>
      </w:r>
      <w:r w:rsidR="007255E0" w:rsidRPr="00A05C4A">
        <w:rPr>
          <w:rFonts w:cs="Arial"/>
        </w:rPr>
        <w:t>k omezení přístupu na přilehlé pozemky</w:t>
      </w:r>
      <w:r w:rsidR="00F9404A">
        <w:rPr>
          <w:rFonts w:cs="Arial"/>
        </w:rPr>
        <w:t>.</w:t>
      </w:r>
      <w:r w:rsidR="008D4C5F">
        <w:rPr>
          <w:rFonts w:cs="Arial"/>
        </w:rPr>
        <w:t xml:space="preserve"> </w:t>
      </w:r>
    </w:p>
    <w:p w:rsidR="0018609E" w:rsidRDefault="0018609E" w:rsidP="0018609E">
      <w:pPr>
        <w:spacing w:before="60" w:line="276" w:lineRule="auto"/>
        <w:rPr>
          <w:rFonts w:cs="Arial"/>
        </w:rPr>
      </w:pPr>
    </w:p>
    <w:p w:rsidR="006B1C75" w:rsidRPr="000B1B38" w:rsidRDefault="006B1C75" w:rsidP="0018609E">
      <w:pPr>
        <w:pStyle w:val="Nadpis1"/>
        <w:tabs>
          <w:tab w:val="clear" w:pos="858"/>
          <w:tab w:val="num" w:pos="432"/>
        </w:tabs>
        <w:spacing w:line="276" w:lineRule="auto"/>
        <w:ind w:left="432"/>
        <w:jc w:val="left"/>
      </w:pPr>
      <w:r w:rsidRPr="000B1B38">
        <w:t>výsledky a závěry z podkladů, průzkumů a měření</w:t>
      </w:r>
    </w:p>
    <w:p w:rsidR="003B5D38" w:rsidRDefault="00B2063F" w:rsidP="0018609E">
      <w:pPr>
        <w:spacing w:before="60" w:line="276" w:lineRule="auto"/>
      </w:pPr>
      <w:r>
        <w:rPr>
          <w:rFonts w:cs="Arial"/>
        </w:rPr>
        <w:t>B</w:t>
      </w:r>
      <w:r w:rsidRPr="00EB201F">
        <w:rPr>
          <w:rFonts w:cs="Arial"/>
        </w:rPr>
        <w:t xml:space="preserve">yla provedena prohlídka </w:t>
      </w:r>
      <w:r w:rsidR="003B5D38">
        <w:rPr>
          <w:rFonts w:cs="Arial"/>
        </w:rPr>
        <w:t>dotčené lokality</w:t>
      </w:r>
      <w:r>
        <w:rPr>
          <w:rFonts w:cs="Arial"/>
        </w:rPr>
        <w:t>,</w:t>
      </w:r>
      <w:r w:rsidRPr="00BA1B23">
        <w:t xml:space="preserve"> </w:t>
      </w:r>
      <w:r w:rsidR="003B5D38">
        <w:t>geodetické zaměření a</w:t>
      </w:r>
      <w:r>
        <w:t xml:space="preserve"> zajištění všech dostupných podkladů k</w:t>
      </w:r>
      <w:r w:rsidR="003B5D38">
        <w:t xml:space="preserve"> </w:t>
      </w:r>
      <w:r>
        <w:t xml:space="preserve">podzemním vedením. </w:t>
      </w:r>
      <w:r w:rsidR="003B5D38">
        <w:t>Veškeré tyto podklady byly zahrnuty do PD a tyto skutečnosti byly zohledněny při návrhu jednotlivých úprav a způsobů řešení.</w:t>
      </w:r>
    </w:p>
    <w:p w:rsidR="005C1B52" w:rsidRDefault="0003129D" w:rsidP="0018609E">
      <w:pPr>
        <w:spacing w:before="60" w:line="276" w:lineRule="auto"/>
        <w:rPr>
          <w:rFonts w:cs="Arial"/>
        </w:rPr>
      </w:pPr>
      <w:r>
        <w:rPr>
          <w:rFonts w:cs="Arial"/>
        </w:rPr>
        <w:t>Statické zatěžovací zkoušky budou provedeny</w:t>
      </w:r>
      <w:r w:rsidR="005C1B52" w:rsidRPr="00530605">
        <w:rPr>
          <w:rFonts w:cs="Arial"/>
        </w:rPr>
        <w:t xml:space="preserve"> podle přílohy A, ČSN 72 1006: 1998 Kontrola zhutnění zemin a sypanin, s požadovanou hodnotou modulu přetvárnosti ve druhém zatěžovacím cyklu E</w:t>
      </w:r>
      <w:r w:rsidR="005C1B52" w:rsidRPr="00530605">
        <w:rPr>
          <w:rFonts w:cs="Arial"/>
          <w:vertAlign w:val="subscript"/>
        </w:rPr>
        <w:t>def,2</w:t>
      </w:r>
      <w:r w:rsidR="005C1B52" w:rsidRPr="00530605">
        <w:rPr>
          <w:rFonts w:cs="Arial"/>
        </w:rPr>
        <w:t xml:space="preserve"> minimálně 30 Mpa.</w:t>
      </w:r>
    </w:p>
    <w:p w:rsidR="008467D1" w:rsidRDefault="008467D1" w:rsidP="0018609E">
      <w:pPr>
        <w:spacing w:before="60" w:line="276" w:lineRule="auto"/>
        <w:rPr>
          <w:rFonts w:cs="Arial"/>
        </w:rPr>
      </w:pPr>
    </w:p>
    <w:p w:rsidR="006B1C75" w:rsidRPr="000B1B38" w:rsidRDefault="006B1C75" w:rsidP="0018609E">
      <w:pPr>
        <w:pStyle w:val="Nadpis1"/>
        <w:tabs>
          <w:tab w:val="clear" w:pos="858"/>
          <w:tab w:val="num" w:pos="567"/>
        </w:tabs>
        <w:spacing w:line="276" w:lineRule="auto"/>
        <w:ind w:left="567" w:hanging="567"/>
      </w:pPr>
      <w:r w:rsidRPr="000B1B38">
        <w:t>Zásah stavby do území</w:t>
      </w:r>
    </w:p>
    <w:p w:rsidR="00055463" w:rsidRDefault="00055463" w:rsidP="0018609E">
      <w:pPr>
        <w:spacing w:before="60" w:line="276" w:lineRule="auto"/>
        <w:rPr>
          <w:rFonts w:cs="Arial"/>
        </w:rPr>
      </w:pPr>
      <w:r w:rsidRPr="00EB201F">
        <w:rPr>
          <w:rFonts w:cs="Arial"/>
        </w:rPr>
        <w:t xml:space="preserve">Bourací práce se omezí na rozebrání stávajících </w:t>
      </w:r>
      <w:r w:rsidR="0001214F" w:rsidRPr="00EB201F">
        <w:rPr>
          <w:rFonts w:cs="Arial"/>
        </w:rPr>
        <w:t>povrchů, vybourání</w:t>
      </w:r>
      <w:r w:rsidRPr="00EB201F">
        <w:rPr>
          <w:rFonts w:cs="Arial"/>
        </w:rPr>
        <w:t xml:space="preserve"> obrubníků</w:t>
      </w:r>
      <w:r w:rsidR="00F8294E">
        <w:rPr>
          <w:rFonts w:cs="Arial"/>
        </w:rPr>
        <w:t xml:space="preserve"> a odstranění zábradlí</w:t>
      </w:r>
      <w:r w:rsidRPr="00EB201F">
        <w:rPr>
          <w:rFonts w:cs="Arial"/>
        </w:rPr>
        <w:t xml:space="preserve">. </w:t>
      </w:r>
    </w:p>
    <w:p w:rsidR="003E5CD8" w:rsidRDefault="003E5CD8" w:rsidP="0018609E">
      <w:pPr>
        <w:spacing w:before="60" w:line="276" w:lineRule="auto"/>
        <w:rPr>
          <w:rFonts w:cs="Arial"/>
        </w:rPr>
      </w:pPr>
      <w:r w:rsidRPr="000B1B38">
        <w:rPr>
          <w:rFonts w:cs="Arial"/>
        </w:rPr>
        <w:t>Stavbou nebude způsoben</w:t>
      </w:r>
      <w:r>
        <w:rPr>
          <w:rFonts w:cs="Arial"/>
        </w:rPr>
        <w:t xml:space="preserve"> zásah</w:t>
      </w:r>
      <w:r w:rsidRPr="000B1B38">
        <w:rPr>
          <w:rFonts w:cs="Arial"/>
        </w:rPr>
        <w:t xml:space="preserve"> do pozemků</w:t>
      </w:r>
      <w:r>
        <w:rPr>
          <w:rFonts w:cs="Arial"/>
        </w:rPr>
        <w:t xml:space="preserve"> zemědělského půdního fondu ani do pozemků určených k plnění funkce lesa. Do jiného typu pozemků se nezasahuje.</w:t>
      </w:r>
    </w:p>
    <w:p w:rsidR="000D2BAF" w:rsidRPr="00ED1882" w:rsidRDefault="00055463" w:rsidP="0018609E">
      <w:pPr>
        <w:spacing w:before="60" w:line="276" w:lineRule="auto"/>
      </w:pPr>
      <w:r>
        <w:rPr>
          <w:rFonts w:cs="Arial"/>
        </w:rPr>
        <w:lastRenderedPageBreak/>
        <w:t xml:space="preserve">Zemní práce spočívají v odhumusování, </w:t>
      </w:r>
      <w:r w:rsidRPr="009819E3">
        <w:rPr>
          <w:rFonts w:cs="Arial"/>
        </w:rPr>
        <w:t>odtěžení podkladních vrstev a</w:t>
      </w:r>
      <w:r>
        <w:rPr>
          <w:rFonts w:cs="Arial"/>
        </w:rPr>
        <w:t> </w:t>
      </w:r>
      <w:r w:rsidRPr="009819E3">
        <w:rPr>
          <w:rFonts w:cs="Arial"/>
        </w:rPr>
        <w:t>úprav</w:t>
      </w:r>
      <w:r>
        <w:rPr>
          <w:rFonts w:cs="Arial"/>
        </w:rPr>
        <w:t>ě</w:t>
      </w:r>
      <w:r w:rsidRPr="009819E3">
        <w:rPr>
          <w:rFonts w:cs="Arial"/>
        </w:rPr>
        <w:t xml:space="preserve"> zemní pláně</w:t>
      </w:r>
      <w:r>
        <w:rPr>
          <w:rFonts w:cs="Arial"/>
        </w:rPr>
        <w:t>. Dotčené plochy za obrubníky budou následně ozeleněny.</w:t>
      </w:r>
    </w:p>
    <w:p w:rsidR="0010201A" w:rsidRDefault="00055463" w:rsidP="0018609E">
      <w:pPr>
        <w:spacing w:before="60" w:line="276" w:lineRule="auto"/>
        <w:rPr>
          <w:rFonts w:cs="Arial"/>
        </w:rPr>
      </w:pPr>
      <w:r>
        <w:rPr>
          <w:rFonts w:cs="Arial"/>
        </w:rPr>
        <w:t xml:space="preserve">Přeložky dopravní infrastruktury ani vodních toků nejsou potřeba. </w:t>
      </w:r>
    </w:p>
    <w:p w:rsidR="00620F41" w:rsidRDefault="00055463" w:rsidP="0018609E">
      <w:pPr>
        <w:spacing w:before="60" w:line="276" w:lineRule="auto"/>
        <w:rPr>
          <w:rFonts w:cs="Arial"/>
        </w:rPr>
      </w:pPr>
      <w:r>
        <w:rPr>
          <w:rFonts w:cs="Arial"/>
          <w:szCs w:val="22"/>
        </w:rPr>
        <w:t>P</w:t>
      </w:r>
      <w:r w:rsidRPr="00B346F8">
        <w:rPr>
          <w:rFonts w:cs="Arial"/>
          <w:szCs w:val="22"/>
        </w:rPr>
        <w:t>řístup na stavbu je zajištěn po stávající</w:t>
      </w:r>
      <w:r w:rsidR="00FE2C9C">
        <w:rPr>
          <w:rFonts w:cs="Arial"/>
          <w:szCs w:val="22"/>
        </w:rPr>
        <w:t>ch</w:t>
      </w:r>
      <w:r w:rsidRPr="00B346F8">
        <w:rPr>
          <w:rFonts w:cs="Arial"/>
          <w:szCs w:val="22"/>
        </w:rPr>
        <w:t xml:space="preserve"> komunikac</w:t>
      </w:r>
      <w:r>
        <w:rPr>
          <w:rFonts w:cs="Arial"/>
          <w:szCs w:val="22"/>
        </w:rPr>
        <w:t>í</w:t>
      </w:r>
      <w:r w:rsidR="00FE2C9C">
        <w:rPr>
          <w:rFonts w:cs="Arial"/>
          <w:szCs w:val="22"/>
        </w:rPr>
        <w:t>ch</w:t>
      </w:r>
      <w:r w:rsidRPr="00B346F8">
        <w:rPr>
          <w:rFonts w:cs="Arial"/>
          <w:szCs w:val="22"/>
        </w:rPr>
        <w:t xml:space="preserve"> </w:t>
      </w:r>
      <w:r w:rsidR="00FE2C9C">
        <w:rPr>
          <w:rFonts w:cs="Arial"/>
          <w:szCs w:val="22"/>
        </w:rPr>
        <w:t>z ulic</w:t>
      </w:r>
      <w:r>
        <w:rPr>
          <w:rFonts w:cs="Arial"/>
          <w:szCs w:val="22"/>
        </w:rPr>
        <w:t xml:space="preserve"> </w:t>
      </w:r>
      <w:r w:rsidR="0003129D">
        <w:rPr>
          <w:rFonts w:cs="Arial"/>
          <w:szCs w:val="22"/>
        </w:rPr>
        <w:t xml:space="preserve">Za Nemocnicí </w:t>
      </w:r>
      <w:r w:rsidR="00B860BF">
        <w:rPr>
          <w:rFonts w:cs="Arial"/>
          <w:szCs w:val="22"/>
        </w:rPr>
        <w:t xml:space="preserve">a </w:t>
      </w:r>
      <w:r w:rsidR="0001214F">
        <w:rPr>
          <w:rFonts w:cs="Arial"/>
          <w:szCs w:val="22"/>
        </w:rPr>
        <w:t>I. P. Pavlova</w:t>
      </w:r>
      <w:r w:rsidR="00B813E4">
        <w:rPr>
          <w:rFonts w:cs="Arial"/>
          <w:szCs w:val="22"/>
        </w:rPr>
        <w:t>.</w:t>
      </w:r>
    </w:p>
    <w:p w:rsidR="00DD621B" w:rsidRDefault="00DD621B" w:rsidP="0018609E">
      <w:pPr>
        <w:spacing w:before="60" w:line="276" w:lineRule="auto"/>
        <w:rPr>
          <w:rFonts w:cs="Arial"/>
        </w:rPr>
      </w:pPr>
    </w:p>
    <w:p w:rsidR="0048148A" w:rsidRPr="0048148A" w:rsidRDefault="0048148A" w:rsidP="0018609E">
      <w:pPr>
        <w:pStyle w:val="Nadpis1"/>
        <w:tabs>
          <w:tab w:val="clear" w:pos="858"/>
          <w:tab w:val="num" w:pos="567"/>
        </w:tabs>
        <w:spacing w:line="276" w:lineRule="auto"/>
        <w:ind w:left="567" w:hanging="567"/>
      </w:pPr>
      <w:bookmarkStart w:id="0" w:name="_Toc119305569"/>
      <w:bookmarkStart w:id="1" w:name="_Toc119473789"/>
      <w:bookmarkStart w:id="2" w:name="_Toc134490788"/>
      <w:r w:rsidRPr="0048148A">
        <w:t>Vliv stavby na</w:t>
      </w:r>
      <w:r w:rsidR="00577642">
        <w:t xml:space="preserve"> zdraví a</w:t>
      </w:r>
      <w:r w:rsidRPr="0048148A">
        <w:t xml:space="preserve"> životní prostředí</w:t>
      </w:r>
      <w:bookmarkEnd w:id="0"/>
      <w:bookmarkEnd w:id="1"/>
      <w:bookmarkEnd w:id="2"/>
    </w:p>
    <w:p w:rsidR="00053FDE" w:rsidRDefault="00372C96" w:rsidP="0018609E">
      <w:pPr>
        <w:spacing w:before="120" w:line="276" w:lineRule="auto"/>
        <w:rPr>
          <w:rFonts w:cs="Arial"/>
        </w:rPr>
      </w:pPr>
      <w:r w:rsidRPr="00372C96">
        <w:rPr>
          <w:rFonts w:cs="Arial"/>
        </w:rPr>
        <w:t>Vliv stavby na okolí bude pouze během stavby</w:t>
      </w:r>
      <w:r w:rsidR="00AF1DD7">
        <w:rPr>
          <w:rFonts w:cs="Arial"/>
        </w:rPr>
        <w:t>.</w:t>
      </w:r>
      <w:r w:rsidRPr="00372C96">
        <w:rPr>
          <w:rFonts w:cs="Arial"/>
        </w:rPr>
        <w:t xml:space="preserve"> </w:t>
      </w:r>
    </w:p>
    <w:p w:rsidR="00082D75" w:rsidRDefault="00082D75" w:rsidP="0018609E">
      <w:pPr>
        <w:spacing w:before="120" w:line="276" w:lineRule="auto"/>
        <w:rPr>
          <w:rFonts w:cs="Arial"/>
        </w:rPr>
      </w:pPr>
      <w:r>
        <w:rPr>
          <w:rFonts w:cs="Arial"/>
          <w:i/>
        </w:rPr>
        <w:t>Ochrana zdraví a bezpečnosti pracovníků při výstavbě</w:t>
      </w:r>
    </w:p>
    <w:p w:rsidR="00082D75" w:rsidRDefault="00082D75" w:rsidP="0018609E">
      <w:pPr>
        <w:tabs>
          <w:tab w:val="left" w:pos="-1980"/>
        </w:tabs>
        <w:spacing w:before="60" w:line="276" w:lineRule="auto"/>
        <w:rPr>
          <w:rFonts w:cs="Arial"/>
          <w:szCs w:val="22"/>
        </w:rPr>
      </w:pPr>
      <w:r w:rsidRPr="0048148A">
        <w:rPr>
          <w:rFonts w:cs="Arial"/>
        </w:rPr>
        <w:t xml:space="preserve">Zvýšenou pozornost je třeba věnovat pracím v blízkosti podzemních vedení. Tyto práce musí provádět proškolení pracovníci za zajištěného odborného dohledu. </w:t>
      </w:r>
      <w:r w:rsidRPr="0048148A">
        <w:rPr>
          <w:rFonts w:cs="Arial"/>
          <w:szCs w:val="22"/>
        </w:rPr>
        <w:t>Pro práce vykonávané stavební mechanizaci je potřebné dodržovat předpisy a ustanoveni pro práci s touto mechanizaci.</w:t>
      </w:r>
    </w:p>
    <w:p w:rsidR="003F1A47" w:rsidRPr="00866F80" w:rsidRDefault="003F1A47" w:rsidP="0018609E">
      <w:pPr>
        <w:spacing w:before="120" w:line="276" w:lineRule="auto"/>
        <w:rPr>
          <w:rFonts w:cs="Arial"/>
          <w:i/>
        </w:rPr>
      </w:pPr>
      <w:r w:rsidRPr="00866F80">
        <w:rPr>
          <w:rFonts w:cs="Arial"/>
          <w:i/>
        </w:rPr>
        <w:t>Řešení ochrany proti hluku</w:t>
      </w:r>
    </w:p>
    <w:p w:rsidR="003F1A47" w:rsidRDefault="003F1A47" w:rsidP="0018609E">
      <w:pPr>
        <w:spacing w:before="60" w:line="276" w:lineRule="auto"/>
        <w:rPr>
          <w:rFonts w:cs="Arial"/>
        </w:rPr>
      </w:pPr>
      <w:r w:rsidRPr="00866F80">
        <w:rPr>
          <w:rFonts w:cs="Arial"/>
        </w:rPr>
        <w:t xml:space="preserve">Zdrojem hluku v rámci stavby mohou být dočasně stavební práce. Tento zdroj bude dočasný, jeho vliv lze omezit technologickou kázní dodavatele stavby a úpravou dopravních procesů po dobu realizace stavby. </w:t>
      </w:r>
    </w:p>
    <w:p w:rsidR="003F1A47" w:rsidRPr="00866F80" w:rsidRDefault="003F1A47" w:rsidP="0018609E">
      <w:pPr>
        <w:spacing w:before="120" w:line="276" w:lineRule="auto"/>
        <w:rPr>
          <w:rFonts w:cs="Arial"/>
          <w:i/>
        </w:rPr>
      </w:pPr>
      <w:r w:rsidRPr="00866F80">
        <w:rPr>
          <w:rFonts w:cs="Arial"/>
          <w:i/>
        </w:rPr>
        <w:t>Řešení ochrany ovzduší</w:t>
      </w:r>
    </w:p>
    <w:p w:rsidR="00BD646F" w:rsidRPr="00B860BF" w:rsidRDefault="003F1A47" w:rsidP="0018609E">
      <w:pPr>
        <w:spacing w:before="60" w:line="276" w:lineRule="auto"/>
        <w:rPr>
          <w:rFonts w:cs="Arial"/>
        </w:rPr>
      </w:pPr>
      <w:r w:rsidRPr="00866F80">
        <w:rPr>
          <w:rFonts w:cs="Arial"/>
        </w:rPr>
        <w:t>Plošným zdrojem znečištění ovzduší bude samotná stavba v době její realizace. Její rozsah je minimální, soustředěný na manipulaci s povrchovými vrstvami. Přechodné zvýšení prašnosti při stavebních prácích se bude omezovat kropením k rekonstrukci užívaných komunikací, jejich čistěním a oplachováním.</w:t>
      </w:r>
    </w:p>
    <w:p w:rsidR="003F1A47" w:rsidRPr="00866F80" w:rsidRDefault="003F1A47" w:rsidP="0018609E">
      <w:pPr>
        <w:spacing w:before="120" w:line="276" w:lineRule="auto"/>
        <w:rPr>
          <w:rFonts w:cs="Arial"/>
          <w:i/>
        </w:rPr>
      </w:pPr>
      <w:r w:rsidRPr="00866F80">
        <w:rPr>
          <w:rFonts w:cs="Arial"/>
          <w:i/>
        </w:rPr>
        <w:t>Řešení ochrany vodních zdrojů</w:t>
      </w:r>
    </w:p>
    <w:p w:rsidR="00A47981" w:rsidRPr="00D21CBC" w:rsidRDefault="003F1A47" w:rsidP="0018609E">
      <w:pPr>
        <w:spacing w:before="60" w:line="276" w:lineRule="auto"/>
        <w:rPr>
          <w:rFonts w:cs="Arial"/>
        </w:rPr>
      </w:pPr>
      <w:r w:rsidRPr="00866F80">
        <w:rPr>
          <w:rFonts w:cs="Arial"/>
        </w:rPr>
        <w:t xml:space="preserve">Při stavebních pracích bude dbáno na dodržování všech zásad ochrany vod, důsledně budou kontrolována všechna riziková místa a neprodleně odstraňovány vzniklé úkapy závadných látek. </w:t>
      </w:r>
    </w:p>
    <w:p w:rsidR="00372C96" w:rsidRPr="00372C96" w:rsidRDefault="00372C96" w:rsidP="0018609E">
      <w:pPr>
        <w:spacing w:before="120" w:line="276" w:lineRule="auto"/>
        <w:rPr>
          <w:rFonts w:cs="Arial"/>
          <w:i/>
        </w:rPr>
      </w:pPr>
      <w:r w:rsidRPr="00372C96">
        <w:rPr>
          <w:rFonts w:cs="Arial"/>
          <w:i/>
        </w:rPr>
        <w:t>Řešení likvidace odpadů</w:t>
      </w:r>
    </w:p>
    <w:p w:rsidR="00B5428D" w:rsidRDefault="00372C96" w:rsidP="0018609E">
      <w:pPr>
        <w:tabs>
          <w:tab w:val="left" w:pos="-1980"/>
        </w:tabs>
        <w:spacing w:before="60" w:after="60" w:line="276" w:lineRule="auto"/>
        <w:rPr>
          <w:rFonts w:cs="Arial"/>
        </w:rPr>
      </w:pPr>
      <w:r w:rsidRPr="00372C96">
        <w:rPr>
          <w:rFonts w:cs="Arial"/>
        </w:rPr>
        <w:t xml:space="preserve">Evidence vzniklých odpadů povede pracovník určený prováděcí firmou, která bude vybrána ve výběrovém řízení. Odpad bude likvidován předáním oprávněné osobě k likvidaci odpadů v souladu se Zákonem č. 185/2001 Sb., o odpadech v platném znění a jeho prováděcích vyhlášek </w:t>
      </w:r>
      <w:r w:rsidR="003F1A47">
        <w:rPr>
          <w:rFonts w:cs="Arial"/>
        </w:rPr>
        <w:t>-</w:t>
      </w:r>
      <w:r w:rsidRPr="00372C96">
        <w:rPr>
          <w:rFonts w:cs="Arial"/>
        </w:rPr>
        <w:t xml:space="preserve"> Vyhlášky č. 381/2001 Sb. Lze předpokládat, že na stavbě budou vznikat tyto kategorie odpadů: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4961"/>
        <w:gridCol w:w="2835"/>
      </w:tblGrid>
      <w:tr w:rsidR="0048148A" w:rsidRPr="0048148A"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Kód druhu odpadu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Název druhu odpadu</w:t>
            </w:r>
          </w:p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(základní charakteristika)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Kategorie odpadu</w:t>
            </w:r>
          </w:p>
        </w:tc>
      </w:tr>
      <w:tr w:rsidR="0048148A" w:rsidRPr="0048148A">
        <w:tc>
          <w:tcPr>
            <w:tcW w:w="1276" w:type="dxa"/>
            <w:tcBorders>
              <w:top w:val="nil"/>
            </w:tcBorders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15 01 01</w:t>
            </w:r>
          </w:p>
        </w:tc>
        <w:tc>
          <w:tcPr>
            <w:tcW w:w="4961" w:type="dxa"/>
            <w:tcBorders>
              <w:top w:val="nil"/>
            </w:tcBorders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 xml:space="preserve">Papírové a </w:t>
            </w:r>
            <w:r w:rsidR="0001214F" w:rsidRPr="0048148A">
              <w:rPr>
                <w:rFonts w:cs="Arial"/>
              </w:rPr>
              <w:t>lepenkové obaly</w:t>
            </w:r>
          </w:p>
        </w:tc>
        <w:tc>
          <w:tcPr>
            <w:tcW w:w="2835" w:type="dxa"/>
            <w:tcBorders>
              <w:top w:val="nil"/>
            </w:tcBorders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O</w:t>
            </w:r>
          </w:p>
        </w:tc>
      </w:tr>
      <w:tr w:rsidR="0048148A" w:rsidRPr="0048148A">
        <w:tc>
          <w:tcPr>
            <w:tcW w:w="1276" w:type="dxa"/>
            <w:tcBorders>
              <w:top w:val="nil"/>
            </w:tcBorders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15 01 02</w:t>
            </w:r>
          </w:p>
        </w:tc>
        <w:tc>
          <w:tcPr>
            <w:tcW w:w="4961" w:type="dxa"/>
            <w:tcBorders>
              <w:top w:val="nil"/>
            </w:tcBorders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Plastové obaly</w:t>
            </w:r>
          </w:p>
        </w:tc>
        <w:tc>
          <w:tcPr>
            <w:tcW w:w="2835" w:type="dxa"/>
            <w:tcBorders>
              <w:top w:val="nil"/>
            </w:tcBorders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O</w:t>
            </w:r>
          </w:p>
        </w:tc>
      </w:tr>
      <w:tr w:rsidR="0048148A" w:rsidRPr="0048148A">
        <w:tc>
          <w:tcPr>
            <w:tcW w:w="1276" w:type="dxa"/>
            <w:tcBorders>
              <w:top w:val="nil"/>
            </w:tcBorders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15 01 03</w:t>
            </w:r>
          </w:p>
        </w:tc>
        <w:tc>
          <w:tcPr>
            <w:tcW w:w="4961" w:type="dxa"/>
            <w:tcBorders>
              <w:top w:val="nil"/>
            </w:tcBorders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Dřevěné obaly</w:t>
            </w:r>
          </w:p>
        </w:tc>
        <w:tc>
          <w:tcPr>
            <w:tcW w:w="2835" w:type="dxa"/>
            <w:tcBorders>
              <w:top w:val="nil"/>
            </w:tcBorders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O</w:t>
            </w:r>
          </w:p>
        </w:tc>
      </w:tr>
      <w:tr w:rsidR="0048148A" w:rsidRPr="0048148A">
        <w:tc>
          <w:tcPr>
            <w:tcW w:w="1276" w:type="dxa"/>
            <w:tcBorders>
              <w:top w:val="nil"/>
            </w:tcBorders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15 01 04</w:t>
            </w:r>
          </w:p>
        </w:tc>
        <w:tc>
          <w:tcPr>
            <w:tcW w:w="4961" w:type="dxa"/>
            <w:tcBorders>
              <w:top w:val="nil"/>
            </w:tcBorders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Kovové obaly</w:t>
            </w:r>
          </w:p>
        </w:tc>
        <w:tc>
          <w:tcPr>
            <w:tcW w:w="2835" w:type="dxa"/>
            <w:tcBorders>
              <w:top w:val="nil"/>
            </w:tcBorders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O</w:t>
            </w:r>
          </w:p>
        </w:tc>
      </w:tr>
      <w:tr w:rsidR="0048148A" w:rsidRPr="0048148A">
        <w:tc>
          <w:tcPr>
            <w:tcW w:w="1276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17 01 01</w:t>
            </w:r>
          </w:p>
        </w:tc>
        <w:tc>
          <w:tcPr>
            <w:tcW w:w="4961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Beton (betonová plocha)</w:t>
            </w:r>
          </w:p>
        </w:tc>
        <w:tc>
          <w:tcPr>
            <w:tcW w:w="2835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 xml:space="preserve">O </w:t>
            </w:r>
          </w:p>
        </w:tc>
      </w:tr>
      <w:tr w:rsidR="0048148A" w:rsidRPr="0048148A">
        <w:tc>
          <w:tcPr>
            <w:tcW w:w="1276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17 02 01</w:t>
            </w:r>
          </w:p>
        </w:tc>
        <w:tc>
          <w:tcPr>
            <w:tcW w:w="4961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Dřevo</w:t>
            </w:r>
          </w:p>
        </w:tc>
        <w:tc>
          <w:tcPr>
            <w:tcW w:w="2835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O</w:t>
            </w:r>
          </w:p>
        </w:tc>
      </w:tr>
      <w:tr w:rsidR="0048148A" w:rsidRPr="0048148A">
        <w:tc>
          <w:tcPr>
            <w:tcW w:w="1276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17 02 03</w:t>
            </w:r>
          </w:p>
        </w:tc>
        <w:tc>
          <w:tcPr>
            <w:tcW w:w="4961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 xml:space="preserve">Plasty </w:t>
            </w:r>
          </w:p>
        </w:tc>
        <w:tc>
          <w:tcPr>
            <w:tcW w:w="2835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O</w:t>
            </w:r>
          </w:p>
        </w:tc>
      </w:tr>
      <w:tr w:rsidR="0048148A" w:rsidRPr="0048148A">
        <w:tc>
          <w:tcPr>
            <w:tcW w:w="1276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17 03 02</w:t>
            </w:r>
          </w:p>
        </w:tc>
        <w:tc>
          <w:tcPr>
            <w:tcW w:w="4961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 xml:space="preserve">Asfaltové směsi neuvedené pod číslem 17 03 01 </w:t>
            </w:r>
          </w:p>
        </w:tc>
        <w:tc>
          <w:tcPr>
            <w:tcW w:w="2835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 xml:space="preserve">O </w:t>
            </w:r>
          </w:p>
        </w:tc>
      </w:tr>
      <w:tr w:rsidR="0048148A" w:rsidRPr="0048148A">
        <w:tc>
          <w:tcPr>
            <w:tcW w:w="1276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17 04 05</w:t>
            </w:r>
          </w:p>
        </w:tc>
        <w:tc>
          <w:tcPr>
            <w:tcW w:w="4961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Železo a ocel</w:t>
            </w:r>
          </w:p>
        </w:tc>
        <w:tc>
          <w:tcPr>
            <w:tcW w:w="2835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O</w:t>
            </w:r>
          </w:p>
        </w:tc>
      </w:tr>
      <w:tr w:rsidR="0048148A" w:rsidRPr="0048148A">
        <w:tc>
          <w:tcPr>
            <w:tcW w:w="1276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lastRenderedPageBreak/>
              <w:t>17 04 11</w:t>
            </w:r>
          </w:p>
        </w:tc>
        <w:tc>
          <w:tcPr>
            <w:tcW w:w="4961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Kabely neuvedené pod 17 04 10</w:t>
            </w:r>
          </w:p>
        </w:tc>
        <w:tc>
          <w:tcPr>
            <w:tcW w:w="2835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O</w:t>
            </w:r>
          </w:p>
        </w:tc>
      </w:tr>
      <w:tr w:rsidR="0048148A" w:rsidRPr="0048148A">
        <w:tc>
          <w:tcPr>
            <w:tcW w:w="1276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17 05 04</w:t>
            </w:r>
          </w:p>
        </w:tc>
        <w:tc>
          <w:tcPr>
            <w:tcW w:w="4961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Zemina a kamení neuvedené pod č</w:t>
            </w:r>
            <w:r w:rsidR="006843F3">
              <w:rPr>
                <w:rFonts w:cs="Arial"/>
              </w:rPr>
              <w:t>.</w:t>
            </w:r>
            <w:r w:rsidRPr="0048148A">
              <w:rPr>
                <w:rFonts w:cs="Arial"/>
              </w:rPr>
              <w:t xml:space="preserve"> 17 05 03   </w:t>
            </w:r>
          </w:p>
        </w:tc>
        <w:tc>
          <w:tcPr>
            <w:tcW w:w="2835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 xml:space="preserve">O </w:t>
            </w:r>
          </w:p>
        </w:tc>
      </w:tr>
      <w:tr w:rsidR="0048148A" w:rsidRPr="0048148A">
        <w:tc>
          <w:tcPr>
            <w:tcW w:w="1276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20 02 01</w:t>
            </w:r>
          </w:p>
        </w:tc>
        <w:tc>
          <w:tcPr>
            <w:tcW w:w="4961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 xml:space="preserve">Biologicky rozložitelný odpad </w:t>
            </w:r>
          </w:p>
        </w:tc>
        <w:tc>
          <w:tcPr>
            <w:tcW w:w="2835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O</w:t>
            </w:r>
          </w:p>
        </w:tc>
      </w:tr>
      <w:tr w:rsidR="0048148A" w:rsidRPr="0048148A">
        <w:tc>
          <w:tcPr>
            <w:tcW w:w="1276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20 03 01</w:t>
            </w:r>
          </w:p>
        </w:tc>
        <w:tc>
          <w:tcPr>
            <w:tcW w:w="4961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Směsný komunální odpad</w:t>
            </w:r>
          </w:p>
        </w:tc>
        <w:tc>
          <w:tcPr>
            <w:tcW w:w="2835" w:type="dxa"/>
          </w:tcPr>
          <w:p w:rsidR="0048148A" w:rsidRPr="0048148A" w:rsidRDefault="0048148A" w:rsidP="0018609E">
            <w:pPr>
              <w:spacing w:line="276" w:lineRule="auto"/>
              <w:rPr>
                <w:rFonts w:cs="Arial"/>
              </w:rPr>
            </w:pPr>
            <w:r w:rsidRPr="0048148A">
              <w:rPr>
                <w:rFonts w:cs="Arial"/>
              </w:rPr>
              <w:t>O</w:t>
            </w:r>
          </w:p>
        </w:tc>
      </w:tr>
    </w:tbl>
    <w:p w:rsidR="0048148A" w:rsidRPr="0048148A" w:rsidRDefault="0048148A" w:rsidP="0018609E">
      <w:pPr>
        <w:spacing w:before="120" w:line="276" w:lineRule="auto"/>
        <w:rPr>
          <w:rFonts w:cs="Arial"/>
        </w:rPr>
      </w:pPr>
      <w:r w:rsidRPr="0048148A">
        <w:rPr>
          <w:rFonts w:cs="Arial"/>
        </w:rPr>
        <w:t xml:space="preserve">Původce bude dle povinností uvedených v </w:t>
      </w:r>
      <w:r w:rsidR="0001214F">
        <w:rPr>
          <w:rFonts w:cs="Arial"/>
        </w:rPr>
        <w:t>Z</w:t>
      </w:r>
      <w:r w:rsidR="0001214F" w:rsidRPr="0048148A">
        <w:rPr>
          <w:rFonts w:cs="Arial"/>
        </w:rPr>
        <w:t>ák. č.</w:t>
      </w:r>
      <w:r w:rsidRPr="0048148A">
        <w:rPr>
          <w:rFonts w:cs="Arial"/>
        </w:rPr>
        <w:t xml:space="preserve"> 185/2001 odpady zařazovat podle druhů a kategorií stanovených v Katalogu odpadů, vzniklé odpady které nemůže sám využít, trvale nabízet k využití jiné právnické nebo fyzické </w:t>
      </w:r>
      <w:r w:rsidR="0001214F" w:rsidRPr="0048148A">
        <w:rPr>
          <w:rFonts w:cs="Arial"/>
        </w:rPr>
        <w:t>osobě, nelze</w:t>
      </w:r>
      <w:r w:rsidRPr="0048148A">
        <w:rPr>
          <w:rFonts w:cs="Arial"/>
        </w:rPr>
        <w:t xml:space="preserve">-li odpady využít, zajistí jejich zneškodnění, kontrolovat nebezpečné vlastnosti odpadů a nakládat s nimi podle jejich skutečných vlastností, shromažďovat utříděné podle druhů a kategorií, zabezpečí je před nežádoucím </w:t>
      </w:r>
      <w:r w:rsidR="0001214F" w:rsidRPr="0048148A">
        <w:rPr>
          <w:rFonts w:cs="Arial"/>
        </w:rPr>
        <w:t>znehodnocením, odcizením</w:t>
      </w:r>
      <w:r w:rsidRPr="0048148A">
        <w:rPr>
          <w:rFonts w:cs="Arial"/>
        </w:rPr>
        <w:t xml:space="preserve"> nebo únikem ohrožujícím </w:t>
      </w:r>
      <w:r w:rsidR="0001214F" w:rsidRPr="0048148A">
        <w:rPr>
          <w:rFonts w:cs="Arial"/>
        </w:rPr>
        <w:t>životní prostředí</w:t>
      </w:r>
      <w:r w:rsidRPr="0048148A">
        <w:rPr>
          <w:rFonts w:cs="Arial"/>
        </w:rPr>
        <w:t>, umožní kontrolním orgánům přístup na staveniště a na vyžádání předloží dokumentaci a poskytovat úplné informace související s odpadovým hospodářstvím.</w:t>
      </w:r>
    </w:p>
    <w:p w:rsidR="0048148A" w:rsidRPr="00F0701E" w:rsidRDefault="0048148A" w:rsidP="0018609E">
      <w:pPr>
        <w:spacing w:before="60" w:line="276" w:lineRule="auto"/>
        <w:rPr>
          <w:rFonts w:cs="Arial"/>
        </w:rPr>
      </w:pPr>
      <w:r w:rsidRPr="00F0701E">
        <w:rPr>
          <w:rFonts w:cs="Arial"/>
        </w:rPr>
        <w:t>Odvoz</w:t>
      </w:r>
      <w:r w:rsidRPr="0048148A">
        <w:t xml:space="preserve"> a zneškodnění</w:t>
      </w:r>
      <w:r w:rsidR="00053FDE">
        <w:t xml:space="preserve"> odpadů bude smluvně zajištěno </w:t>
      </w:r>
      <w:r w:rsidRPr="0048148A">
        <w:t>odbornou firmou. Při dovozu stavebních materiálů a prvků pro projektovanou stavbu bude prokázána dodavatelem neškodnost tohoto materiálu vůči prostředí.</w:t>
      </w:r>
    </w:p>
    <w:p w:rsidR="0048148A" w:rsidRPr="003F1A47" w:rsidRDefault="0048148A" w:rsidP="0018609E">
      <w:pPr>
        <w:spacing w:line="276" w:lineRule="auto"/>
        <w:rPr>
          <w:rFonts w:cs="Arial"/>
          <w:sz w:val="24"/>
          <w:szCs w:val="24"/>
        </w:rPr>
      </w:pPr>
    </w:p>
    <w:p w:rsidR="00577642" w:rsidRDefault="00577642" w:rsidP="0018609E">
      <w:pPr>
        <w:pStyle w:val="Nadpis1"/>
        <w:tabs>
          <w:tab w:val="clear" w:pos="858"/>
          <w:tab w:val="num" w:pos="567"/>
        </w:tabs>
        <w:spacing w:line="276" w:lineRule="auto"/>
        <w:ind w:left="567" w:hanging="567"/>
      </w:pPr>
      <w:r>
        <w:t>další požadavky</w:t>
      </w:r>
    </w:p>
    <w:p w:rsidR="00F0701E" w:rsidRDefault="00F0701E" w:rsidP="0018609E">
      <w:pPr>
        <w:tabs>
          <w:tab w:val="left" w:pos="-1980"/>
        </w:tabs>
        <w:spacing w:before="60" w:line="276" w:lineRule="auto"/>
        <w:rPr>
          <w:bCs/>
        </w:rPr>
      </w:pPr>
      <w:r>
        <w:rPr>
          <w:rFonts w:cs="Arial"/>
        </w:rPr>
        <w:t>Uspořádání komunikace odpovídá požadavkům Vyhlášky č. 398/2009 Sb. o obecných technických požadavcích zabezpečujících užívání staveb osobami s omezenou schopností pohybu a orientace.</w:t>
      </w:r>
      <w:r w:rsidRPr="00F0701E">
        <w:rPr>
          <w:rFonts w:cs="Arial"/>
        </w:rPr>
        <w:t xml:space="preserve"> </w:t>
      </w:r>
      <w:r>
        <w:rPr>
          <w:rFonts w:cs="Arial"/>
        </w:rPr>
        <w:t>Veškeré hmatové prvky zajišťující samostatný pohyb osob se zrakovým postižením („stanovené výrobky“ ve smyslu zákona 22/1997 Sb.) budou odpovídat požadavkům Nařízení vlády 163/2002 Sb. ve znění NV 312/2005 Sb. a shoda prokázána dle návodů TN TZÚS 12.03.04 - 06.</w:t>
      </w:r>
    </w:p>
    <w:p w:rsidR="00577642" w:rsidRDefault="00577642" w:rsidP="0018609E">
      <w:pPr>
        <w:tabs>
          <w:tab w:val="left" w:pos="-1980"/>
        </w:tabs>
        <w:spacing w:before="60" w:line="276" w:lineRule="auto"/>
        <w:rPr>
          <w:rFonts w:cs="Arial"/>
        </w:rPr>
      </w:pPr>
      <w:r>
        <w:rPr>
          <w:rFonts w:cs="Arial"/>
        </w:rPr>
        <w:t>Stavba je navržena tak, aby negativní účinky vnějšího prostředí byly minimální.</w:t>
      </w:r>
    </w:p>
    <w:p w:rsidR="00BE182F" w:rsidRDefault="00F0701E" w:rsidP="0018609E">
      <w:pPr>
        <w:tabs>
          <w:tab w:val="left" w:pos="-1980"/>
        </w:tabs>
        <w:spacing w:before="60" w:line="276" w:lineRule="auto"/>
        <w:rPr>
          <w:rFonts w:cs="Arial"/>
        </w:rPr>
      </w:pPr>
      <w:r>
        <w:rPr>
          <w:rFonts w:cs="Arial"/>
        </w:rPr>
        <w:t>Požadavky dotčených orgánů js</w:t>
      </w:r>
      <w:r w:rsidR="004C1A1C">
        <w:rPr>
          <w:rFonts w:cs="Arial"/>
        </w:rPr>
        <w:t>ou splněny.</w:t>
      </w:r>
    </w:p>
    <w:p w:rsidR="00744AD0" w:rsidRDefault="00744AD0" w:rsidP="0018609E">
      <w:pPr>
        <w:tabs>
          <w:tab w:val="left" w:pos="-1980"/>
        </w:tabs>
        <w:spacing w:before="60" w:line="276" w:lineRule="auto"/>
        <w:rPr>
          <w:rFonts w:cs="Arial"/>
        </w:rPr>
      </w:pPr>
    </w:p>
    <w:p w:rsidR="00744AD0" w:rsidRDefault="00744AD0" w:rsidP="0018609E">
      <w:pPr>
        <w:tabs>
          <w:tab w:val="left" w:pos="-1980"/>
        </w:tabs>
        <w:spacing w:before="60" w:line="276" w:lineRule="auto"/>
        <w:rPr>
          <w:rFonts w:cs="Arial"/>
        </w:rPr>
      </w:pPr>
    </w:p>
    <w:p w:rsidR="004C1A1C" w:rsidRPr="00053FDE" w:rsidRDefault="00053FDE" w:rsidP="0018609E">
      <w:pPr>
        <w:tabs>
          <w:tab w:val="left" w:pos="-1980"/>
        </w:tabs>
        <w:spacing w:before="60" w:line="276" w:lineRule="auto"/>
        <w:jc w:val="right"/>
        <w:rPr>
          <w:rFonts w:cs="Arial"/>
          <w:sz w:val="20"/>
        </w:rPr>
      </w:pPr>
      <w:r w:rsidRPr="00053FDE">
        <w:rPr>
          <w:sz w:val="20"/>
        </w:rPr>
        <w:t xml:space="preserve">V Olomouci </w:t>
      </w:r>
      <w:r w:rsidR="003122FB">
        <w:rPr>
          <w:sz w:val="20"/>
        </w:rPr>
        <w:t>06/2020</w:t>
      </w:r>
    </w:p>
    <w:sectPr w:rsidR="004C1A1C" w:rsidRPr="00053FDE" w:rsidSect="00D6097B">
      <w:headerReference w:type="default" r:id="rId8"/>
      <w:footerReference w:type="even" r:id="rId9"/>
      <w:footerReference w:type="default" r:id="rId10"/>
      <w:pgSz w:w="11906" w:h="16838"/>
      <w:pgMar w:top="1021" w:right="1418" w:bottom="1134" w:left="1418" w:header="709" w:footer="63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5A8" w:rsidRDefault="002535A8">
      <w:r>
        <w:separator/>
      </w:r>
    </w:p>
  </w:endnote>
  <w:endnote w:type="continuationSeparator" w:id="0">
    <w:p w:rsidR="002535A8" w:rsidRDefault="00253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00" w:rsidRDefault="00F53C8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B630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B6300" w:rsidRDefault="00AB6300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00" w:rsidRPr="00AB60D0" w:rsidRDefault="00F53C87" w:rsidP="007B7045">
    <w:pPr>
      <w:pStyle w:val="Zpat"/>
      <w:framePr w:wrap="around" w:vAnchor="text" w:hAnchor="page" w:x="10342" w:y="44"/>
      <w:rPr>
        <w:rStyle w:val="slostrnky"/>
        <w:rFonts w:cs="Arial"/>
        <w:i/>
        <w:sz w:val="20"/>
      </w:rPr>
    </w:pPr>
    <w:r w:rsidRPr="00AB60D0">
      <w:rPr>
        <w:rStyle w:val="slostrnky"/>
        <w:rFonts w:cs="Arial"/>
        <w:i/>
        <w:sz w:val="20"/>
      </w:rPr>
      <w:fldChar w:fldCharType="begin"/>
    </w:r>
    <w:r w:rsidR="00AB6300" w:rsidRPr="00AB60D0">
      <w:rPr>
        <w:rStyle w:val="slostrnky"/>
        <w:rFonts w:cs="Arial"/>
        <w:i/>
        <w:sz w:val="20"/>
      </w:rPr>
      <w:instrText xml:space="preserve">PAGE  </w:instrText>
    </w:r>
    <w:r w:rsidRPr="00AB60D0">
      <w:rPr>
        <w:rStyle w:val="slostrnky"/>
        <w:rFonts w:cs="Arial"/>
        <w:i/>
        <w:sz w:val="20"/>
      </w:rPr>
      <w:fldChar w:fldCharType="separate"/>
    </w:r>
    <w:r w:rsidR="00D65A0C">
      <w:rPr>
        <w:rStyle w:val="slostrnky"/>
        <w:rFonts w:cs="Arial"/>
        <w:i/>
        <w:noProof/>
        <w:sz w:val="20"/>
      </w:rPr>
      <w:t>5</w:t>
    </w:r>
    <w:r w:rsidRPr="00AB60D0">
      <w:rPr>
        <w:rStyle w:val="slostrnky"/>
        <w:rFonts w:cs="Arial"/>
        <w:i/>
        <w:sz w:val="20"/>
      </w:rPr>
      <w:fldChar w:fldCharType="end"/>
    </w:r>
  </w:p>
  <w:p w:rsidR="00AB6300" w:rsidRDefault="00AB6300">
    <w:pPr>
      <w:pStyle w:val="Zpat"/>
      <w:framePr w:wrap="around" w:vAnchor="text" w:hAnchor="margin" w:xAlign="center" w:y="1"/>
      <w:ind w:right="360"/>
      <w:rPr>
        <w:rStyle w:val="slostrnky"/>
      </w:rPr>
    </w:pPr>
    <w:r>
      <w:rPr>
        <w:rStyle w:val="slostrnky"/>
      </w:rPr>
      <w:t xml:space="preserve"> </w:t>
    </w:r>
  </w:p>
  <w:p w:rsidR="00AB6300" w:rsidRPr="00AB60D0" w:rsidRDefault="00AB6300">
    <w:pPr>
      <w:pStyle w:val="Zpat"/>
      <w:rPr>
        <w:i/>
        <w:sz w:val="20"/>
      </w:rPr>
    </w:pPr>
    <w:r w:rsidRPr="00AB60D0">
      <w:rPr>
        <w:i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5A8" w:rsidRDefault="002535A8">
      <w:r>
        <w:separator/>
      </w:r>
    </w:p>
  </w:footnote>
  <w:footnote w:type="continuationSeparator" w:id="0">
    <w:p w:rsidR="002535A8" w:rsidRDefault="00253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DE" w:rsidRPr="00881439" w:rsidRDefault="00053FDE" w:rsidP="00053FDE">
    <w:pPr>
      <w:pStyle w:val="Zhlav"/>
      <w:jc w:val="right"/>
      <w:rPr>
        <w:rFonts w:ascii="Franklin Gothic Medium" w:hAnsi="Franklin Gothic Medium"/>
        <w:sz w:val="17"/>
        <w:szCs w:val="17"/>
      </w:rPr>
    </w:pPr>
    <w:r w:rsidRPr="009C3CCE">
      <w:rPr>
        <w:rFonts w:ascii="Franklin Gothic Medium" w:hAnsi="Franklin Gothic Medium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-163830</wp:posOffset>
          </wp:positionV>
          <wp:extent cx="1847850" cy="514350"/>
          <wp:effectExtent l="19050" t="0" r="0" b="0"/>
          <wp:wrapTopAndBottom/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ranklin Gothic Medium" w:hAnsi="Franklin Gothic Medium"/>
        <w:noProof/>
        <w:sz w:val="18"/>
        <w:szCs w:val="18"/>
      </w:rPr>
      <w:t>VÝSTAVBA CHODNÍKŮ V AREÁLU FNOL</w:t>
    </w:r>
  </w:p>
  <w:p w:rsidR="00053FDE" w:rsidRPr="00A848BD" w:rsidRDefault="007215C9" w:rsidP="00053FDE">
    <w:pPr>
      <w:pStyle w:val="Zhlav"/>
      <w:pBdr>
        <w:bottom w:val="single" w:sz="4" w:space="1" w:color="auto"/>
      </w:pBdr>
      <w:spacing w:before="240"/>
      <w:jc w:val="right"/>
    </w:pPr>
    <w:r w:rsidRPr="007215C9">
      <w:rPr>
        <w:rFonts w:ascii="Franklin Gothic Medium" w:hAnsi="Franklin Gothic Medium"/>
        <w:i/>
        <w:sz w:val="18"/>
        <w:szCs w:val="18"/>
      </w:rPr>
      <w:t>SOUHRNNÁ TECHNICKÁ ZPRÁVA</w:t>
    </w:r>
  </w:p>
  <w:p w:rsidR="00AB6300" w:rsidRDefault="00AB6300">
    <w:pPr>
      <w:pStyle w:val="Zhlav"/>
      <w:rPr>
        <w:b w:val="0"/>
        <w:sz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358"/>
    <w:multiLevelType w:val="singleLevel"/>
    <w:tmpl w:val="0C5A16B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1D84B56"/>
    <w:multiLevelType w:val="hybridMultilevel"/>
    <w:tmpl w:val="309C3D4A"/>
    <w:lvl w:ilvl="0" w:tplc="4C46A0B6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AF9EE734">
      <w:start w:val="1"/>
      <w:numFmt w:val="bullet"/>
      <w:lvlText w:val=""/>
      <w:lvlJc w:val="left"/>
      <w:pPr>
        <w:tabs>
          <w:tab w:val="num" w:pos="1421"/>
        </w:tabs>
        <w:ind w:left="1421" w:hanging="341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EA61CE"/>
    <w:multiLevelType w:val="hybridMultilevel"/>
    <w:tmpl w:val="B5D8B2C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75533EB"/>
    <w:multiLevelType w:val="hybridMultilevel"/>
    <w:tmpl w:val="59A69BC8"/>
    <w:lvl w:ilvl="0" w:tplc="127A1E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D35B9A"/>
    <w:multiLevelType w:val="hybridMultilevel"/>
    <w:tmpl w:val="CE2CE338"/>
    <w:lvl w:ilvl="0" w:tplc="04050003">
      <w:start w:val="1"/>
      <w:numFmt w:val="bullet"/>
      <w:lvlText w:val="o"/>
      <w:lvlJc w:val="left"/>
      <w:pPr>
        <w:tabs>
          <w:tab w:val="num" w:pos="473"/>
        </w:tabs>
        <w:ind w:left="47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7540A4"/>
    <w:multiLevelType w:val="multilevel"/>
    <w:tmpl w:val="1FC4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706362"/>
    <w:multiLevelType w:val="multilevel"/>
    <w:tmpl w:val="044894CE"/>
    <w:lvl w:ilvl="0">
      <w:start w:val="1"/>
      <w:numFmt w:val="decimal"/>
      <w:pStyle w:val="Nadpis1"/>
      <w:lvlText w:val="%1."/>
      <w:lvlJc w:val="left"/>
      <w:pPr>
        <w:tabs>
          <w:tab w:val="num" w:pos="858"/>
        </w:tabs>
        <w:ind w:left="858" w:hanging="432"/>
      </w:pPr>
      <w:rPr>
        <w:rFonts w:ascii="Arial" w:hAnsi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753D7C69"/>
    <w:multiLevelType w:val="hybridMultilevel"/>
    <w:tmpl w:val="248A3FB0"/>
    <w:lvl w:ilvl="0" w:tplc="B72A4D1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A72B08"/>
    <w:multiLevelType w:val="hybridMultilevel"/>
    <w:tmpl w:val="44AA934E"/>
    <w:lvl w:ilvl="0" w:tplc="CDB8BE48">
      <w:start w:val="1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0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5"/>
  </w:num>
  <w:num w:numId="24">
    <w:abstractNumId w:val="6"/>
  </w:num>
  <w:num w:numId="25">
    <w:abstractNumId w:val="7"/>
  </w:num>
  <w:num w:numId="26">
    <w:abstractNumId w:val="3"/>
  </w:num>
  <w:num w:numId="27">
    <w:abstractNumId w:val="2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B1B38"/>
    <w:rsid w:val="00000FBD"/>
    <w:rsid w:val="00006B62"/>
    <w:rsid w:val="0001214F"/>
    <w:rsid w:val="00013C33"/>
    <w:rsid w:val="0002139C"/>
    <w:rsid w:val="000234C7"/>
    <w:rsid w:val="0003129D"/>
    <w:rsid w:val="0003470A"/>
    <w:rsid w:val="000366E8"/>
    <w:rsid w:val="000410BB"/>
    <w:rsid w:val="00047972"/>
    <w:rsid w:val="00053FDE"/>
    <w:rsid w:val="0005520F"/>
    <w:rsid w:val="00055463"/>
    <w:rsid w:val="00055A53"/>
    <w:rsid w:val="00056892"/>
    <w:rsid w:val="00060086"/>
    <w:rsid w:val="000719AD"/>
    <w:rsid w:val="00073D62"/>
    <w:rsid w:val="000767B6"/>
    <w:rsid w:val="0008189F"/>
    <w:rsid w:val="000829A5"/>
    <w:rsid w:val="00082D75"/>
    <w:rsid w:val="00084A13"/>
    <w:rsid w:val="00085848"/>
    <w:rsid w:val="00087F61"/>
    <w:rsid w:val="00091362"/>
    <w:rsid w:val="000920FD"/>
    <w:rsid w:val="000A5FA5"/>
    <w:rsid w:val="000A6622"/>
    <w:rsid w:val="000B1B38"/>
    <w:rsid w:val="000B345D"/>
    <w:rsid w:val="000C1A77"/>
    <w:rsid w:val="000C2AED"/>
    <w:rsid w:val="000D2BAF"/>
    <w:rsid w:val="000D2E72"/>
    <w:rsid w:val="000E444A"/>
    <w:rsid w:val="000F656A"/>
    <w:rsid w:val="000F7815"/>
    <w:rsid w:val="0010201A"/>
    <w:rsid w:val="00112A92"/>
    <w:rsid w:val="0012138B"/>
    <w:rsid w:val="00121843"/>
    <w:rsid w:val="00123208"/>
    <w:rsid w:val="00123656"/>
    <w:rsid w:val="001273D1"/>
    <w:rsid w:val="00127F1D"/>
    <w:rsid w:val="001304AB"/>
    <w:rsid w:val="00130D95"/>
    <w:rsid w:val="001337D2"/>
    <w:rsid w:val="00135603"/>
    <w:rsid w:val="00137917"/>
    <w:rsid w:val="001424CB"/>
    <w:rsid w:val="00146774"/>
    <w:rsid w:val="0015122B"/>
    <w:rsid w:val="00157A11"/>
    <w:rsid w:val="00161CB2"/>
    <w:rsid w:val="00167361"/>
    <w:rsid w:val="00172049"/>
    <w:rsid w:val="00174364"/>
    <w:rsid w:val="00175C46"/>
    <w:rsid w:val="0018609E"/>
    <w:rsid w:val="00191AC4"/>
    <w:rsid w:val="001A3286"/>
    <w:rsid w:val="001A39F9"/>
    <w:rsid w:val="001A67ED"/>
    <w:rsid w:val="001B0E04"/>
    <w:rsid w:val="001B1EA9"/>
    <w:rsid w:val="001B26F5"/>
    <w:rsid w:val="001B6ED2"/>
    <w:rsid w:val="001C27F6"/>
    <w:rsid w:val="001C634F"/>
    <w:rsid w:val="001C6746"/>
    <w:rsid w:val="001D377C"/>
    <w:rsid w:val="001D3784"/>
    <w:rsid w:val="001E27CC"/>
    <w:rsid w:val="001E428C"/>
    <w:rsid w:val="001E5F2E"/>
    <w:rsid w:val="001F0B82"/>
    <w:rsid w:val="001F72B1"/>
    <w:rsid w:val="001F764F"/>
    <w:rsid w:val="001F7FD0"/>
    <w:rsid w:val="00200544"/>
    <w:rsid w:val="002009C5"/>
    <w:rsid w:val="00201F8A"/>
    <w:rsid w:val="00203108"/>
    <w:rsid w:val="00207716"/>
    <w:rsid w:val="00215296"/>
    <w:rsid w:val="00217CC9"/>
    <w:rsid w:val="0022004E"/>
    <w:rsid w:val="002265FE"/>
    <w:rsid w:val="00226E08"/>
    <w:rsid w:val="0023324C"/>
    <w:rsid w:val="002345D3"/>
    <w:rsid w:val="00235749"/>
    <w:rsid w:val="00236E9A"/>
    <w:rsid w:val="0024277D"/>
    <w:rsid w:val="002429E8"/>
    <w:rsid w:val="002443F8"/>
    <w:rsid w:val="002454B1"/>
    <w:rsid w:val="002460E8"/>
    <w:rsid w:val="00247B94"/>
    <w:rsid w:val="002535A8"/>
    <w:rsid w:val="002536BC"/>
    <w:rsid w:val="00256373"/>
    <w:rsid w:val="0026272C"/>
    <w:rsid w:val="00265CB4"/>
    <w:rsid w:val="00270B79"/>
    <w:rsid w:val="00272510"/>
    <w:rsid w:val="00272664"/>
    <w:rsid w:val="00272E97"/>
    <w:rsid w:val="002766C2"/>
    <w:rsid w:val="00276850"/>
    <w:rsid w:val="002805DE"/>
    <w:rsid w:val="00282457"/>
    <w:rsid w:val="002840BC"/>
    <w:rsid w:val="002854DC"/>
    <w:rsid w:val="002877E6"/>
    <w:rsid w:val="00290AEE"/>
    <w:rsid w:val="002A0533"/>
    <w:rsid w:val="002A0802"/>
    <w:rsid w:val="002A40B9"/>
    <w:rsid w:val="002B134B"/>
    <w:rsid w:val="002B2A50"/>
    <w:rsid w:val="002B300D"/>
    <w:rsid w:val="002B3AE0"/>
    <w:rsid w:val="002C009D"/>
    <w:rsid w:val="002C47FD"/>
    <w:rsid w:val="002D54AD"/>
    <w:rsid w:val="002E25CA"/>
    <w:rsid w:val="002E2CCA"/>
    <w:rsid w:val="002E3B32"/>
    <w:rsid w:val="002E483C"/>
    <w:rsid w:val="002E4C72"/>
    <w:rsid w:val="003004E6"/>
    <w:rsid w:val="00302AC3"/>
    <w:rsid w:val="00304FC6"/>
    <w:rsid w:val="00307735"/>
    <w:rsid w:val="003122FB"/>
    <w:rsid w:val="00316323"/>
    <w:rsid w:val="00317588"/>
    <w:rsid w:val="003178F5"/>
    <w:rsid w:val="00326046"/>
    <w:rsid w:val="0033468C"/>
    <w:rsid w:val="00335B5A"/>
    <w:rsid w:val="00340394"/>
    <w:rsid w:val="003406B2"/>
    <w:rsid w:val="003414A2"/>
    <w:rsid w:val="003449E9"/>
    <w:rsid w:val="00345FA2"/>
    <w:rsid w:val="003478BB"/>
    <w:rsid w:val="00355F8B"/>
    <w:rsid w:val="00360A39"/>
    <w:rsid w:val="00360C8B"/>
    <w:rsid w:val="00372C96"/>
    <w:rsid w:val="0037461D"/>
    <w:rsid w:val="00380972"/>
    <w:rsid w:val="003933DB"/>
    <w:rsid w:val="00397EE4"/>
    <w:rsid w:val="003A1E1C"/>
    <w:rsid w:val="003A44F3"/>
    <w:rsid w:val="003A4A99"/>
    <w:rsid w:val="003A51C5"/>
    <w:rsid w:val="003A5215"/>
    <w:rsid w:val="003A68EC"/>
    <w:rsid w:val="003B4C8F"/>
    <w:rsid w:val="003B5C61"/>
    <w:rsid w:val="003B5D38"/>
    <w:rsid w:val="003B70DA"/>
    <w:rsid w:val="003C322D"/>
    <w:rsid w:val="003D03CE"/>
    <w:rsid w:val="003D084C"/>
    <w:rsid w:val="003D19B5"/>
    <w:rsid w:val="003D1B96"/>
    <w:rsid w:val="003D7862"/>
    <w:rsid w:val="003E02F5"/>
    <w:rsid w:val="003E1287"/>
    <w:rsid w:val="003E5CD8"/>
    <w:rsid w:val="003E6935"/>
    <w:rsid w:val="003E7799"/>
    <w:rsid w:val="003E791D"/>
    <w:rsid w:val="003F1A47"/>
    <w:rsid w:val="003F2D59"/>
    <w:rsid w:val="003F7741"/>
    <w:rsid w:val="004045C1"/>
    <w:rsid w:val="00407E42"/>
    <w:rsid w:val="0042780C"/>
    <w:rsid w:val="00430782"/>
    <w:rsid w:val="004313E5"/>
    <w:rsid w:val="00442C9E"/>
    <w:rsid w:val="00444766"/>
    <w:rsid w:val="004457D8"/>
    <w:rsid w:val="00450603"/>
    <w:rsid w:val="0045106C"/>
    <w:rsid w:val="00451E61"/>
    <w:rsid w:val="00455BA9"/>
    <w:rsid w:val="00456066"/>
    <w:rsid w:val="00473F44"/>
    <w:rsid w:val="00475058"/>
    <w:rsid w:val="00480347"/>
    <w:rsid w:val="0048148A"/>
    <w:rsid w:val="00481742"/>
    <w:rsid w:val="00483F58"/>
    <w:rsid w:val="004917D7"/>
    <w:rsid w:val="00495B52"/>
    <w:rsid w:val="004972F4"/>
    <w:rsid w:val="004A28F0"/>
    <w:rsid w:val="004A3BF9"/>
    <w:rsid w:val="004A47C9"/>
    <w:rsid w:val="004A52D7"/>
    <w:rsid w:val="004A59F6"/>
    <w:rsid w:val="004A774D"/>
    <w:rsid w:val="004A7D3C"/>
    <w:rsid w:val="004C05F6"/>
    <w:rsid w:val="004C1A16"/>
    <w:rsid w:val="004C1A1C"/>
    <w:rsid w:val="004C5FEE"/>
    <w:rsid w:val="004D1272"/>
    <w:rsid w:val="004E0ABF"/>
    <w:rsid w:val="004E46BB"/>
    <w:rsid w:val="004F1B84"/>
    <w:rsid w:val="004F50EB"/>
    <w:rsid w:val="004F54A3"/>
    <w:rsid w:val="005028CF"/>
    <w:rsid w:val="00506163"/>
    <w:rsid w:val="005072AB"/>
    <w:rsid w:val="00507456"/>
    <w:rsid w:val="0051613B"/>
    <w:rsid w:val="005208AD"/>
    <w:rsid w:val="00522023"/>
    <w:rsid w:val="005241CC"/>
    <w:rsid w:val="00524BE2"/>
    <w:rsid w:val="00525697"/>
    <w:rsid w:val="0053581B"/>
    <w:rsid w:val="005361F9"/>
    <w:rsid w:val="00536C17"/>
    <w:rsid w:val="00540120"/>
    <w:rsid w:val="005509B7"/>
    <w:rsid w:val="00557A43"/>
    <w:rsid w:val="005611AC"/>
    <w:rsid w:val="005629CA"/>
    <w:rsid w:val="005640B2"/>
    <w:rsid w:val="00565C4E"/>
    <w:rsid w:val="00574EA5"/>
    <w:rsid w:val="00577642"/>
    <w:rsid w:val="005839EA"/>
    <w:rsid w:val="00585A28"/>
    <w:rsid w:val="00595CFC"/>
    <w:rsid w:val="005A0781"/>
    <w:rsid w:val="005A48D8"/>
    <w:rsid w:val="005A62EB"/>
    <w:rsid w:val="005B0CC3"/>
    <w:rsid w:val="005B5623"/>
    <w:rsid w:val="005B70F1"/>
    <w:rsid w:val="005C1423"/>
    <w:rsid w:val="005C18C6"/>
    <w:rsid w:val="005C1B52"/>
    <w:rsid w:val="005C1C72"/>
    <w:rsid w:val="005D3335"/>
    <w:rsid w:val="005D429D"/>
    <w:rsid w:val="005D4C6A"/>
    <w:rsid w:val="005E013C"/>
    <w:rsid w:val="005F6110"/>
    <w:rsid w:val="005F661C"/>
    <w:rsid w:val="00601FEA"/>
    <w:rsid w:val="00604C8B"/>
    <w:rsid w:val="006052A6"/>
    <w:rsid w:val="00607A5B"/>
    <w:rsid w:val="006163B9"/>
    <w:rsid w:val="00617003"/>
    <w:rsid w:val="00620F41"/>
    <w:rsid w:val="0062114E"/>
    <w:rsid w:val="00622D11"/>
    <w:rsid w:val="0062570D"/>
    <w:rsid w:val="00626147"/>
    <w:rsid w:val="0062681F"/>
    <w:rsid w:val="0062781A"/>
    <w:rsid w:val="0063461B"/>
    <w:rsid w:val="00636E9E"/>
    <w:rsid w:val="00637170"/>
    <w:rsid w:val="00643821"/>
    <w:rsid w:val="006515F5"/>
    <w:rsid w:val="00653B9D"/>
    <w:rsid w:val="00655262"/>
    <w:rsid w:val="00655F99"/>
    <w:rsid w:val="00660BFC"/>
    <w:rsid w:val="00667C94"/>
    <w:rsid w:val="00671244"/>
    <w:rsid w:val="00673879"/>
    <w:rsid w:val="006843F3"/>
    <w:rsid w:val="00690546"/>
    <w:rsid w:val="00690F85"/>
    <w:rsid w:val="006932DF"/>
    <w:rsid w:val="006A0241"/>
    <w:rsid w:val="006A13FB"/>
    <w:rsid w:val="006A50B0"/>
    <w:rsid w:val="006A6310"/>
    <w:rsid w:val="006A6BB0"/>
    <w:rsid w:val="006B1C75"/>
    <w:rsid w:val="006B4DA6"/>
    <w:rsid w:val="006B5058"/>
    <w:rsid w:val="006B725F"/>
    <w:rsid w:val="006B7DB8"/>
    <w:rsid w:val="006C49B7"/>
    <w:rsid w:val="006D435C"/>
    <w:rsid w:val="006E233E"/>
    <w:rsid w:val="006E5C3C"/>
    <w:rsid w:val="006F0BAE"/>
    <w:rsid w:val="006F1512"/>
    <w:rsid w:val="006F53D4"/>
    <w:rsid w:val="007003E2"/>
    <w:rsid w:val="00700FA5"/>
    <w:rsid w:val="00701310"/>
    <w:rsid w:val="00701ACD"/>
    <w:rsid w:val="00702A52"/>
    <w:rsid w:val="00703BD6"/>
    <w:rsid w:val="00710332"/>
    <w:rsid w:val="00711EDB"/>
    <w:rsid w:val="00713FBE"/>
    <w:rsid w:val="00715EA7"/>
    <w:rsid w:val="00717499"/>
    <w:rsid w:val="0072127B"/>
    <w:rsid w:val="007215C9"/>
    <w:rsid w:val="00724F72"/>
    <w:rsid w:val="007255E0"/>
    <w:rsid w:val="0072750B"/>
    <w:rsid w:val="00732F44"/>
    <w:rsid w:val="007339D7"/>
    <w:rsid w:val="00733DD1"/>
    <w:rsid w:val="00736498"/>
    <w:rsid w:val="007374F8"/>
    <w:rsid w:val="00740562"/>
    <w:rsid w:val="007405F9"/>
    <w:rsid w:val="00740C9F"/>
    <w:rsid w:val="007429C5"/>
    <w:rsid w:val="00744AD0"/>
    <w:rsid w:val="007474FC"/>
    <w:rsid w:val="007632E2"/>
    <w:rsid w:val="00766C20"/>
    <w:rsid w:val="007863F0"/>
    <w:rsid w:val="007A5110"/>
    <w:rsid w:val="007B007C"/>
    <w:rsid w:val="007B1ECE"/>
    <w:rsid w:val="007B3D1C"/>
    <w:rsid w:val="007B5D4F"/>
    <w:rsid w:val="007B5E85"/>
    <w:rsid w:val="007B7045"/>
    <w:rsid w:val="007C0F1C"/>
    <w:rsid w:val="007C1475"/>
    <w:rsid w:val="007C1B48"/>
    <w:rsid w:val="007D4D3C"/>
    <w:rsid w:val="007D4FA0"/>
    <w:rsid w:val="007D6497"/>
    <w:rsid w:val="007D64B9"/>
    <w:rsid w:val="007F360B"/>
    <w:rsid w:val="007F4B74"/>
    <w:rsid w:val="00800C65"/>
    <w:rsid w:val="00813B2F"/>
    <w:rsid w:val="00817994"/>
    <w:rsid w:val="0082063E"/>
    <w:rsid w:val="00820AA5"/>
    <w:rsid w:val="00824B51"/>
    <w:rsid w:val="00827768"/>
    <w:rsid w:val="008279C3"/>
    <w:rsid w:val="0083260F"/>
    <w:rsid w:val="008329C7"/>
    <w:rsid w:val="00834E4F"/>
    <w:rsid w:val="0083737E"/>
    <w:rsid w:val="008467D1"/>
    <w:rsid w:val="00852724"/>
    <w:rsid w:val="00855F7F"/>
    <w:rsid w:val="00856269"/>
    <w:rsid w:val="00864128"/>
    <w:rsid w:val="00866F80"/>
    <w:rsid w:val="00873242"/>
    <w:rsid w:val="00874F2C"/>
    <w:rsid w:val="0087583C"/>
    <w:rsid w:val="00881F68"/>
    <w:rsid w:val="00886012"/>
    <w:rsid w:val="008867C6"/>
    <w:rsid w:val="00890035"/>
    <w:rsid w:val="00894821"/>
    <w:rsid w:val="0089530B"/>
    <w:rsid w:val="008A72DC"/>
    <w:rsid w:val="008A7CB5"/>
    <w:rsid w:val="008B0B1A"/>
    <w:rsid w:val="008B1605"/>
    <w:rsid w:val="008B5FA9"/>
    <w:rsid w:val="008D3C5B"/>
    <w:rsid w:val="008D4C5F"/>
    <w:rsid w:val="008D7D5C"/>
    <w:rsid w:val="008E4970"/>
    <w:rsid w:val="008F0F61"/>
    <w:rsid w:val="008F2D6B"/>
    <w:rsid w:val="0090130C"/>
    <w:rsid w:val="009203E6"/>
    <w:rsid w:val="00921EEE"/>
    <w:rsid w:val="00926EB9"/>
    <w:rsid w:val="00935ED8"/>
    <w:rsid w:val="00940C27"/>
    <w:rsid w:val="009447E0"/>
    <w:rsid w:val="009459FC"/>
    <w:rsid w:val="00947382"/>
    <w:rsid w:val="00952C6C"/>
    <w:rsid w:val="00955E0F"/>
    <w:rsid w:val="00957B4E"/>
    <w:rsid w:val="00971B95"/>
    <w:rsid w:val="009721D4"/>
    <w:rsid w:val="00972A6F"/>
    <w:rsid w:val="009735BD"/>
    <w:rsid w:val="009738C6"/>
    <w:rsid w:val="00982DDD"/>
    <w:rsid w:val="00984602"/>
    <w:rsid w:val="009850BA"/>
    <w:rsid w:val="0098679B"/>
    <w:rsid w:val="00991F65"/>
    <w:rsid w:val="00993762"/>
    <w:rsid w:val="00995471"/>
    <w:rsid w:val="00995DF0"/>
    <w:rsid w:val="009970EA"/>
    <w:rsid w:val="009B037E"/>
    <w:rsid w:val="009B18DE"/>
    <w:rsid w:val="009B5332"/>
    <w:rsid w:val="009C0D5C"/>
    <w:rsid w:val="009D251E"/>
    <w:rsid w:val="009D4A8B"/>
    <w:rsid w:val="009D5D7E"/>
    <w:rsid w:val="009E30CB"/>
    <w:rsid w:val="009E325F"/>
    <w:rsid w:val="009E48D1"/>
    <w:rsid w:val="009E5214"/>
    <w:rsid w:val="009F3656"/>
    <w:rsid w:val="009F41C5"/>
    <w:rsid w:val="009F5BB3"/>
    <w:rsid w:val="00A008E9"/>
    <w:rsid w:val="00A02A4F"/>
    <w:rsid w:val="00A05C4A"/>
    <w:rsid w:val="00A10F8F"/>
    <w:rsid w:val="00A13774"/>
    <w:rsid w:val="00A2786C"/>
    <w:rsid w:val="00A3154D"/>
    <w:rsid w:val="00A32F36"/>
    <w:rsid w:val="00A33874"/>
    <w:rsid w:val="00A40EB0"/>
    <w:rsid w:val="00A43745"/>
    <w:rsid w:val="00A44AE1"/>
    <w:rsid w:val="00A45A79"/>
    <w:rsid w:val="00A47981"/>
    <w:rsid w:val="00A500F8"/>
    <w:rsid w:val="00A51D38"/>
    <w:rsid w:val="00A539A8"/>
    <w:rsid w:val="00A53BFF"/>
    <w:rsid w:val="00A549A1"/>
    <w:rsid w:val="00A54C7C"/>
    <w:rsid w:val="00A610DB"/>
    <w:rsid w:val="00A62D3D"/>
    <w:rsid w:val="00A63C67"/>
    <w:rsid w:val="00A64F24"/>
    <w:rsid w:val="00A72A49"/>
    <w:rsid w:val="00A740FF"/>
    <w:rsid w:val="00A74D75"/>
    <w:rsid w:val="00A77C85"/>
    <w:rsid w:val="00A84302"/>
    <w:rsid w:val="00A90C74"/>
    <w:rsid w:val="00A91C75"/>
    <w:rsid w:val="00A945C9"/>
    <w:rsid w:val="00A94E73"/>
    <w:rsid w:val="00A968D2"/>
    <w:rsid w:val="00AA1BB4"/>
    <w:rsid w:val="00AA1E52"/>
    <w:rsid w:val="00AA7808"/>
    <w:rsid w:val="00AB1E8E"/>
    <w:rsid w:val="00AB3A1D"/>
    <w:rsid w:val="00AB5439"/>
    <w:rsid w:val="00AB60D0"/>
    <w:rsid w:val="00AB6300"/>
    <w:rsid w:val="00AB68DE"/>
    <w:rsid w:val="00AC260E"/>
    <w:rsid w:val="00AD0169"/>
    <w:rsid w:val="00AD55E9"/>
    <w:rsid w:val="00AD5717"/>
    <w:rsid w:val="00AD5EFB"/>
    <w:rsid w:val="00AE53AD"/>
    <w:rsid w:val="00AE67B6"/>
    <w:rsid w:val="00AE6DF4"/>
    <w:rsid w:val="00AF1DD7"/>
    <w:rsid w:val="00AF208A"/>
    <w:rsid w:val="00AF342B"/>
    <w:rsid w:val="00AF41FD"/>
    <w:rsid w:val="00AF7705"/>
    <w:rsid w:val="00B02303"/>
    <w:rsid w:val="00B03C53"/>
    <w:rsid w:val="00B1033C"/>
    <w:rsid w:val="00B11947"/>
    <w:rsid w:val="00B14924"/>
    <w:rsid w:val="00B2063F"/>
    <w:rsid w:val="00B2449C"/>
    <w:rsid w:val="00B257C0"/>
    <w:rsid w:val="00B27FB8"/>
    <w:rsid w:val="00B30DEE"/>
    <w:rsid w:val="00B31BC5"/>
    <w:rsid w:val="00B35F18"/>
    <w:rsid w:val="00B3770C"/>
    <w:rsid w:val="00B43F86"/>
    <w:rsid w:val="00B46991"/>
    <w:rsid w:val="00B5002A"/>
    <w:rsid w:val="00B52B4A"/>
    <w:rsid w:val="00B5428D"/>
    <w:rsid w:val="00B56B98"/>
    <w:rsid w:val="00B62531"/>
    <w:rsid w:val="00B63419"/>
    <w:rsid w:val="00B65922"/>
    <w:rsid w:val="00B70729"/>
    <w:rsid w:val="00B713C6"/>
    <w:rsid w:val="00B73D1E"/>
    <w:rsid w:val="00B813E4"/>
    <w:rsid w:val="00B81985"/>
    <w:rsid w:val="00B842E4"/>
    <w:rsid w:val="00B860BF"/>
    <w:rsid w:val="00B86DD7"/>
    <w:rsid w:val="00B93019"/>
    <w:rsid w:val="00BA1B23"/>
    <w:rsid w:val="00BA5264"/>
    <w:rsid w:val="00BB2459"/>
    <w:rsid w:val="00BC37BF"/>
    <w:rsid w:val="00BC44C7"/>
    <w:rsid w:val="00BD0C74"/>
    <w:rsid w:val="00BD2D21"/>
    <w:rsid w:val="00BD646F"/>
    <w:rsid w:val="00BE0554"/>
    <w:rsid w:val="00BE1079"/>
    <w:rsid w:val="00BE182F"/>
    <w:rsid w:val="00BE5E69"/>
    <w:rsid w:val="00BF00A1"/>
    <w:rsid w:val="00BF1AA2"/>
    <w:rsid w:val="00BF7BDA"/>
    <w:rsid w:val="00C02F3A"/>
    <w:rsid w:val="00C04689"/>
    <w:rsid w:val="00C13BD4"/>
    <w:rsid w:val="00C16A6C"/>
    <w:rsid w:val="00C230CE"/>
    <w:rsid w:val="00C26079"/>
    <w:rsid w:val="00C32624"/>
    <w:rsid w:val="00C32BDE"/>
    <w:rsid w:val="00C37345"/>
    <w:rsid w:val="00C407D8"/>
    <w:rsid w:val="00C41273"/>
    <w:rsid w:val="00C431AE"/>
    <w:rsid w:val="00C43A47"/>
    <w:rsid w:val="00C43DBC"/>
    <w:rsid w:val="00C44092"/>
    <w:rsid w:val="00C45547"/>
    <w:rsid w:val="00C45BD8"/>
    <w:rsid w:val="00C45DA4"/>
    <w:rsid w:val="00C45DC6"/>
    <w:rsid w:val="00C50120"/>
    <w:rsid w:val="00C53A1D"/>
    <w:rsid w:val="00C54E37"/>
    <w:rsid w:val="00C55097"/>
    <w:rsid w:val="00C62EE4"/>
    <w:rsid w:val="00C67E06"/>
    <w:rsid w:val="00C70F53"/>
    <w:rsid w:val="00C72C37"/>
    <w:rsid w:val="00C7694C"/>
    <w:rsid w:val="00C803FC"/>
    <w:rsid w:val="00C83A61"/>
    <w:rsid w:val="00C83D40"/>
    <w:rsid w:val="00C862FE"/>
    <w:rsid w:val="00C8735C"/>
    <w:rsid w:val="00C92081"/>
    <w:rsid w:val="00C92DD8"/>
    <w:rsid w:val="00C930C9"/>
    <w:rsid w:val="00C93392"/>
    <w:rsid w:val="00C94517"/>
    <w:rsid w:val="00CA1A06"/>
    <w:rsid w:val="00CA5F2C"/>
    <w:rsid w:val="00CA6C22"/>
    <w:rsid w:val="00CC1293"/>
    <w:rsid w:val="00CC7078"/>
    <w:rsid w:val="00CC7DA2"/>
    <w:rsid w:val="00CD0FF3"/>
    <w:rsid w:val="00CD7C8A"/>
    <w:rsid w:val="00CE1B9B"/>
    <w:rsid w:val="00CF365F"/>
    <w:rsid w:val="00CF3701"/>
    <w:rsid w:val="00CF7989"/>
    <w:rsid w:val="00D10632"/>
    <w:rsid w:val="00D15799"/>
    <w:rsid w:val="00D21C17"/>
    <w:rsid w:val="00D21CBC"/>
    <w:rsid w:val="00D276E7"/>
    <w:rsid w:val="00D31F20"/>
    <w:rsid w:val="00D35B62"/>
    <w:rsid w:val="00D36C9A"/>
    <w:rsid w:val="00D4479E"/>
    <w:rsid w:val="00D53863"/>
    <w:rsid w:val="00D54BAF"/>
    <w:rsid w:val="00D6097B"/>
    <w:rsid w:val="00D65326"/>
    <w:rsid w:val="00D65A0C"/>
    <w:rsid w:val="00D67DF0"/>
    <w:rsid w:val="00D744D7"/>
    <w:rsid w:val="00D85F45"/>
    <w:rsid w:val="00D90E36"/>
    <w:rsid w:val="00D95791"/>
    <w:rsid w:val="00D97343"/>
    <w:rsid w:val="00DA4F38"/>
    <w:rsid w:val="00DB0B1A"/>
    <w:rsid w:val="00DB46B9"/>
    <w:rsid w:val="00DB4E99"/>
    <w:rsid w:val="00DC7A56"/>
    <w:rsid w:val="00DD17CB"/>
    <w:rsid w:val="00DD4685"/>
    <w:rsid w:val="00DD621B"/>
    <w:rsid w:val="00DD7915"/>
    <w:rsid w:val="00DE56A6"/>
    <w:rsid w:val="00DE5A3F"/>
    <w:rsid w:val="00DE7B98"/>
    <w:rsid w:val="00DF4471"/>
    <w:rsid w:val="00DF4AEC"/>
    <w:rsid w:val="00E02221"/>
    <w:rsid w:val="00E02318"/>
    <w:rsid w:val="00E05160"/>
    <w:rsid w:val="00E05FC5"/>
    <w:rsid w:val="00E102A3"/>
    <w:rsid w:val="00E15499"/>
    <w:rsid w:val="00E20705"/>
    <w:rsid w:val="00E33673"/>
    <w:rsid w:val="00E35197"/>
    <w:rsid w:val="00E423E8"/>
    <w:rsid w:val="00E442A3"/>
    <w:rsid w:val="00E45257"/>
    <w:rsid w:val="00E55343"/>
    <w:rsid w:val="00E57E86"/>
    <w:rsid w:val="00E601A5"/>
    <w:rsid w:val="00E748F0"/>
    <w:rsid w:val="00E76CDC"/>
    <w:rsid w:val="00E90917"/>
    <w:rsid w:val="00E92EA2"/>
    <w:rsid w:val="00E96E00"/>
    <w:rsid w:val="00E9777A"/>
    <w:rsid w:val="00EA15D1"/>
    <w:rsid w:val="00EA3851"/>
    <w:rsid w:val="00EA38F8"/>
    <w:rsid w:val="00EB0A2E"/>
    <w:rsid w:val="00EB0EA7"/>
    <w:rsid w:val="00EB14E9"/>
    <w:rsid w:val="00EB201F"/>
    <w:rsid w:val="00EC158F"/>
    <w:rsid w:val="00EC1D10"/>
    <w:rsid w:val="00EC20A9"/>
    <w:rsid w:val="00EC5B73"/>
    <w:rsid w:val="00EC687A"/>
    <w:rsid w:val="00ED4D81"/>
    <w:rsid w:val="00ED4F2C"/>
    <w:rsid w:val="00ED656E"/>
    <w:rsid w:val="00EE299B"/>
    <w:rsid w:val="00EE4A28"/>
    <w:rsid w:val="00EE5BE5"/>
    <w:rsid w:val="00EE6725"/>
    <w:rsid w:val="00EE73DD"/>
    <w:rsid w:val="00EF20FA"/>
    <w:rsid w:val="00EF2AE9"/>
    <w:rsid w:val="00EF4E45"/>
    <w:rsid w:val="00EF4F0F"/>
    <w:rsid w:val="00F05D1F"/>
    <w:rsid w:val="00F0682B"/>
    <w:rsid w:val="00F0701E"/>
    <w:rsid w:val="00F13534"/>
    <w:rsid w:val="00F13831"/>
    <w:rsid w:val="00F13D54"/>
    <w:rsid w:val="00F14016"/>
    <w:rsid w:val="00F17077"/>
    <w:rsid w:val="00F23769"/>
    <w:rsid w:val="00F306E9"/>
    <w:rsid w:val="00F30C5D"/>
    <w:rsid w:val="00F32258"/>
    <w:rsid w:val="00F34D42"/>
    <w:rsid w:val="00F40DCC"/>
    <w:rsid w:val="00F508A5"/>
    <w:rsid w:val="00F51604"/>
    <w:rsid w:val="00F53C87"/>
    <w:rsid w:val="00F561AE"/>
    <w:rsid w:val="00F61A31"/>
    <w:rsid w:val="00F7135B"/>
    <w:rsid w:val="00F765DB"/>
    <w:rsid w:val="00F80865"/>
    <w:rsid w:val="00F8294E"/>
    <w:rsid w:val="00F8489A"/>
    <w:rsid w:val="00F8543C"/>
    <w:rsid w:val="00F87065"/>
    <w:rsid w:val="00F92094"/>
    <w:rsid w:val="00F92D3A"/>
    <w:rsid w:val="00F9404A"/>
    <w:rsid w:val="00F96148"/>
    <w:rsid w:val="00FA2555"/>
    <w:rsid w:val="00FA56B6"/>
    <w:rsid w:val="00FA5C8A"/>
    <w:rsid w:val="00FB04F3"/>
    <w:rsid w:val="00FB153A"/>
    <w:rsid w:val="00FB1C16"/>
    <w:rsid w:val="00FC29F2"/>
    <w:rsid w:val="00FD0E55"/>
    <w:rsid w:val="00FD690D"/>
    <w:rsid w:val="00FD71AD"/>
    <w:rsid w:val="00FE2C9C"/>
    <w:rsid w:val="00FE4389"/>
    <w:rsid w:val="00FE44BD"/>
    <w:rsid w:val="00FE63E4"/>
    <w:rsid w:val="00FF3D34"/>
    <w:rsid w:val="00FF5324"/>
    <w:rsid w:val="00FF6153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03108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FD71AD"/>
    <w:pPr>
      <w:keepNext/>
      <w:numPr>
        <w:numId w:val="1"/>
      </w:numPr>
      <w:outlineLvl w:val="0"/>
    </w:pPr>
    <w:rPr>
      <w:b/>
      <w:caps/>
      <w:sz w:val="28"/>
      <w:szCs w:val="22"/>
    </w:rPr>
  </w:style>
  <w:style w:type="paragraph" w:styleId="Nadpis2">
    <w:name w:val="heading 2"/>
    <w:basedOn w:val="Normln"/>
    <w:next w:val="Normln"/>
    <w:qFormat/>
    <w:rsid w:val="00C407D8"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407D8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C407D8"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407D8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qFormat/>
    <w:rsid w:val="00C407D8"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C407D8"/>
    <w:pPr>
      <w:keepNext/>
      <w:numPr>
        <w:ilvl w:val="6"/>
        <w:numId w:val="1"/>
      </w:numPr>
      <w:outlineLvl w:val="6"/>
    </w:pPr>
    <w:rPr>
      <w:i/>
      <w:sz w:val="24"/>
    </w:rPr>
  </w:style>
  <w:style w:type="paragraph" w:styleId="Nadpis8">
    <w:name w:val="heading 8"/>
    <w:basedOn w:val="Normln"/>
    <w:next w:val="Normln"/>
    <w:qFormat/>
    <w:rsid w:val="00D85F4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C407D8"/>
    <w:pPr>
      <w:keepNext/>
      <w:numPr>
        <w:ilvl w:val="8"/>
        <w:numId w:val="1"/>
      </w:numPr>
      <w:spacing w:line="360" w:lineRule="auto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uiPriority w:val="99"/>
    <w:rsid w:val="00C407D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customStyle="1" w:styleId="Export0">
    <w:name w:val="Export 0"/>
    <w:rsid w:val="00C407D8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styleId="Zkladntextodsazen">
    <w:name w:val="Body Text Indent"/>
    <w:basedOn w:val="Normln"/>
    <w:rsid w:val="00C407D8"/>
    <w:pPr>
      <w:ind w:left="284" w:firstLine="705"/>
    </w:pPr>
  </w:style>
  <w:style w:type="paragraph" w:styleId="Zkladntextodsazen2">
    <w:name w:val="Body Text Indent 2"/>
    <w:basedOn w:val="Normln"/>
    <w:rsid w:val="00C407D8"/>
    <w:pPr>
      <w:ind w:left="284" w:firstLine="360"/>
    </w:pPr>
  </w:style>
  <w:style w:type="paragraph" w:styleId="Zkladntextodsazen3">
    <w:name w:val="Body Text Indent 3"/>
    <w:basedOn w:val="Normln"/>
    <w:rsid w:val="00C407D8"/>
    <w:pPr>
      <w:ind w:firstLine="708"/>
    </w:pPr>
  </w:style>
  <w:style w:type="paragraph" w:styleId="Zkladntext">
    <w:name w:val="Body Text"/>
    <w:basedOn w:val="Normln"/>
    <w:rsid w:val="00C407D8"/>
    <w:pPr>
      <w:jc w:val="center"/>
    </w:pPr>
    <w:rPr>
      <w:b/>
      <w:sz w:val="32"/>
    </w:rPr>
  </w:style>
  <w:style w:type="paragraph" w:styleId="Zkladntext2">
    <w:name w:val="Body Text 2"/>
    <w:basedOn w:val="Normln"/>
    <w:rsid w:val="00C407D8"/>
    <w:rPr>
      <w:sz w:val="24"/>
    </w:rPr>
  </w:style>
  <w:style w:type="paragraph" w:styleId="Zkladntext3">
    <w:name w:val="Body Text 3"/>
    <w:basedOn w:val="Normln"/>
    <w:rsid w:val="00C407D8"/>
  </w:style>
  <w:style w:type="paragraph" w:styleId="Zpat">
    <w:name w:val="footer"/>
    <w:basedOn w:val="Normln"/>
    <w:rsid w:val="00C407D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407D8"/>
  </w:style>
  <w:style w:type="paragraph" w:customStyle="1" w:styleId="Zkladntext21">
    <w:name w:val="Základní text 21"/>
    <w:basedOn w:val="Normln"/>
    <w:rsid w:val="00C407D8"/>
    <w:rPr>
      <w:sz w:val="24"/>
    </w:rPr>
  </w:style>
  <w:style w:type="paragraph" w:customStyle="1" w:styleId="Zkladntext31">
    <w:name w:val="Základní text 31"/>
    <w:basedOn w:val="Normln"/>
    <w:rsid w:val="00C407D8"/>
    <w:rPr>
      <w:sz w:val="24"/>
    </w:rPr>
  </w:style>
  <w:style w:type="paragraph" w:customStyle="1" w:styleId="Styl1">
    <w:name w:val="Styl1"/>
    <w:basedOn w:val="Normln"/>
    <w:rsid w:val="00C407D8"/>
    <w:rPr>
      <w:b/>
      <w:sz w:val="24"/>
    </w:rPr>
  </w:style>
  <w:style w:type="paragraph" w:styleId="Prosttext">
    <w:name w:val="Plain Text"/>
    <w:basedOn w:val="Normln"/>
    <w:rsid w:val="00C407D8"/>
    <w:rPr>
      <w:rFonts w:ascii="Courier New" w:hAnsi="Courier New"/>
      <w:color w:val="008000"/>
      <w:sz w:val="20"/>
    </w:rPr>
  </w:style>
  <w:style w:type="paragraph" w:styleId="Nzev">
    <w:name w:val="Title"/>
    <w:basedOn w:val="Normln"/>
    <w:qFormat/>
    <w:rsid w:val="00C407D8"/>
    <w:pPr>
      <w:spacing w:after="600"/>
      <w:jc w:val="center"/>
    </w:pPr>
    <w:rPr>
      <w:b/>
      <w:sz w:val="28"/>
      <w:u w:val="single"/>
    </w:rPr>
  </w:style>
  <w:style w:type="paragraph" w:styleId="Normlnweb">
    <w:name w:val="Normal (Web)"/>
    <w:basedOn w:val="Normln"/>
    <w:rsid w:val="00C407D8"/>
    <w:pPr>
      <w:spacing w:before="100" w:beforeAutospacing="1" w:after="100" w:afterAutospacing="1"/>
    </w:pPr>
    <w:rPr>
      <w:sz w:val="24"/>
      <w:szCs w:val="24"/>
    </w:rPr>
  </w:style>
  <w:style w:type="paragraph" w:customStyle="1" w:styleId="StylNadpis1ArialVechnavelk">
    <w:name w:val="Styl Nadpis 1 + Arial Všechna velká"/>
    <w:basedOn w:val="Nadpis1"/>
    <w:rsid w:val="00D85F45"/>
    <w:rPr>
      <w:bCs/>
      <w:caps w:val="0"/>
    </w:rPr>
  </w:style>
  <w:style w:type="paragraph" w:customStyle="1" w:styleId="StylNadpis2ArialVlevo0cmPrvndek0cmPed6">
    <w:name w:val="Styl Nadpis 2 + Arial Vlevo:  0 cm První řádek:  0 cm Před:  6 ..."/>
    <w:basedOn w:val="Nadpis2"/>
    <w:rsid w:val="005C1B52"/>
    <w:pPr>
      <w:spacing w:before="120"/>
    </w:pPr>
    <w:rPr>
      <w:bCs/>
      <w:sz w:val="24"/>
    </w:rPr>
  </w:style>
  <w:style w:type="paragraph" w:styleId="Textbubliny">
    <w:name w:val="Balloon Text"/>
    <w:basedOn w:val="Normln"/>
    <w:semiHidden/>
    <w:rsid w:val="00EF2AE9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B27FB8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basedOn w:val="Standardnpsmoodstavce"/>
    <w:rsid w:val="00335B5A"/>
  </w:style>
  <w:style w:type="character" w:styleId="Zvraznn">
    <w:name w:val="Emphasis"/>
    <w:basedOn w:val="Standardnpsmoodstavce"/>
    <w:qFormat/>
    <w:rsid w:val="00335B5A"/>
    <w:rPr>
      <w:i/>
      <w:iCs/>
    </w:rPr>
  </w:style>
  <w:style w:type="paragraph" w:customStyle="1" w:styleId="Default">
    <w:name w:val="Default"/>
    <w:rsid w:val="00473F4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AB6300"/>
    <w:pPr>
      <w:ind w:left="720"/>
      <w:contextualSpacing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053FDE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EF25E-5D9D-4BED-B9D9-F219732B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1761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Oprava chodníků Družební</vt:lpstr>
    </vt:vector>
  </TitlesOfParts>
  <Company>Dopravní projektování</Company>
  <LinksUpToDate>false</LinksUpToDate>
  <CharactersWithSpaces>12132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Oprava chodníků Družební</dc:title>
  <dc:creator>DP Olomouc</dc:creator>
  <cp:lastModifiedBy>Uživatel systému Windows</cp:lastModifiedBy>
  <cp:revision>2</cp:revision>
  <cp:lastPrinted>2020-01-27T06:39:00Z</cp:lastPrinted>
  <dcterms:created xsi:type="dcterms:W3CDTF">2020-07-02T13:24:00Z</dcterms:created>
  <dcterms:modified xsi:type="dcterms:W3CDTF">2020-07-02T13:24:00Z</dcterms:modified>
</cp:coreProperties>
</file>