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2BBC" w14:textId="77777777" w:rsidR="0068368E" w:rsidRDefault="0068368E">
      <w:pPr>
        <w:rPr>
          <w:b/>
          <w:sz w:val="24"/>
          <w:szCs w:val="24"/>
        </w:rPr>
      </w:pPr>
    </w:p>
    <w:p w14:paraId="2A872BBD" w14:textId="77777777" w:rsidR="0068368E" w:rsidRDefault="008402C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Seznam použitých norem a vyhlášek:</w:t>
      </w:r>
    </w:p>
    <w:p w14:paraId="2A872BBE" w14:textId="77777777" w:rsidR="0068368E" w:rsidRDefault="0068368E">
      <w:pPr>
        <w:rPr>
          <w:sz w:val="24"/>
          <w:szCs w:val="24"/>
        </w:rPr>
      </w:pPr>
    </w:p>
    <w:p w14:paraId="2A872BBF" w14:textId="77777777" w:rsidR="0068368E" w:rsidRDefault="008402C4">
      <w:pPr>
        <w:rPr>
          <w:sz w:val="24"/>
          <w:szCs w:val="24"/>
        </w:rPr>
      </w:pPr>
      <w:r>
        <w:t>ČSN 013462 Výkresy inženýrských staveb. Výkresy vodovodu</w:t>
      </w:r>
    </w:p>
    <w:p w14:paraId="2A872BC0" w14:textId="77777777" w:rsidR="0068368E" w:rsidRDefault="008402C4">
      <w:pPr>
        <w:rPr>
          <w:sz w:val="24"/>
          <w:szCs w:val="24"/>
        </w:rPr>
      </w:pPr>
      <w:r>
        <w:t>ČSN 736005 Prostorová úprava vedení technického vybavení</w:t>
      </w:r>
    </w:p>
    <w:p w14:paraId="2A872BC1" w14:textId="77777777" w:rsidR="0068368E" w:rsidRDefault="008402C4">
      <w:pPr>
        <w:rPr>
          <w:sz w:val="24"/>
          <w:szCs w:val="24"/>
        </w:rPr>
      </w:pPr>
      <w:r>
        <w:t>ČSN 736006 Označování úložných zařízení výstražnými fóliemi</w:t>
      </w:r>
    </w:p>
    <w:p w14:paraId="2A872BC2" w14:textId="77777777" w:rsidR="0068368E" w:rsidRDefault="008402C4">
      <w:r>
        <w:t>ČSN 755401 Navrhování vodovodního potrubí</w:t>
      </w:r>
    </w:p>
    <w:p w14:paraId="2A872BC3" w14:textId="77777777" w:rsidR="0068368E" w:rsidRDefault="008402C4">
      <w:r>
        <w:t>ČSN 755411 Vodovodní přípojky</w:t>
      </w:r>
    </w:p>
    <w:p w14:paraId="2A872BC4" w14:textId="77777777" w:rsidR="0068368E" w:rsidRDefault="008402C4">
      <w:r>
        <w:t>ČSN 755455 Výpočet vnitřních vodovodů</w:t>
      </w:r>
    </w:p>
    <w:p w14:paraId="2A872BC5" w14:textId="77777777" w:rsidR="0068368E" w:rsidRDefault="008402C4">
      <w:r>
        <w:t>ČSN 755409 Vnitřní vodovody</w:t>
      </w:r>
    </w:p>
    <w:p w14:paraId="2A872BC6" w14:textId="77777777" w:rsidR="0068368E" w:rsidRDefault="008402C4">
      <w:pPr>
        <w:rPr>
          <w:sz w:val="24"/>
          <w:szCs w:val="24"/>
        </w:rPr>
      </w:pPr>
      <w:r>
        <w:t>ČSN EN 805 Vodárenství – požadavky na vnější sítě a jejich součásti</w:t>
      </w:r>
    </w:p>
    <w:p w14:paraId="2A872BC7" w14:textId="77777777" w:rsidR="0068368E" w:rsidRDefault="008402C4">
      <w:r>
        <w:t>ČSN 755911 Tlakové zkoušky vodovodního a závlahového potrubí</w:t>
      </w:r>
    </w:p>
    <w:p w14:paraId="2A872BC8" w14:textId="77777777" w:rsidR="0068368E" w:rsidRDefault="008402C4">
      <w:pPr>
        <w:rPr>
          <w:sz w:val="24"/>
          <w:szCs w:val="24"/>
        </w:rPr>
      </w:pPr>
      <w:r>
        <w:t>TNI CEN/TR 16355 – doporučení pro prevenci zvyšování koncentrace bakterií rodu Legionella ve vnitřních vodovodech pro rozvod vody určené k lidské spotřebě</w:t>
      </w:r>
    </w:p>
    <w:p w14:paraId="2A872BC9" w14:textId="77777777" w:rsidR="0068368E" w:rsidRDefault="008402C4">
      <w:r>
        <w:t>ČSN EN 806-1 Vnitřní vodovod pro rozvod vody určené k lidské spotřebě – všeobecně</w:t>
      </w:r>
    </w:p>
    <w:p w14:paraId="2A872BCA" w14:textId="77777777" w:rsidR="0068368E" w:rsidRDefault="008402C4">
      <w:r>
        <w:t>ČSN EN 806-2 Vnitřní vodovod pro rozvod vody určené k lidské spotřebě – navrhování</w:t>
      </w:r>
    </w:p>
    <w:p w14:paraId="2A872BCB" w14:textId="77777777" w:rsidR="0068368E" w:rsidRDefault="008402C4">
      <w:r>
        <w:t xml:space="preserve">ČSN EN 806-3 Vnitřní vodovod pro rozvod vody určené k lidské spotřebě – dimenzování potrubí </w:t>
      </w:r>
    </w:p>
    <w:p w14:paraId="2A872BCC" w14:textId="77777777" w:rsidR="0068368E" w:rsidRDefault="008402C4">
      <w:r>
        <w:t xml:space="preserve">ČSN EN 806-4 Vnitřní vodovod pro rozvod vody určené k lidské spotřebě – montáž </w:t>
      </w:r>
    </w:p>
    <w:p w14:paraId="2A872BCD" w14:textId="77777777" w:rsidR="0068368E" w:rsidRDefault="008402C4">
      <w:r>
        <w:t>ČSN EN 806-5 Vnitřní vodovod pro rozvod vody určené k lidské spotřebě – provoz a údržba</w:t>
      </w:r>
    </w:p>
    <w:p w14:paraId="2A872BCE" w14:textId="77777777" w:rsidR="0068368E" w:rsidRDefault="008402C4">
      <w:r>
        <w:t>ČSN EN 1717 Ochrana proti znečištění pitné vody ve vnitřních vodovodech a všeobecné požadavky na zařízení na ochranu proti znečištění zpětným průtokem</w:t>
      </w:r>
    </w:p>
    <w:p w14:paraId="2A872BCF" w14:textId="77777777" w:rsidR="0068368E" w:rsidRDefault="0068368E"/>
    <w:p w14:paraId="2A872BD0" w14:textId="77777777" w:rsidR="0068368E" w:rsidRDefault="008402C4">
      <w:r>
        <w:t>Zákon č. 274/2001 - Zákon o vodovodech a kanalizacích pro veřejnou potřebu a o změně některých zákonů (zákon o vodovodech a kanalizacích)</w:t>
      </w:r>
    </w:p>
    <w:p w14:paraId="2A872BD1" w14:textId="77777777" w:rsidR="0068368E" w:rsidRDefault="008402C4">
      <w:pPr>
        <w:rPr>
          <w:sz w:val="24"/>
          <w:szCs w:val="24"/>
        </w:rPr>
      </w:pPr>
      <w:r>
        <w:t>Vyhláška č.428/2001 - Vyhláška ministerstva zemědělství, kterou se provádí zákon č. 274/2001 Sb., o vodovodech a kanalizacích pro veřejnou potřebu a o změně některých zákonů (zákon o vodovodech a kanalizacích)</w:t>
      </w:r>
    </w:p>
    <w:p w14:paraId="2A872BD2" w14:textId="77777777" w:rsidR="0068368E" w:rsidRDefault="008402C4">
      <w:r>
        <w:t>Zákon č. 254/2001 - Zákon o vodách a o změně některých zákonů (vodní zákon)</w:t>
      </w:r>
    </w:p>
    <w:p w14:paraId="2A872BD3" w14:textId="77777777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 w:line="276" w:lineRule="auto"/>
      </w:pPr>
      <w:r>
        <w:br w:type="page"/>
      </w:r>
    </w:p>
    <w:p w14:paraId="2A872BD4" w14:textId="77777777" w:rsidR="0068368E" w:rsidRDefault="0068368E"/>
    <w:p w14:paraId="2A872BD5" w14:textId="77777777" w:rsidR="0068368E" w:rsidRDefault="008402C4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48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Obsah</w:t>
      </w:r>
    </w:p>
    <w:sdt>
      <w:sdtPr>
        <w:id w:val="448592512"/>
        <w:docPartObj>
          <w:docPartGallery w:val="Table of Contents"/>
          <w:docPartUnique/>
        </w:docPartObj>
      </w:sdtPr>
      <w:sdtEndPr/>
      <w:sdtContent>
        <w:p w14:paraId="215E0BC6" w14:textId="717CC8F1" w:rsidR="00D039BB" w:rsidRDefault="008402C4">
          <w:pPr>
            <w:pStyle w:val="Obsah1"/>
            <w:tabs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13967867" w:history="1">
            <w:r w:rsidR="00D039BB" w:rsidRPr="00613F69">
              <w:rPr>
                <w:rStyle w:val="Hypertextovodkaz"/>
                <w:noProof/>
              </w:rPr>
              <w:t>Úvod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_Toc113967867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3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2FF66EE4" w14:textId="28442DF5" w:rsidR="00D039BB" w:rsidRDefault="00116C24">
          <w:pPr>
            <w:pStyle w:val="Obsah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68" w:history="1">
            <w:r w:rsidR="00D039BB" w:rsidRPr="00613F69">
              <w:rPr>
                <w:rStyle w:val="Hypertextovodkaz"/>
                <w:noProof/>
              </w:rPr>
              <w:t>1.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Vodovodní přípojka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_Toc113967868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3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1C08F101" w14:textId="598BE077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69" w:history="1">
            <w:r w:rsidR="00D039BB" w:rsidRPr="00613F69">
              <w:rPr>
                <w:rStyle w:val="Hypertextovodkaz"/>
                <w:noProof/>
              </w:rPr>
              <w:t>1.1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Výchozí podklady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_Toc113967869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3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1E12747A" w14:textId="363C98E5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0" w:history="1">
            <w:r w:rsidR="00D039BB" w:rsidRPr="00613F69">
              <w:rPr>
                <w:rStyle w:val="Hypertextovodkaz"/>
                <w:noProof/>
              </w:rPr>
              <w:t>1.2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Technické řešení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_Toc113967870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3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450B403D" w14:textId="31D48451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1" w:history="1">
            <w:r w:rsidR="00D039BB" w:rsidRPr="00613F69">
              <w:rPr>
                <w:rStyle w:val="Hypertextovodkaz"/>
                <w:noProof/>
              </w:rPr>
              <w:t>1.3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Vodoměrná sestava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_Toc113967871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3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5BAC4EC8" w14:textId="2908BAE3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2" w:history="1">
            <w:r w:rsidR="00D039BB" w:rsidRPr="00613F69">
              <w:rPr>
                <w:rStyle w:val="Hypertextovodkaz"/>
                <w:noProof/>
              </w:rPr>
              <w:t>1.4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Nadmořská výška nejvyššího výtoku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_Toc113967872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4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7C573AB3" w14:textId="5CA72FE1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3" w:history="1">
            <w:r w:rsidR="00D039BB" w:rsidRPr="00613F69">
              <w:rPr>
                <w:rStyle w:val="Hypertextovodkaz"/>
                <w:noProof/>
              </w:rPr>
              <w:t>1.5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Staveništní odběr vody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_Toc113967873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4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3973E262" w14:textId="2727FE49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4" w:history="1">
            <w:r w:rsidR="00D039BB" w:rsidRPr="00613F69">
              <w:rPr>
                <w:rStyle w:val="Hypertextovodkaz"/>
                <w:noProof/>
              </w:rPr>
              <w:t>1.6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Předpokládaná spotřeba vody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_Toc113967874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4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2DC09F19" w14:textId="40B8D5D4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5" w:history="1">
            <w:r w:rsidR="00D039BB" w:rsidRPr="00613F69">
              <w:rPr>
                <w:rStyle w:val="Hypertextovodkaz"/>
                <w:noProof/>
              </w:rPr>
              <w:t>1.7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Požadavek na požární vodu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_Toc113967875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4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51A43F39" w14:textId="4AAA6C91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6" w:history="1">
            <w:r w:rsidR="00D039BB" w:rsidRPr="00613F69">
              <w:rPr>
                <w:rStyle w:val="Hypertextovodkaz"/>
                <w:noProof/>
              </w:rPr>
              <w:t>1.8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Ověření navrženého DN přípojky hydrotechnickým výpočtem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_Toc113967876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5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251A4FF1" w14:textId="1FA5F8F2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7" w:history="1">
            <w:r w:rsidR="00D039BB" w:rsidRPr="00613F69">
              <w:rPr>
                <w:rStyle w:val="Hypertextovodkaz"/>
                <w:noProof/>
              </w:rPr>
              <w:t>1.9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Stanovení výpočtového průtoku v potrubí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_Toc113967877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5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7D79890B" w14:textId="2AB7D856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8" w:history="1">
            <w:r w:rsidR="00D039BB" w:rsidRPr="00613F69">
              <w:rPr>
                <w:rStyle w:val="Hypertextovodkaz"/>
                <w:noProof/>
              </w:rPr>
              <w:t>1.10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Informace o tlakových poměrech v místě napojení přípojky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_Toc113967878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5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3A8B698D" w14:textId="3114A624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79" w:history="1">
            <w:r w:rsidR="00D039BB" w:rsidRPr="00613F69">
              <w:rPr>
                <w:rStyle w:val="Hypertextovodkaz"/>
                <w:noProof/>
              </w:rPr>
              <w:t>1.11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Návrh vodoměru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_Toc113967879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6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115D181F" w14:textId="44CF2750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0" w:history="1">
            <w:r w:rsidR="00D039BB" w:rsidRPr="00613F69">
              <w:rPr>
                <w:rStyle w:val="Hypertextovodkaz"/>
                <w:noProof/>
              </w:rPr>
              <w:t>1.12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Tlakové zkoušky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_Toc113967880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6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3B732532" w14:textId="35079CD8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1" w:history="1">
            <w:r w:rsidR="00D039BB" w:rsidRPr="00613F69">
              <w:rPr>
                <w:rStyle w:val="Hypertextovodkaz"/>
                <w:noProof/>
              </w:rPr>
              <w:t>1.13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Informace o zdržení vody ve vodovodní přípojce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_Toc113967881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6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4B66B107" w14:textId="5507275D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2" w:history="1">
            <w:r w:rsidR="00D039BB" w:rsidRPr="00613F69">
              <w:rPr>
                <w:rStyle w:val="Hypertextovodkaz"/>
                <w:noProof/>
              </w:rPr>
              <w:t>1.14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Vlastní zdroj vody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_Toc113967882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7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3DA2266B" w14:textId="11CDD58C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3" w:history="1">
            <w:r w:rsidR="00D039BB" w:rsidRPr="00613F69">
              <w:rPr>
                <w:rStyle w:val="Hypertextovodkaz"/>
                <w:noProof/>
              </w:rPr>
              <w:t>1.15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Zemní práce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_Toc113967883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7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10A8BEA6" w14:textId="54DE6732" w:rsidR="00D039BB" w:rsidRDefault="00116C24">
          <w:pPr>
            <w:pStyle w:val="Obsah2"/>
            <w:tabs>
              <w:tab w:val="left" w:pos="88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4" w:history="1">
            <w:r w:rsidR="00D039BB" w:rsidRPr="00613F69">
              <w:rPr>
                <w:rStyle w:val="Hypertextovodkaz"/>
                <w:noProof/>
              </w:rPr>
              <w:t>1.16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Geodetické zaměření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_Toc113967884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7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34A6AFBC" w14:textId="2313FB95" w:rsidR="00D039BB" w:rsidRDefault="00116C24">
          <w:pPr>
            <w:pStyle w:val="Obsah1"/>
            <w:tabs>
              <w:tab w:val="left" w:pos="440"/>
              <w:tab w:val="righ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967885" w:history="1">
            <w:r w:rsidR="00D039BB" w:rsidRPr="00613F69">
              <w:rPr>
                <w:rStyle w:val="Hypertextovodkaz"/>
                <w:noProof/>
              </w:rPr>
              <w:t>2.</w:t>
            </w:r>
            <w:r w:rsidR="00D039BB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039BB" w:rsidRPr="00613F69">
              <w:rPr>
                <w:rStyle w:val="Hypertextovodkaz"/>
                <w:noProof/>
              </w:rPr>
              <w:t>Výkresová část</w:t>
            </w:r>
            <w:r w:rsidR="00D039BB">
              <w:rPr>
                <w:noProof/>
                <w:webHidden/>
              </w:rPr>
              <w:tab/>
            </w:r>
            <w:r w:rsidR="00D039BB">
              <w:rPr>
                <w:noProof/>
                <w:webHidden/>
              </w:rPr>
              <w:fldChar w:fldCharType="begin"/>
            </w:r>
            <w:r w:rsidR="00D039BB">
              <w:rPr>
                <w:noProof/>
                <w:webHidden/>
              </w:rPr>
              <w:instrText xml:space="preserve"> PAGEREF _Toc113967885 \h </w:instrText>
            </w:r>
            <w:r w:rsidR="00D039BB">
              <w:rPr>
                <w:noProof/>
                <w:webHidden/>
              </w:rPr>
            </w:r>
            <w:r w:rsidR="00D039BB">
              <w:rPr>
                <w:noProof/>
                <w:webHidden/>
              </w:rPr>
              <w:fldChar w:fldCharType="separate"/>
            </w:r>
            <w:r w:rsidR="00D663CD">
              <w:rPr>
                <w:noProof/>
                <w:webHidden/>
              </w:rPr>
              <w:t>8</w:t>
            </w:r>
            <w:r w:rsidR="00D039BB">
              <w:rPr>
                <w:noProof/>
                <w:webHidden/>
              </w:rPr>
              <w:fldChar w:fldCharType="end"/>
            </w:r>
          </w:hyperlink>
        </w:p>
        <w:p w14:paraId="2A872BE8" w14:textId="79B0996F" w:rsidR="0068368E" w:rsidRDefault="008402C4">
          <w:pPr>
            <w:tabs>
              <w:tab w:val="right" w:pos="9076"/>
            </w:tabs>
            <w:spacing w:before="200" w:after="80"/>
            <w:rPr>
              <w:b/>
              <w:color w:val="000000"/>
            </w:rPr>
          </w:pPr>
          <w:r>
            <w:fldChar w:fldCharType="end"/>
          </w:r>
        </w:p>
      </w:sdtContent>
    </w:sdt>
    <w:p w14:paraId="2A872BE9" w14:textId="77777777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 w:line="276" w:lineRule="auto"/>
      </w:pPr>
      <w:r>
        <w:br w:type="page"/>
      </w:r>
    </w:p>
    <w:p w14:paraId="2A872BEA" w14:textId="77777777" w:rsidR="0068368E" w:rsidRDefault="008402C4">
      <w:pPr>
        <w:pStyle w:val="Nadpis1"/>
        <w:rPr>
          <w:rFonts w:ascii="Roboto" w:eastAsia="Roboto" w:hAnsi="Roboto" w:cs="Roboto"/>
        </w:rPr>
      </w:pPr>
      <w:bookmarkStart w:id="0" w:name="_Toc113967867"/>
      <w:r>
        <w:rPr>
          <w:rFonts w:ascii="Roboto" w:eastAsia="Roboto" w:hAnsi="Roboto" w:cs="Roboto"/>
        </w:rPr>
        <w:lastRenderedPageBreak/>
        <w:t>Úvod</w:t>
      </w:r>
      <w:bookmarkEnd w:id="0"/>
    </w:p>
    <w:p w14:paraId="2A872BEB" w14:textId="654DA22C" w:rsidR="0068368E" w:rsidRDefault="008402C4">
      <w:r>
        <w:t>Tato část projektu řeší zásobování</w:t>
      </w:r>
      <w:r w:rsidR="00724489">
        <w:t xml:space="preserve"> </w:t>
      </w:r>
      <w:r w:rsidR="007F7317">
        <w:t>novostavby</w:t>
      </w:r>
      <w:r w:rsidR="00442A06">
        <w:t xml:space="preserve"> budovy G v areálu FNOL</w:t>
      </w:r>
      <w:r w:rsidR="00724489">
        <w:t xml:space="preserve"> </w:t>
      </w:r>
      <w:r>
        <w:t>pitnou</w:t>
      </w:r>
      <w:r w:rsidR="00724489">
        <w:t xml:space="preserve"> a požární</w:t>
      </w:r>
      <w:r>
        <w:t xml:space="preserve"> vodou z</w:t>
      </w:r>
      <w:r w:rsidR="00724489">
        <w:t>e</w:t>
      </w:r>
      <w:r>
        <w:t> </w:t>
      </w:r>
      <w:r w:rsidR="00724489">
        <w:t>stávajícího areálového vodovodu</w:t>
      </w:r>
      <w:r>
        <w:t>. Bude zřízena nová vodovodní přípojka, ukončená vodoměrem v</w:t>
      </w:r>
      <w:r w:rsidR="003A38E8">
        <w:t> </w:t>
      </w:r>
      <w:r w:rsidR="00516F8C">
        <w:t>o</w:t>
      </w:r>
      <w:r w:rsidR="003A38E8">
        <w:t>bjektu v místnosti č.</w:t>
      </w:r>
      <w:r w:rsidR="00336B2A">
        <w:t>QZN01450</w:t>
      </w:r>
      <w:r w:rsidR="00406535">
        <w:t xml:space="preserve"> Úklid.</w:t>
      </w:r>
    </w:p>
    <w:p w14:paraId="2A872BEC" w14:textId="77777777" w:rsidR="0068368E" w:rsidRDefault="008402C4">
      <w:r>
        <w:t>Projektová dokumentace je zpracována dle platných zákonů, vyhlášek, norem ČSN a ČSN EN platných v době zpracování.</w:t>
      </w:r>
    </w:p>
    <w:p w14:paraId="47F70C22" w14:textId="77777777" w:rsidR="00406535" w:rsidRDefault="00406535"/>
    <w:p w14:paraId="2A872BED" w14:textId="77777777" w:rsidR="0068368E" w:rsidRDefault="008402C4">
      <w:pPr>
        <w:pStyle w:val="Nadpis1"/>
        <w:numPr>
          <w:ilvl w:val="0"/>
          <w:numId w:val="1"/>
        </w:numPr>
        <w:rPr>
          <w:rFonts w:ascii="Roboto" w:eastAsia="Roboto" w:hAnsi="Roboto" w:cs="Roboto"/>
        </w:rPr>
      </w:pPr>
      <w:bookmarkStart w:id="1" w:name="_Toc113967868"/>
      <w:r>
        <w:rPr>
          <w:rFonts w:ascii="Roboto" w:eastAsia="Roboto" w:hAnsi="Roboto" w:cs="Roboto"/>
        </w:rPr>
        <w:t>Vodovodní přípojka</w:t>
      </w:r>
      <w:bookmarkEnd w:id="1"/>
    </w:p>
    <w:p w14:paraId="2A872BEE" w14:textId="77777777" w:rsidR="0068368E" w:rsidRDefault="008402C4">
      <w:pPr>
        <w:pStyle w:val="Nadpis2"/>
        <w:numPr>
          <w:ilvl w:val="1"/>
          <w:numId w:val="1"/>
        </w:numPr>
      </w:pPr>
      <w:bookmarkStart w:id="2" w:name="_Toc113967869"/>
      <w:r>
        <w:t>Výchozí podklady</w:t>
      </w:r>
      <w:bookmarkEnd w:id="2"/>
    </w:p>
    <w:p w14:paraId="2A872BEF" w14:textId="77777777" w:rsidR="0068368E" w:rsidRDefault="008402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Požadavky správců sítí</w:t>
      </w:r>
    </w:p>
    <w:p w14:paraId="2A872BF0" w14:textId="77777777" w:rsidR="0068368E" w:rsidRDefault="008402C4">
      <w:pPr>
        <w:pStyle w:val="Nadpis2"/>
        <w:numPr>
          <w:ilvl w:val="1"/>
          <w:numId w:val="1"/>
        </w:numPr>
      </w:pPr>
      <w:bookmarkStart w:id="3" w:name="_Toc113967870"/>
      <w:r>
        <w:t>Technické řešení</w:t>
      </w:r>
      <w:bookmarkEnd w:id="3"/>
    </w:p>
    <w:p w14:paraId="2A872BF1" w14:textId="3B2EA892" w:rsidR="0068368E" w:rsidRPr="00F329F5" w:rsidRDefault="00406535">
      <w:r>
        <w:t xml:space="preserve">Objekt </w:t>
      </w:r>
      <w:r w:rsidR="008402C4">
        <w:t xml:space="preserve">bude napojen novou vodovodní </w:t>
      </w:r>
      <w:r w:rsidR="008402C4" w:rsidRPr="00F329F5">
        <w:t xml:space="preserve">přípojkou PE 100 </w:t>
      </w:r>
      <w:r w:rsidR="003112B0" w:rsidRPr="00F329F5">
        <w:t>63x5,8 SDR 11 PN16 RC</w:t>
      </w:r>
      <w:r w:rsidR="008402C4" w:rsidRPr="00F329F5">
        <w:t xml:space="preserve"> (délky </w:t>
      </w:r>
      <w:r w:rsidR="00266072">
        <w:t>48,6</w:t>
      </w:r>
      <w:r w:rsidR="008402C4" w:rsidRPr="00F329F5">
        <w:t xml:space="preserve"> m) na místní </w:t>
      </w:r>
      <w:r w:rsidR="00EE0D6D" w:rsidRPr="00F329F5">
        <w:t>areálový vodovod</w:t>
      </w:r>
      <w:r w:rsidR="007669E4" w:rsidRPr="00F329F5">
        <w:t xml:space="preserve"> odhadované dimenze DN 90 PE</w:t>
      </w:r>
      <w:r w:rsidR="008402C4" w:rsidRPr="00F329F5">
        <w:t>)</w:t>
      </w:r>
      <w:r w:rsidR="007669E4" w:rsidRPr="00F329F5">
        <w:t xml:space="preserve"> </w:t>
      </w:r>
      <w:r w:rsidR="008402C4" w:rsidRPr="00F329F5">
        <w:t>uložený na parcele</w:t>
      </w:r>
      <w:r w:rsidR="00FE5AB3" w:rsidRPr="00F329F5">
        <w:t xml:space="preserve"> stavebníka</w:t>
      </w:r>
      <w:r w:rsidR="008402C4" w:rsidRPr="00F329F5">
        <w:t xml:space="preserve"> č. </w:t>
      </w:r>
      <w:r w:rsidR="00A14F41" w:rsidRPr="00F329F5">
        <w:t xml:space="preserve">132/94 </w:t>
      </w:r>
      <w:r w:rsidR="008402C4" w:rsidRPr="00F329F5">
        <w:t xml:space="preserve">k.ú. </w:t>
      </w:r>
      <w:r w:rsidR="0027105F" w:rsidRPr="00F329F5">
        <w:t>Nová Ulice [710717]</w:t>
      </w:r>
      <w:r w:rsidR="00FE5AB3" w:rsidRPr="00F329F5">
        <w:t xml:space="preserve"> </w:t>
      </w:r>
    </w:p>
    <w:p w14:paraId="2A872BF2" w14:textId="311BCACC" w:rsidR="0068368E" w:rsidRPr="00F329F5" w:rsidRDefault="008402C4">
      <w:r w:rsidRPr="00F329F5">
        <w:t xml:space="preserve">Napojení vodovodní přípojky </w:t>
      </w:r>
      <w:r w:rsidR="005772D5" w:rsidRPr="00F329F5">
        <w:t>na areálový vodovod</w:t>
      </w:r>
      <w:r w:rsidRPr="00F329F5">
        <w:t xml:space="preserve"> bude provedeno boční navrtávkou (navrtávací pás, uzavírací </w:t>
      </w:r>
      <w:r w:rsidR="00E91B77" w:rsidRPr="00F329F5">
        <w:t>šoupátko – viz</w:t>
      </w:r>
      <w:r w:rsidRPr="00F329F5">
        <w:t xml:space="preserve"> výkres</w:t>
      </w:r>
      <w:r w:rsidR="00C01E49" w:rsidRPr="00F329F5">
        <w:t xml:space="preserve"> č.03</w:t>
      </w:r>
      <w:r w:rsidRPr="00F329F5">
        <w:t xml:space="preserve"> Kladečské schéma vodovodní přípojky). </w:t>
      </w:r>
    </w:p>
    <w:p w14:paraId="70F55268" w14:textId="123FBD05" w:rsidR="00F3682D" w:rsidRPr="00F329F5" w:rsidRDefault="008402C4">
      <w:r w:rsidRPr="00F329F5">
        <w:t>Za vodoměrem již pokračuje nový v</w:t>
      </w:r>
      <w:r w:rsidR="00F3682D" w:rsidRPr="00F329F5">
        <w:t xml:space="preserve">odovod, který se dále větví </w:t>
      </w:r>
      <w:r w:rsidR="005929FB" w:rsidRPr="00F329F5">
        <w:t>na rozvod požární a pitné vody.</w:t>
      </w:r>
    </w:p>
    <w:p w14:paraId="2A872BF5" w14:textId="0FBD4E01" w:rsidR="0068368E" w:rsidRPr="00F329F5" w:rsidRDefault="008402C4">
      <w:r w:rsidRPr="00F329F5">
        <w:t>Vlastní přípojka bude se spádem 1,</w:t>
      </w:r>
      <w:r w:rsidR="000448E3" w:rsidRPr="00F329F5">
        <w:t>7</w:t>
      </w:r>
      <w:r w:rsidR="008215B0" w:rsidRPr="00F329F5">
        <w:t xml:space="preserve"> </w:t>
      </w:r>
      <w:r w:rsidRPr="00F329F5">
        <w:t>% (min 0,3 %) k vodovodnímu řadu. Minimální krytí vodovodního potrubí je v zatravněné ploše 1,20 m (v komunikaci 1,50 m). Před záhozem potrubí provede montážní firma tlakovou zkoušku dle ČSN EN 805. Pro ukládání potrubí dodržet ČSN 73 6005 prostorová úprava vedení technického vybavení.</w:t>
      </w:r>
    </w:p>
    <w:p w14:paraId="2A872BF6" w14:textId="323A306A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u w:val="single"/>
        </w:rPr>
      </w:pPr>
      <w:r w:rsidRPr="00F329F5">
        <w:rPr>
          <w:color w:val="000000"/>
          <w:u w:val="single"/>
        </w:rPr>
        <w:t xml:space="preserve">Celková délka vodovodní přípojky PE 100 </w:t>
      </w:r>
      <w:r w:rsidR="008215B0" w:rsidRPr="00F329F5">
        <w:rPr>
          <w:color w:val="000000"/>
          <w:u w:val="single"/>
        </w:rPr>
        <w:t>63x5,8 SDR 11</w:t>
      </w:r>
      <w:r w:rsidR="008215B0">
        <w:rPr>
          <w:color w:val="000000"/>
          <w:u w:val="single"/>
        </w:rPr>
        <w:t xml:space="preserve"> PN16 RC</w:t>
      </w:r>
      <w:r>
        <w:rPr>
          <w:color w:val="000000"/>
          <w:u w:val="single"/>
        </w:rPr>
        <w:t xml:space="preserve"> je:</w:t>
      </w:r>
      <w:r w:rsidR="00A87F91">
        <w:rPr>
          <w:color w:val="000000"/>
          <w:u w:val="single"/>
        </w:rPr>
        <w:t xml:space="preserve"> </w:t>
      </w:r>
      <w:r w:rsidR="0056165D">
        <w:rPr>
          <w:color w:val="000000"/>
          <w:u w:val="single"/>
        </w:rPr>
        <w:t>48,6</w:t>
      </w:r>
      <w:r>
        <w:rPr>
          <w:color w:val="000000"/>
          <w:u w:val="single"/>
        </w:rPr>
        <w:t xml:space="preserve"> m</w:t>
      </w:r>
    </w:p>
    <w:p w14:paraId="2A872BF7" w14:textId="3C5CDBB0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1134" w:hanging="1134"/>
        <w:rPr>
          <w:i/>
          <w:color w:val="808080"/>
        </w:rPr>
      </w:pPr>
      <w:r>
        <w:rPr>
          <w:i/>
          <w:color w:val="808080"/>
        </w:rPr>
        <w:t>z toho:</w:t>
      </w:r>
      <w:r>
        <w:rPr>
          <w:i/>
          <w:color w:val="808080"/>
        </w:rPr>
        <w:tab/>
      </w:r>
      <w:r w:rsidR="002F074D" w:rsidRPr="002F074D">
        <w:rPr>
          <w:i/>
          <w:color w:val="808080"/>
          <w:u w:val="single"/>
        </w:rPr>
        <w:t>10,45</w:t>
      </w:r>
      <w:r>
        <w:rPr>
          <w:i/>
          <w:color w:val="808080"/>
          <w:u w:val="single"/>
        </w:rPr>
        <w:t xml:space="preserve"> m na parcele č.</w:t>
      </w:r>
      <w:r w:rsidR="00FD6F07">
        <w:rPr>
          <w:i/>
          <w:color w:val="808080"/>
          <w:u w:val="single"/>
        </w:rPr>
        <w:t xml:space="preserve"> 132/94</w:t>
      </w:r>
      <w:r>
        <w:rPr>
          <w:i/>
          <w:color w:val="808080"/>
        </w:rPr>
        <w:t xml:space="preserve"> – </w:t>
      </w:r>
      <w:r w:rsidR="00F329F5" w:rsidRPr="00725AF3">
        <w:rPr>
          <w:i/>
          <w:color w:val="808080"/>
        </w:rPr>
        <w:t>Vlastnické</w:t>
      </w:r>
      <w:r w:rsidR="00725AF3" w:rsidRPr="00725AF3">
        <w:rPr>
          <w:i/>
          <w:color w:val="808080"/>
        </w:rPr>
        <w:t xml:space="preserve"> právo: Česká republik</w:t>
      </w:r>
      <w:r w:rsidR="00FE143F">
        <w:rPr>
          <w:i/>
          <w:color w:val="808080"/>
        </w:rPr>
        <w:t>a</w:t>
      </w:r>
      <w:r w:rsidR="00725AF3" w:rsidRPr="00725AF3">
        <w:rPr>
          <w:i/>
          <w:color w:val="808080"/>
        </w:rPr>
        <w:t>; Příslušnost hospodařit s majetkem státu: Fakultní nemocnice Olomouc, I. P. Pavlova 185/6, Nová Ulice, 77900 Olomouc</w:t>
      </w:r>
    </w:p>
    <w:p w14:paraId="2A872BF8" w14:textId="22746C19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1134" w:hanging="1134"/>
        <w:rPr>
          <w:i/>
          <w:color w:val="808080"/>
        </w:rPr>
      </w:pPr>
      <w:r>
        <w:rPr>
          <w:i/>
          <w:color w:val="808080"/>
        </w:rPr>
        <w:tab/>
      </w:r>
      <w:r w:rsidR="00CE0512">
        <w:rPr>
          <w:i/>
          <w:color w:val="808080"/>
          <w:u w:val="single"/>
        </w:rPr>
        <w:t>21,66</w:t>
      </w:r>
      <w:r>
        <w:rPr>
          <w:i/>
          <w:color w:val="808080"/>
          <w:u w:val="single"/>
        </w:rPr>
        <w:t xml:space="preserve"> m na parcele č.</w:t>
      </w:r>
      <w:r w:rsidR="00FD6F07">
        <w:rPr>
          <w:i/>
          <w:color w:val="808080"/>
          <w:u w:val="single"/>
        </w:rPr>
        <w:t>132/99</w:t>
      </w:r>
      <w:r>
        <w:rPr>
          <w:i/>
          <w:color w:val="808080"/>
        </w:rPr>
        <w:t xml:space="preserve"> </w:t>
      </w:r>
      <w:r w:rsidR="00F329F5">
        <w:rPr>
          <w:i/>
          <w:color w:val="808080"/>
        </w:rPr>
        <w:t xml:space="preserve">– </w:t>
      </w:r>
      <w:r w:rsidR="00F329F5" w:rsidRPr="00725AF3">
        <w:rPr>
          <w:i/>
          <w:color w:val="808080"/>
        </w:rPr>
        <w:t>Vlastnické právo: Česká republik</w:t>
      </w:r>
      <w:r w:rsidR="00FE143F">
        <w:rPr>
          <w:i/>
          <w:color w:val="808080"/>
        </w:rPr>
        <w:t>a</w:t>
      </w:r>
      <w:r w:rsidR="00F329F5" w:rsidRPr="00725AF3">
        <w:rPr>
          <w:i/>
          <w:color w:val="808080"/>
        </w:rPr>
        <w:t>; Příslušnost hospodařit s majetkem státu: Fakultní nemocnice Olomouc, I. P. Pavlova 185/6, Nová Ulice, 77900 Olomouc</w:t>
      </w:r>
    </w:p>
    <w:p w14:paraId="71F86FE9" w14:textId="76B94F48" w:rsidR="00C34470" w:rsidRDefault="00C344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left="1134" w:hanging="1134"/>
        <w:rPr>
          <w:i/>
          <w:color w:val="808080"/>
          <w:sz w:val="24"/>
          <w:szCs w:val="24"/>
        </w:rPr>
      </w:pPr>
      <w:r w:rsidRPr="00C34470">
        <w:rPr>
          <w:i/>
          <w:color w:val="808080"/>
        </w:rPr>
        <w:tab/>
      </w:r>
      <w:r w:rsidR="005B470C">
        <w:rPr>
          <w:i/>
          <w:color w:val="808080"/>
          <w:u w:val="single"/>
        </w:rPr>
        <w:t>16,49</w:t>
      </w:r>
      <w:r>
        <w:rPr>
          <w:i/>
          <w:color w:val="808080"/>
          <w:u w:val="single"/>
        </w:rPr>
        <w:t xml:space="preserve"> m na parcele č.132/9</w:t>
      </w:r>
      <w:r w:rsidR="003B06DF">
        <w:rPr>
          <w:i/>
          <w:color w:val="808080"/>
          <w:u w:val="single"/>
        </w:rPr>
        <w:t>8</w:t>
      </w:r>
      <w:r>
        <w:rPr>
          <w:i/>
          <w:color w:val="808080"/>
        </w:rPr>
        <w:t xml:space="preserve"> </w:t>
      </w:r>
      <w:r w:rsidR="00F329F5">
        <w:rPr>
          <w:i/>
          <w:color w:val="808080"/>
        </w:rPr>
        <w:t xml:space="preserve">– </w:t>
      </w:r>
      <w:r w:rsidR="00F329F5" w:rsidRPr="00725AF3">
        <w:rPr>
          <w:i/>
          <w:color w:val="808080"/>
        </w:rPr>
        <w:t>Vlastnické právo: Česká republik</w:t>
      </w:r>
      <w:r w:rsidR="00FE143F">
        <w:rPr>
          <w:i/>
          <w:color w:val="808080"/>
        </w:rPr>
        <w:t>a</w:t>
      </w:r>
      <w:r w:rsidR="00F329F5" w:rsidRPr="00725AF3">
        <w:rPr>
          <w:i/>
          <w:color w:val="808080"/>
        </w:rPr>
        <w:t>; Příslušnost hospodařit s majetkem státu: Fakultní nemocnice Olomouc, I. P. Pavlova 185/6, Nová Ulice, 77900 Olomouc</w:t>
      </w:r>
    </w:p>
    <w:p w14:paraId="2A872BFA" w14:textId="436976FA" w:rsidR="0068368E" w:rsidRDefault="008402C4">
      <w:pPr>
        <w:pStyle w:val="Nadpis2"/>
        <w:numPr>
          <w:ilvl w:val="1"/>
          <w:numId w:val="1"/>
        </w:numPr>
      </w:pPr>
      <w:bookmarkStart w:id="4" w:name="_Toc113967871"/>
      <w:r>
        <w:t>Vodoměrná sestava</w:t>
      </w:r>
      <w:bookmarkEnd w:id="4"/>
    </w:p>
    <w:p w14:paraId="2A872BFB" w14:textId="7FD29F0D" w:rsidR="0068368E" w:rsidRDefault="00060DB0">
      <w:r>
        <w:t xml:space="preserve">Vodoměrná sestava </w:t>
      </w:r>
      <w:r w:rsidR="00106523">
        <w:t>je umístěna v</w:t>
      </w:r>
      <w:r w:rsidR="0014456E">
        <w:t> </w:t>
      </w:r>
      <w:r w:rsidR="00106523">
        <w:t>místnosti</w:t>
      </w:r>
      <w:r w:rsidR="0014456E">
        <w:t xml:space="preserve"> QZN01450, sklad</w:t>
      </w:r>
    </w:p>
    <w:p w14:paraId="2A872BFC" w14:textId="77777777" w:rsidR="0068368E" w:rsidRPr="005A4F5E" w:rsidRDefault="008402C4">
      <w:pPr>
        <w:rPr>
          <w:b/>
          <w:bCs/>
          <w:u w:val="single"/>
        </w:rPr>
      </w:pPr>
      <w:r w:rsidRPr="005A4F5E">
        <w:rPr>
          <w:b/>
          <w:bCs/>
          <w:u w:val="single"/>
        </w:rPr>
        <w:t>Vodoměrná sestava se skládá z:</w:t>
      </w:r>
    </w:p>
    <w:p w14:paraId="643F45AC" w14:textId="3243122E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Vodoměr</w:t>
      </w:r>
      <w:r w:rsidR="005A4F5E">
        <w:rPr>
          <w:color w:val="000000"/>
        </w:rPr>
        <w:t>u</w:t>
      </w:r>
      <w:r w:rsidRPr="0011050F">
        <w:rPr>
          <w:color w:val="000000"/>
        </w:rPr>
        <w:t>, Q</w:t>
      </w:r>
      <w:r w:rsidRPr="00E91B77">
        <w:rPr>
          <w:color w:val="000000"/>
          <w:vertAlign w:val="subscript"/>
        </w:rPr>
        <w:t>n</w:t>
      </w:r>
      <w:r w:rsidRPr="0011050F">
        <w:rPr>
          <w:color w:val="000000"/>
        </w:rPr>
        <w:t xml:space="preserve"> = 10 m</w:t>
      </w:r>
      <w:r w:rsidRPr="00E91B77">
        <w:rPr>
          <w:color w:val="000000"/>
          <w:vertAlign w:val="superscript"/>
        </w:rPr>
        <w:t>3</w:t>
      </w:r>
      <w:r w:rsidRPr="0011050F">
        <w:rPr>
          <w:color w:val="000000"/>
        </w:rPr>
        <w:t>/hod</w:t>
      </w:r>
      <w:r w:rsidR="005A4F5E">
        <w:rPr>
          <w:color w:val="000000"/>
        </w:rPr>
        <w:t>,</w:t>
      </w:r>
      <w:r w:rsidRPr="0011050F">
        <w:rPr>
          <w:color w:val="000000"/>
        </w:rPr>
        <w:t xml:space="preserve"> vynechaná montážní délka 300</w:t>
      </w:r>
      <w:r w:rsidR="00E91B77">
        <w:rPr>
          <w:color w:val="000000"/>
        </w:rPr>
        <w:t xml:space="preserve"> </w:t>
      </w:r>
      <w:r w:rsidRPr="0011050F">
        <w:rPr>
          <w:color w:val="000000"/>
        </w:rPr>
        <w:t>mm; DN40</w:t>
      </w:r>
      <w:r w:rsidR="00651A69">
        <w:rPr>
          <w:color w:val="000000"/>
        </w:rPr>
        <w:t xml:space="preserve"> (např.</w:t>
      </w:r>
      <w:r w:rsidR="00176880">
        <w:rPr>
          <w:color w:val="000000"/>
        </w:rPr>
        <w:t xml:space="preserve"> v</w:t>
      </w:r>
      <w:r w:rsidR="00176880" w:rsidRPr="00176880">
        <w:rPr>
          <w:color w:val="000000"/>
        </w:rPr>
        <w:t>odoměr domovní GMDX (GMDM-I) SV DN40 6/4"</w:t>
      </w:r>
      <w:r w:rsidR="00176880">
        <w:rPr>
          <w:color w:val="000000"/>
        </w:rPr>
        <w:t>)</w:t>
      </w:r>
      <w:r w:rsidR="00C3419B">
        <w:rPr>
          <w:color w:val="000000"/>
        </w:rPr>
        <w:t xml:space="preserve">; </w:t>
      </w:r>
      <w:r w:rsidR="00C3419B" w:rsidRPr="00C3419B">
        <w:rPr>
          <w:color w:val="000000"/>
        </w:rPr>
        <w:t>Dálkový odečet: integrovaná příprava pro indukční moduly bezdrátové i kabelové (MBUS, WMBUS)</w:t>
      </w:r>
    </w:p>
    <w:p w14:paraId="6A60C6FA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</w:p>
    <w:p w14:paraId="1DBE4974" w14:textId="77777777" w:rsidR="0011050F" w:rsidRPr="00176880" w:rsidRDefault="0011050F" w:rsidP="005A4F5E">
      <w:pPr>
        <w:spacing w:before="0"/>
        <w:rPr>
          <w:b/>
          <w:bCs/>
          <w:color w:val="000000"/>
        </w:rPr>
      </w:pPr>
      <w:r w:rsidRPr="00176880">
        <w:rPr>
          <w:b/>
          <w:bCs/>
          <w:color w:val="000000"/>
        </w:rPr>
        <w:t>Součásti dodávky VS:</w:t>
      </w:r>
    </w:p>
    <w:p w14:paraId="28149872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kulový kohout přímý s filtrem bez odvodnění před vodoměrem DN50</w:t>
      </w:r>
    </w:p>
    <w:p w14:paraId="392914D2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filtr závitový mosazný DN50</w:t>
      </w:r>
    </w:p>
    <w:p w14:paraId="78109A19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vodoměr</w:t>
      </w:r>
    </w:p>
    <w:p w14:paraId="2FF49ACF" w14:textId="1F55316E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kulový kohout přímý DN50 s odvodněním za vodoměrem (HUV)</w:t>
      </w:r>
    </w:p>
    <w:p w14:paraId="55E3B610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závitová zpětná klapka DN50</w:t>
      </w:r>
    </w:p>
    <w:p w14:paraId="1BCC6CDD" w14:textId="77777777" w:rsidR="0011050F" w:rsidRPr="0011050F" w:rsidRDefault="0011050F" w:rsidP="0011050F">
      <w:pPr>
        <w:spacing w:before="0"/>
        <w:ind w:firstLine="720"/>
        <w:rPr>
          <w:color w:val="000000"/>
        </w:rPr>
      </w:pPr>
      <w:r w:rsidRPr="0011050F">
        <w:rPr>
          <w:color w:val="000000"/>
        </w:rPr>
        <w:t>- T-kus mosazný DN50 (odbočka na požární vodovod)</w:t>
      </w:r>
    </w:p>
    <w:p w14:paraId="2A872C00" w14:textId="0C792717" w:rsidR="0068368E" w:rsidRDefault="0011050F" w:rsidP="0011050F">
      <w:pPr>
        <w:spacing w:before="0"/>
        <w:ind w:firstLine="720"/>
      </w:pPr>
      <w:r w:rsidRPr="0011050F">
        <w:rPr>
          <w:color w:val="000000"/>
        </w:rPr>
        <w:t>- kulový kohout přímý DN50 s odvodněním</w:t>
      </w:r>
    </w:p>
    <w:p w14:paraId="2A872C15" w14:textId="77777777" w:rsidR="0068368E" w:rsidRDefault="008402C4">
      <w:pPr>
        <w:pStyle w:val="Nadpis2"/>
        <w:numPr>
          <w:ilvl w:val="1"/>
          <w:numId w:val="1"/>
        </w:numPr>
      </w:pPr>
      <w:bookmarkStart w:id="5" w:name="_Toc113967872"/>
      <w:r>
        <w:lastRenderedPageBreak/>
        <w:t>Nadmořská výška nejvyššího výtoku</w:t>
      </w:r>
      <w:bookmarkEnd w:id="5"/>
    </w:p>
    <w:p w14:paraId="2A872C16" w14:textId="618F021D" w:rsidR="0068368E" w:rsidRDefault="008402C4">
      <w:r w:rsidRPr="007D18F1">
        <w:t xml:space="preserve">Nadmořská výška </w:t>
      </w:r>
      <w:r w:rsidR="007D18F1" w:rsidRPr="007D18F1">
        <w:t xml:space="preserve">247,8 </w:t>
      </w:r>
      <w:r w:rsidRPr="007D18F1">
        <w:t>m n.m. (</w:t>
      </w:r>
      <w:r w:rsidR="00E91B77" w:rsidRPr="007D18F1">
        <w:t>WC</w:t>
      </w:r>
      <w:r w:rsidR="007D18F1" w:rsidRPr="007D18F1">
        <w:t xml:space="preserve"> rohový ventil v</w:t>
      </w:r>
      <w:r w:rsidRPr="007D18F1">
        <w:t xml:space="preserve"> </w:t>
      </w:r>
      <w:r w:rsidR="00C85219" w:rsidRPr="007D18F1">
        <w:t>3</w:t>
      </w:r>
      <w:r w:rsidRPr="007D18F1">
        <w:t>.NP)</w:t>
      </w:r>
    </w:p>
    <w:p w14:paraId="2A872C17" w14:textId="77777777" w:rsidR="0068368E" w:rsidRDefault="008402C4">
      <w:pPr>
        <w:pStyle w:val="Nadpis2"/>
        <w:numPr>
          <w:ilvl w:val="1"/>
          <w:numId w:val="1"/>
        </w:numPr>
      </w:pPr>
      <w:bookmarkStart w:id="6" w:name="_Toc113967873"/>
      <w:r>
        <w:t>Staveništní odběr vody</w:t>
      </w:r>
      <w:bookmarkEnd w:id="6"/>
    </w:p>
    <w:p w14:paraId="2A872C18" w14:textId="7CF0C070" w:rsidR="0068368E" w:rsidRDefault="008402C4">
      <w:r>
        <w:t xml:space="preserve">Investor bude požadovat staveništní odběr vody. </w:t>
      </w:r>
      <w:r w:rsidR="003462F5">
        <w:t>Bude řešeno z areálového vodovodu, stavební firma si osadí vlastní měření.</w:t>
      </w:r>
    </w:p>
    <w:p w14:paraId="2A872C19" w14:textId="77777777" w:rsidR="0068368E" w:rsidRDefault="008402C4">
      <w:pPr>
        <w:pStyle w:val="Nadpis2"/>
        <w:numPr>
          <w:ilvl w:val="1"/>
          <w:numId w:val="1"/>
        </w:numPr>
      </w:pPr>
      <w:bookmarkStart w:id="7" w:name="_Toc113967874"/>
      <w:r>
        <w:t>Předpokládaná spotřeba vody</w:t>
      </w:r>
      <w:bookmarkEnd w:id="7"/>
    </w:p>
    <w:p w14:paraId="210B1635" w14:textId="7408A8D4" w:rsidR="00070140" w:rsidRDefault="00070140" w:rsidP="00070140">
      <w:r>
        <w:t xml:space="preserve">- </w:t>
      </w:r>
      <w:r w:rsidR="00D55048">
        <w:t>52</w:t>
      </w:r>
      <w:r>
        <w:t xml:space="preserve"> trvale pracujících osob – potřeba vody 18 m</w:t>
      </w:r>
      <w:r w:rsidRPr="00E91B77">
        <w:rPr>
          <w:vertAlign w:val="superscript"/>
        </w:rPr>
        <w:t>3</w:t>
      </w:r>
      <w:r>
        <w:t xml:space="preserve">/rok/os </w:t>
      </w:r>
    </w:p>
    <w:p w14:paraId="1116ABBD" w14:textId="48980AF6" w:rsidR="00070140" w:rsidRPr="00070140" w:rsidRDefault="00070140" w:rsidP="00070140">
      <w:r>
        <w:t xml:space="preserve">- </w:t>
      </w:r>
      <w:r w:rsidR="00D55048">
        <w:t>64</w:t>
      </w:r>
      <w:r>
        <w:t xml:space="preserve"> </w:t>
      </w:r>
      <w:r w:rsidR="00E91B77">
        <w:t>pacientů – potřeba</w:t>
      </w:r>
      <w:r>
        <w:t xml:space="preserve"> vody 2 m</w:t>
      </w:r>
      <w:r w:rsidRPr="00E91B77">
        <w:rPr>
          <w:vertAlign w:val="superscript"/>
        </w:rPr>
        <w:t>3</w:t>
      </w:r>
      <w:r>
        <w:t xml:space="preserve">/rok/os </w:t>
      </w:r>
    </w:p>
    <w:p w14:paraId="2A872C1A" w14:textId="77777777" w:rsidR="0068368E" w:rsidRPr="00F97E2A" w:rsidRDefault="008402C4">
      <w:pPr>
        <w:rPr>
          <w:i/>
          <w:u w:val="single"/>
        </w:rPr>
      </w:pPr>
      <w:r w:rsidRPr="00F97E2A">
        <w:rPr>
          <w:i/>
          <w:u w:val="single"/>
        </w:rPr>
        <w:t>Potřeba pitné vody dle vyhlášky č.120/2011 pro zákon 274/2001</w:t>
      </w:r>
    </w:p>
    <w:p w14:paraId="2A872C1B" w14:textId="6C19AD29" w:rsidR="0068368E" w:rsidRPr="00F97E2A" w:rsidRDefault="008402C4">
      <w:pPr>
        <w:rPr>
          <w:sz w:val="24"/>
          <w:szCs w:val="24"/>
        </w:rPr>
      </w:pPr>
      <w:r w:rsidRPr="00F97E2A">
        <w:t>(</w:t>
      </w:r>
      <w:r w:rsidR="00352EBA">
        <w:t>52</w:t>
      </w:r>
      <w:r w:rsidRPr="00F97E2A">
        <w:t xml:space="preserve"> </w:t>
      </w:r>
      <w:r w:rsidR="00A17044">
        <w:t>pracující</w:t>
      </w:r>
      <w:r w:rsidRPr="00F97E2A">
        <w:t xml:space="preserve"> x </w:t>
      </w:r>
      <w:r w:rsidR="00050D1F" w:rsidRPr="00F97E2A">
        <w:t>18</w:t>
      </w:r>
      <w:r w:rsidRPr="00F97E2A">
        <w:t>) + (</w:t>
      </w:r>
      <w:r w:rsidR="00352EBA">
        <w:t>64</w:t>
      </w:r>
      <w:r w:rsidRPr="00F97E2A">
        <w:t xml:space="preserve"> </w:t>
      </w:r>
      <w:r w:rsidR="00806439" w:rsidRPr="00F97E2A">
        <w:t xml:space="preserve">pacientů </w:t>
      </w:r>
      <w:r w:rsidRPr="00F97E2A">
        <w:t xml:space="preserve">x </w:t>
      </w:r>
      <w:r w:rsidR="00806439" w:rsidRPr="00F97E2A">
        <w:t>2</w:t>
      </w:r>
      <w:r w:rsidRPr="00F97E2A">
        <w:t xml:space="preserve">) = </w:t>
      </w:r>
      <w:r w:rsidR="00FA5747">
        <w:t>1064</w:t>
      </w:r>
      <w:r w:rsidR="00A835EA">
        <w:t xml:space="preserve"> </w:t>
      </w:r>
      <w:r w:rsidRPr="00F97E2A">
        <w:t>m</w:t>
      </w:r>
      <w:r w:rsidRPr="00F97E2A">
        <w:rPr>
          <w:vertAlign w:val="superscript"/>
        </w:rPr>
        <w:t>3</w:t>
      </w:r>
      <w:r w:rsidRPr="00F97E2A">
        <w:t xml:space="preserve">/rok tj. </w:t>
      </w:r>
      <w:r w:rsidR="00A835EA">
        <w:t>2,92</w:t>
      </w:r>
      <w:r w:rsidRPr="00F97E2A">
        <w:t xml:space="preserve"> m</w:t>
      </w:r>
      <w:r w:rsidRPr="00F97E2A">
        <w:rPr>
          <w:vertAlign w:val="superscript"/>
        </w:rPr>
        <w:t>3</w:t>
      </w:r>
      <w:r w:rsidRPr="00F97E2A">
        <w:t>/den</w:t>
      </w:r>
    </w:p>
    <w:p w14:paraId="2A872C1C" w14:textId="2CF824DE" w:rsidR="0068368E" w:rsidRPr="00F97E2A" w:rsidRDefault="008402C4">
      <w:pPr>
        <w:rPr>
          <w:i/>
          <w:sz w:val="24"/>
          <w:szCs w:val="24"/>
          <w:u w:val="single"/>
        </w:rPr>
      </w:pPr>
      <w:r w:rsidRPr="00F97E2A">
        <w:rPr>
          <w:i/>
          <w:u w:val="single"/>
        </w:rPr>
        <w:t>Průměrná denní potřeba vody:</w:t>
      </w:r>
      <w:r w:rsidRPr="00F97E2A">
        <w:t xml:space="preserve"> Q</w:t>
      </w:r>
      <w:r w:rsidRPr="00F97E2A">
        <w:rPr>
          <w:vertAlign w:val="subscript"/>
        </w:rPr>
        <w:t>p</w:t>
      </w:r>
      <w:r w:rsidRPr="00F97E2A">
        <w:t xml:space="preserve"> [l/den] = </w:t>
      </w:r>
      <w:r w:rsidR="00A835EA">
        <w:t>2920</w:t>
      </w:r>
      <w:r w:rsidRPr="00F97E2A">
        <w:t xml:space="preserve"> l/den</w:t>
      </w:r>
    </w:p>
    <w:p w14:paraId="2A872C1D" w14:textId="2A3FC3AA" w:rsidR="0068368E" w:rsidRPr="00F97E2A" w:rsidRDefault="008402C4">
      <w:pPr>
        <w:rPr>
          <w:sz w:val="24"/>
          <w:szCs w:val="24"/>
        </w:rPr>
      </w:pPr>
      <w:r w:rsidRPr="00F97E2A">
        <w:rPr>
          <w:i/>
          <w:u w:val="single"/>
        </w:rPr>
        <w:t>Maximální denní potřeba vody:</w:t>
      </w:r>
      <w:r w:rsidRPr="00F97E2A">
        <w:t xml:space="preserve"> Q</w:t>
      </w:r>
      <w:r w:rsidRPr="00F97E2A">
        <w:rPr>
          <w:vertAlign w:val="subscript"/>
        </w:rPr>
        <w:t>m</w:t>
      </w:r>
      <w:r w:rsidRPr="00F97E2A">
        <w:t xml:space="preserve"> [l/den] = Q</w:t>
      </w:r>
      <w:r w:rsidRPr="00F97E2A">
        <w:rPr>
          <w:vertAlign w:val="subscript"/>
        </w:rPr>
        <w:t>p</w:t>
      </w:r>
      <w:r w:rsidRPr="00F97E2A">
        <w:t xml:space="preserve"> x k</w:t>
      </w:r>
      <w:r w:rsidRPr="00F97E2A">
        <w:rPr>
          <w:vertAlign w:val="subscript"/>
        </w:rPr>
        <w:t>d</w:t>
      </w:r>
      <w:r w:rsidRPr="00F97E2A">
        <w:t xml:space="preserve"> = </w:t>
      </w:r>
      <w:r w:rsidR="00A835EA">
        <w:t>2920</w:t>
      </w:r>
      <w:r w:rsidRPr="00F97E2A">
        <w:t xml:space="preserve"> x 1,4 = </w:t>
      </w:r>
      <w:r w:rsidR="00EE6136">
        <w:t>4088</w:t>
      </w:r>
      <w:r w:rsidRPr="00F97E2A">
        <w:t xml:space="preserve"> l/den</w:t>
      </w:r>
    </w:p>
    <w:p w14:paraId="2A872C1E" w14:textId="06E1E44C" w:rsidR="0068368E" w:rsidRDefault="008402C4">
      <w:r w:rsidRPr="00F97E2A">
        <w:rPr>
          <w:i/>
          <w:u w:val="single"/>
        </w:rPr>
        <w:t>Maximální hodinová potřeba vody:</w:t>
      </w:r>
      <w:r w:rsidRPr="00F97E2A">
        <w:t xml:space="preserve"> Q</w:t>
      </w:r>
      <w:r w:rsidRPr="00F97E2A">
        <w:rPr>
          <w:vertAlign w:val="subscript"/>
        </w:rPr>
        <w:t>h</w:t>
      </w:r>
      <w:r w:rsidRPr="00F97E2A">
        <w:t xml:space="preserve"> [l/hod] = Q</w:t>
      </w:r>
      <w:r w:rsidRPr="00F97E2A">
        <w:rPr>
          <w:vertAlign w:val="subscript"/>
        </w:rPr>
        <w:t>p</w:t>
      </w:r>
      <w:r w:rsidRPr="00F97E2A">
        <w:t xml:space="preserve"> x k</w:t>
      </w:r>
      <w:r w:rsidRPr="00F97E2A">
        <w:rPr>
          <w:vertAlign w:val="subscript"/>
        </w:rPr>
        <w:t>d</w:t>
      </w:r>
      <w:r w:rsidRPr="00F97E2A">
        <w:t xml:space="preserve"> </w:t>
      </w:r>
      <w:r w:rsidR="005021D3">
        <w:t>x k</w:t>
      </w:r>
      <w:r w:rsidR="005021D3" w:rsidRPr="00290C71">
        <w:rPr>
          <w:vertAlign w:val="subscript"/>
        </w:rPr>
        <w:t>h</w:t>
      </w:r>
      <w:r w:rsidR="00290C71">
        <w:t xml:space="preserve"> /24</w:t>
      </w:r>
      <w:r w:rsidRPr="00F97E2A">
        <w:t xml:space="preserve">= </w:t>
      </w:r>
      <w:r w:rsidR="00D966A1">
        <w:t>2920</w:t>
      </w:r>
      <w:r w:rsidRPr="00F97E2A">
        <w:t xml:space="preserve"> x 1,4 x 1,8 /24 = </w:t>
      </w:r>
      <w:r w:rsidR="00BD09EA">
        <w:t>306,6</w:t>
      </w:r>
      <w:r w:rsidRPr="00F97E2A">
        <w:t xml:space="preserve"> l/hod</w:t>
      </w:r>
    </w:p>
    <w:p w14:paraId="15E6D808" w14:textId="77777777" w:rsidR="00C30CF9" w:rsidRDefault="00C30CF9"/>
    <w:p w14:paraId="2A872C1F" w14:textId="5B2276A2" w:rsidR="0068368E" w:rsidRDefault="008402C4">
      <w:pPr>
        <w:pStyle w:val="Nadpis2"/>
        <w:numPr>
          <w:ilvl w:val="1"/>
          <w:numId w:val="1"/>
        </w:numPr>
      </w:pPr>
      <w:bookmarkStart w:id="8" w:name="_Toc113967875"/>
      <w:r>
        <w:t>Požadavek na požární vodu</w:t>
      </w:r>
      <w:bookmarkEnd w:id="8"/>
    </w:p>
    <w:p w14:paraId="4F02A760" w14:textId="77777777" w:rsidR="00BA6843" w:rsidRDefault="00BA6843" w:rsidP="00BA6843">
      <w:r>
        <w:t>Výpočtový průtok vody pro hašení požáru hadicovými systémy pro první zásah Q</w:t>
      </w:r>
      <w:r w:rsidRPr="00E91B77">
        <w:rPr>
          <w:vertAlign w:val="subscript"/>
        </w:rPr>
        <w:t>pož</w:t>
      </w:r>
      <w:r>
        <w:t xml:space="preserve"> se stanoví podle průtoků těchto hadicových systémů a současnosti jejich použití podle ČSN 73 0873.</w:t>
      </w:r>
    </w:p>
    <w:p w14:paraId="33DBE22C" w14:textId="77777777" w:rsidR="00BA6843" w:rsidRDefault="00BA6843" w:rsidP="00BA6843">
      <w:r>
        <w:t>Při stanovení výpočtového průtoku vody pro hašení požáru se uvažuje se současným použitím dvou hadicových systémů pro první zásah, pokud se v budově nachází pouze jedno stoupací potrubí.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8072BA" w14:textId="2F29BA56" w:rsidR="00BA6843" w:rsidRDefault="00BA6843" w:rsidP="00BA6843">
      <w:r>
        <w:t xml:space="preserve">U jednoho hadicového systému s hadicí o jmenovité světlosti hadice 19-25 mm a s proudnicí o ekvivalentním průměru hubice </w:t>
      </w:r>
      <w:r w:rsidR="00E91B77">
        <w:t xml:space="preserve">6–10 </w:t>
      </w:r>
      <w:r>
        <w:t>mm se počítá s průtokem 0,4</w:t>
      </w:r>
      <w:r w:rsidR="00A66C0C">
        <w:t>-1,0</w:t>
      </w:r>
      <w:r>
        <w:t xml:space="preserve"> l/s.</w:t>
      </w:r>
    </w:p>
    <w:p w14:paraId="7BBDFAA5" w14:textId="77777777" w:rsidR="00BA6843" w:rsidRDefault="00BA6843" w:rsidP="00BA6843">
      <w:r>
        <w:rPr>
          <w:noProof/>
        </w:rPr>
        <w:drawing>
          <wp:inline distT="114300" distB="114300" distL="114300" distR="114300" wp14:anchorId="6731A178" wp14:editId="760C57F9">
            <wp:extent cx="5197496" cy="2514917"/>
            <wp:effectExtent l="0" t="0" r="0" b="0"/>
            <wp:docPr id="4" name="image4.png" descr="Obsah obrázku stůl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Obsah obrázku stůl&#10;&#10;Popis byl vytvořen automatick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7496" cy="2514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458B2B" w14:textId="47923EB6" w:rsidR="00BA6843" w:rsidRDefault="00BA6843" w:rsidP="00BA6843">
      <w:r>
        <w:t>Q</w:t>
      </w:r>
      <w:r w:rsidRPr="007B68D5">
        <w:rPr>
          <w:vertAlign w:val="subscript"/>
        </w:rPr>
        <w:t>pož</w:t>
      </w:r>
      <w:r>
        <w:t xml:space="preserve"> = 2 </w:t>
      </w:r>
      <w:r w:rsidR="007B68D5">
        <w:t>x</w:t>
      </w:r>
      <w:r>
        <w:t xml:space="preserve"> </w:t>
      </w:r>
      <w:r w:rsidR="00CF6CDB">
        <w:t>1</w:t>
      </w:r>
      <w:r>
        <w:t xml:space="preserve"> = </w:t>
      </w:r>
      <w:r w:rsidR="00A66C0C">
        <w:t>2,0</w:t>
      </w:r>
      <w:r>
        <w:t xml:space="preserve"> l/s</w:t>
      </w:r>
    </w:p>
    <w:p w14:paraId="00F8DAF3" w14:textId="507CA475" w:rsidR="00BA6843" w:rsidRDefault="00BA6843" w:rsidP="00BA6843">
      <w:r>
        <w:t>Výpočtový průtok hašení požáru je nižší než výpočtový průtok pro zásobování ZP.</w:t>
      </w:r>
    </w:p>
    <w:p w14:paraId="65F44616" w14:textId="77777777" w:rsidR="00BA6843" w:rsidRDefault="00BA6843" w:rsidP="00BA6843">
      <w:r>
        <w:t>Vodovodní přípojka je navržena na vyšší z průtoků.</w:t>
      </w:r>
    </w:p>
    <w:p w14:paraId="4BD1E9C9" w14:textId="77777777" w:rsidR="00BA6843" w:rsidRDefault="00BA6843"/>
    <w:p w14:paraId="2A872C21" w14:textId="77777777" w:rsidR="0068368E" w:rsidRDefault="008402C4">
      <w:pPr>
        <w:pStyle w:val="Nadpis2"/>
        <w:numPr>
          <w:ilvl w:val="1"/>
          <w:numId w:val="1"/>
        </w:numPr>
      </w:pPr>
      <w:bookmarkStart w:id="9" w:name="_Toc113967876"/>
      <w:r>
        <w:lastRenderedPageBreak/>
        <w:t>Ověření navrženého DN přípojky hydrotechnickým výpočtem</w:t>
      </w:r>
      <w:bookmarkEnd w:id="9"/>
    </w:p>
    <w:p w14:paraId="65DC58FC" w14:textId="42E0736E" w:rsidR="007F2693" w:rsidRPr="007F2693" w:rsidRDefault="00260131" w:rsidP="007F2693">
      <w:r>
        <w:rPr>
          <w:noProof/>
        </w:rPr>
        <w:drawing>
          <wp:inline distT="0" distB="0" distL="0" distR="0" wp14:anchorId="37B92DCF" wp14:editId="0405A8C8">
            <wp:extent cx="5760720" cy="2727788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2C24" w14:textId="7A76E655" w:rsidR="0068368E" w:rsidRDefault="00A353F6">
      <w:pPr>
        <w:rPr>
          <w:u w:val="single"/>
        </w:rPr>
      </w:pPr>
      <w:r>
        <w:rPr>
          <w:u w:val="single"/>
        </w:rPr>
        <w:t>Minimální vnitřní průměr vodovodní přípojky je 4</w:t>
      </w:r>
      <w:r w:rsidR="00C12B8D">
        <w:rPr>
          <w:u w:val="single"/>
        </w:rPr>
        <w:t>7</w:t>
      </w:r>
      <w:r>
        <w:rPr>
          <w:u w:val="single"/>
        </w:rPr>
        <w:t>,</w:t>
      </w:r>
      <w:r w:rsidR="00525C8F">
        <w:rPr>
          <w:u w:val="single"/>
        </w:rPr>
        <w:t>2</w:t>
      </w:r>
      <w:r w:rsidR="007F2693">
        <w:rPr>
          <w:u w:val="single"/>
        </w:rPr>
        <w:t xml:space="preserve"> </w:t>
      </w:r>
      <w:r>
        <w:rPr>
          <w:u w:val="single"/>
        </w:rPr>
        <w:t xml:space="preserve">mm. </w:t>
      </w:r>
      <w:r w:rsidR="008402C4">
        <w:rPr>
          <w:u w:val="single"/>
        </w:rPr>
        <w:t>Je navr</w:t>
      </w:r>
      <w:r w:rsidR="008402C4" w:rsidRPr="00DD1C07">
        <w:rPr>
          <w:u w:val="single"/>
        </w:rPr>
        <w:t xml:space="preserve">žena vodovodní přípojka </w:t>
      </w:r>
      <w:r w:rsidR="001E48FD" w:rsidRPr="00DD1C07">
        <w:rPr>
          <w:u w:val="single"/>
        </w:rPr>
        <w:t xml:space="preserve">PE 100 63x5,8 SDR 11 PN16 RC </w:t>
      </w:r>
      <w:r w:rsidR="008402C4">
        <w:rPr>
          <w:u w:val="single"/>
        </w:rPr>
        <w:t xml:space="preserve">s vnitřním průměrem </w:t>
      </w:r>
      <w:r w:rsidR="00DD1C07">
        <w:rPr>
          <w:u w:val="single"/>
        </w:rPr>
        <w:t>51,4</w:t>
      </w:r>
      <w:r w:rsidR="008402C4">
        <w:rPr>
          <w:u w:val="single"/>
        </w:rPr>
        <w:t xml:space="preserve"> mm.</w:t>
      </w:r>
      <w:r>
        <w:rPr>
          <w:u w:val="single"/>
        </w:rPr>
        <w:t xml:space="preserve"> Návrh vyhovuje.</w:t>
      </w:r>
    </w:p>
    <w:p w14:paraId="2A872C25" w14:textId="77777777" w:rsidR="0068368E" w:rsidRDefault="008402C4">
      <w:pPr>
        <w:pStyle w:val="Nadpis2"/>
        <w:numPr>
          <w:ilvl w:val="1"/>
          <w:numId w:val="1"/>
        </w:numPr>
      </w:pPr>
      <w:bookmarkStart w:id="10" w:name="_Toc113967877"/>
      <w:r>
        <w:t>Stanovení výpočtového průtoku v potrubí</w:t>
      </w:r>
      <w:bookmarkEnd w:id="10"/>
    </w:p>
    <w:p w14:paraId="7DD79093" w14:textId="77777777" w:rsidR="00CA102B" w:rsidRDefault="008402C4">
      <w:r>
        <w:t>Výpočtový průtok v přívodním potrubí je závislý na druhu budovy, druhu, počtu a současnosti používání jednotlivých odběrných míst.</w:t>
      </w:r>
    </w:p>
    <w:p w14:paraId="78C9105B" w14:textId="54855C2F" w:rsidR="008073D1" w:rsidRDefault="008073D1">
      <w:r>
        <w:rPr>
          <w:noProof/>
        </w:rPr>
        <w:drawing>
          <wp:inline distT="0" distB="0" distL="0" distR="0" wp14:anchorId="1B2E4AEC" wp14:editId="20898482">
            <wp:extent cx="5760720" cy="210148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D5071" w14:textId="1573E99A" w:rsidR="00805D94" w:rsidRDefault="00805D94">
      <w:r>
        <w:rPr>
          <w:noProof/>
        </w:rPr>
        <w:drawing>
          <wp:inline distT="0" distB="0" distL="0" distR="0" wp14:anchorId="1AD577D0" wp14:editId="523ACB24">
            <wp:extent cx="5682342" cy="762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80" cy="762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2C2A" w14:textId="77777777" w:rsidR="0068368E" w:rsidRDefault="008402C4">
      <w:pPr>
        <w:pStyle w:val="Nadpis2"/>
        <w:numPr>
          <w:ilvl w:val="1"/>
          <w:numId w:val="1"/>
        </w:numPr>
      </w:pPr>
      <w:bookmarkStart w:id="11" w:name="_Toc113967878"/>
      <w:r>
        <w:t>Informace o tlakových poměrech v místě napojení přípojky</w:t>
      </w:r>
      <w:bookmarkEnd w:id="11"/>
    </w:p>
    <w:p w14:paraId="2A872C2B" w14:textId="4D8809A7" w:rsidR="0068368E" w:rsidRDefault="008402C4">
      <w:r>
        <w:t>Před provedením vodovodní přípojky bude provedeno měření hydraulického tlaku v místě napojení vodovodní přípojky</w:t>
      </w:r>
      <w:r w:rsidR="002B1994">
        <w:t xml:space="preserve"> (na nejbližším hydrantu)</w:t>
      </w:r>
      <w:r>
        <w:t xml:space="preserve">. Dispoziční přetlak v místě napojení vodovodní přípojky </w:t>
      </w:r>
      <w:r w:rsidR="00301A4A">
        <w:t>na areálový vodovod</w:t>
      </w:r>
      <w:r w:rsidR="007D1C3D">
        <w:t xml:space="preserve">, </w:t>
      </w:r>
      <w:r>
        <w:t xml:space="preserve">musí dosáhnout hodnoty rovné nebo vyšší </w:t>
      </w:r>
      <w:r w:rsidR="003C6E70">
        <w:t>410,9</w:t>
      </w:r>
      <w:r>
        <w:t xml:space="preserve"> kPa</w:t>
      </w:r>
      <w:r w:rsidR="007164CC">
        <w:t xml:space="preserve"> při Q</w:t>
      </w:r>
      <w:r w:rsidR="007164CC" w:rsidRPr="00CA102B">
        <w:rPr>
          <w:vertAlign w:val="subscript"/>
        </w:rPr>
        <w:t>d</w:t>
      </w:r>
      <w:r w:rsidR="00CA102B">
        <w:t xml:space="preserve"> </w:t>
      </w:r>
      <w:r w:rsidR="00301A4A">
        <w:t>=</w:t>
      </w:r>
      <w:r w:rsidR="00CA102B">
        <w:t xml:space="preserve"> </w:t>
      </w:r>
      <w:r w:rsidR="008E0123">
        <w:t>4</w:t>
      </w:r>
      <w:r w:rsidR="003C6E70">
        <w:t>,</w:t>
      </w:r>
      <w:r w:rsidR="009C28CF">
        <w:t>349</w:t>
      </w:r>
      <w:r w:rsidR="00CA102B">
        <w:t xml:space="preserve"> </w:t>
      </w:r>
      <w:r w:rsidR="003C6E70">
        <w:t>l</w:t>
      </w:r>
      <w:r w:rsidR="00301A4A">
        <w:t>/s</w:t>
      </w:r>
      <w:r>
        <w:t>. Při nižším dispozičním</w:t>
      </w:r>
      <w:r w:rsidR="007D1C3D">
        <w:t xml:space="preserve"> </w:t>
      </w:r>
      <w:r>
        <w:t>přetlaku bude muset být instalována automatická tlaková stanice pro zajištění dostatečného tlaku v</w:t>
      </w:r>
      <w:r w:rsidR="002B1994">
        <w:t> </w:t>
      </w:r>
      <w:r>
        <w:t>potrubí</w:t>
      </w:r>
      <w:r w:rsidR="002B1994">
        <w:t xml:space="preserve"> (vše po souhlasu </w:t>
      </w:r>
      <w:r w:rsidR="0017188E">
        <w:t>a v souladu s požadavky správce vodovodní sítě (MOVO a.s</w:t>
      </w:r>
      <w:r>
        <w:t>.</w:t>
      </w:r>
      <w:r w:rsidR="0017188E">
        <w:t>)</w:t>
      </w:r>
      <w:r w:rsidR="008E0123">
        <w:t>.</w:t>
      </w:r>
    </w:p>
    <w:p w14:paraId="2A872C2D" w14:textId="77777777" w:rsidR="0068368E" w:rsidRDefault="0068368E"/>
    <w:p w14:paraId="2A872C2E" w14:textId="424746F6" w:rsidR="0068368E" w:rsidRDefault="00F4619A">
      <w:r>
        <w:rPr>
          <w:noProof/>
        </w:rPr>
        <w:lastRenderedPageBreak/>
        <w:drawing>
          <wp:inline distT="0" distB="0" distL="0" distR="0" wp14:anchorId="437A1446" wp14:editId="45BFEB4C">
            <wp:extent cx="5760720" cy="1845310"/>
            <wp:effectExtent l="0" t="0" r="0" b="2540"/>
            <wp:docPr id="15" name="Obrázek 1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2C2F" w14:textId="77777777" w:rsidR="0068368E" w:rsidRDefault="008402C4">
      <w:pPr>
        <w:pStyle w:val="Nadpis2"/>
        <w:numPr>
          <w:ilvl w:val="1"/>
          <w:numId w:val="1"/>
        </w:numPr>
      </w:pPr>
      <w:bookmarkStart w:id="12" w:name="_Toc113967879"/>
      <w:r>
        <w:t>Návrh vodoměru</w:t>
      </w:r>
      <w:bookmarkEnd w:id="12"/>
    </w:p>
    <w:p w14:paraId="2A872C30" w14:textId="6B670608" w:rsidR="0068368E" w:rsidRDefault="008402C4">
      <w:pPr>
        <w:rPr>
          <w:sz w:val="24"/>
          <w:szCs w:val="24"/>
        </w:rPr>
      </w:pPr>
      <w:r>
        <w:t xml:space="preserve">Max. průtok </w:t>
      </w:r>
      <w:r w:rsidR="008E0123">
        <w:t>vodoměrem – hodnota</w:t>
      </w:r>
      <w:r>
        <w:t xml:space="preserve"> výpočtového průtoku navýšená o 15</w:t>
      </w:r>
      <w:r w:rsidR="00FB525C">
        <w:t xml:space="preserve"> </w:t>
      </w:r>
      <w:r>
        <w:t>%</w:t>
      </w:r>
      <w:r w:rsidR="007B68D5">
        <w:t>.</w:t>
      </w:r>
    </w:p>
    <w:p w14:paraId="2A872C31" w14:textId="630CDB2B" w:rsidR="0068368E" w:rsidRPr="007B68D5" w:rsidRDefault="008402C4">
      <w:pPr>
        <w:rPr>
          <w:sz w:val="24"/>
          <w:szCs w:val="24"/>
        </w:rPr>
      </w:pPr>
      <w:r w:rsidRPr="007B68D5">
        <w:t>Q</w:t>
      </w:r>
      <w:r w:rsidRPr="007B68D5">
        <w:rPr>
          <w:vertAlign w:val="subscript"/>
        </w:rPr>
        <w:t>d</w:t>
      </w:r>
      <w:r w:rsidRPr="007B68D5">
        <w:t xml:space="preserve"> </w:t>
      </w:r>
      <w:r w:rsidRPr="007B68D5">
        <w:rPr>
          <w:rFonts w:eastAsia="Nova Mono" w:cs="Nova Mono"/>
        </w:rPr>
        <w:t>= 1,15x</w:t>
      </w:r>
      <w:r w:rsidR="00634786" w:rsidRPr="007B68D5">
        <w:rPr>
          <w:rFonts w:eastAsia="Nova Mono" w:cs="Nova Mono"/>
        </w:rPr>
        <w:t>(</w:t>
      </w:r>
      <w:r w:rsidRPr="007B68D5">
        <w:rPr>
          <w:rFonts w:eastAsia="Nova Mono" w:cs="Nova Mono"/>
        </w:rPr>
        <w:t>∑q</w:t>
      </w:r>
      <w:r w:rsidR="00634786" w:rsidRPr="007B68D5">
        <w:rPr>
          <w:vertAlign w:val="subscript"/>
        </w:rPr>
        <w:t>n</w:t>
      </w:r>
      <w:r w:rsidRPr="007B68D5">
        <w:t>*</w:t>
      </w:r>
      <w:r w:rsidR="00634786" w:rsidRPr="007B68D5">
        <w:rPr>
          <w:rFonts w:eastAsia="Nova Mono" w:cs="Nova Mono"/>
        </w:rPr>
        <w:t>√</w:t>
      </w:r>
      <w:r w:rsidRPr="007B68D5">
        <w:t>n</w:t>
      </w:r>
      <w:r w:rsidR="00634786" w:rsidRPr="007B68D5">
        <w:t>)</w:t>
      </w:r>
      <w:r w:rsidRPr="007B68D5">
        <w:t xml:space="preserve"> = </w:t>
      </w:r>
      <w:r w:rsidR="00986F0E">
        <w:t>5</w:t>
      </w:r>
      <w:r w:rsidR="00590567" w:rsidRPr="007B68D5">
        <w:t>,</w:t>
      </w:r>
      <w:r w:rsidR="00986F0E">
        <w:t>01</w:t>
      </w:r>
      <w:r w:rsidR="00FB525C">
        <w:t>5</w:t>
      </w:r>
      <w:r w:rsidRPr="007B68D5">
        <w:t xml:space="preserve"> l/s</w:t>
      </w:r>
    </w:p>
    <w:p w14:paraId="2A872C32" w14:textId="77777777" w:rsidR="0068368E" w:rsidRDefault="008402C4">
      <w:pPr>
        <w:rPr>
          <w:sz w:val="24"/>
          <w:szCs w:val="24"/>
        </w:rPr>
      </w:pPr>
      <w:r>
        <w:t>n      </w:t>
      </w:r>
      <w:r>
        <w:tab/>
        <w:t>počet výtokových armatur stejného druhu</w:t>
      </w:r>
    </w:p>
    <w:p w14:paraId="2A872C33" w14:textId="77777777" w:rsidR="0068368E" w:rsidRDefault="008402C4">
      <w:pPr>
        <w:rPr>
          <w:sz w:val="24"/>
          <w:szCs w:val="24"/>
        </w:rPr>
      </w:pPr>
      <w:r>
        <w:t>q</w:t>
      </w:r>
      <w:r>
        <w:rPr>
          <w:vertAlign w:val="subscript"/>
        </w:rPr>
        <w:t>i</w:t>
      </w:r>
      <w:r>
        <w:t xml:space="preserve">     </w:t>
      </w:r>
      <w:r>
        <w:tab/>
        <w:t>jmenovitý výtok jednotlivými druhy výtokových armatur a zařízení (l/s)</w:t>
      </w:r>
    </w:p>
    <w:p w14:paraId="2A872C34" w14:textId="77777777" w:rsidR="0068368E" w:rsidRDefault="008402C4">
      <w:pPr>
        <w:ind w:left="360"/>
        <w:rPr>
          <w:sz w:val="24"/>
          <w:szCs w:val="24"/>
        </w:rPr>
      </w:pPr>
      <w:r>
        <w:t xml:space="preserve"> </w:t>
      </w:r>
    </w:p>
    <w:p w14:paraId="2A872C35" w14:textId="32B26198" w:rsidR="0068368E" w:rsidRDefault="008402C4">
      <w:pPr>
        <w:ind w:left="360"/>
        <w:rPr>
          <w:sz w:val="24"/>
          <w:szCs w:val="24"/>
        </w:rPr>
      </w:pPr>
      <w:r>
        <w:t>Potřeba pitné vody Q</w:t>
      </w:r>
      <w:r>
        <w:rPr>
          <w:vertAlign w:val="subscript"/>
        </w:rPr>
        <w:t>max</w:t>
      </w:r>
      <w:r>
        <w:t xml:space="preserve"> = </w:t>
      </w:r>
      <w:r w:rsidR="00C12B8D">
        <w:t>5</w:t>
      </w:r>
      <w:r w:rsidR="00BE6173">
        <w:t>,</w:t>
      </w:r>
      <w:r w:rsidR="00C12B8D">
        <w:t>0</w:t>
      </w:r>
      <w:r w:rsidR="005504AA">
        <w:t>15</w:t>
      </w:r>
      <w:r w:rsidR="00BE6173">
        <w:t xml:space="preserve"> </w:t>
      </w:r>
      <w:r>
        <w:t xml:space="preserve">l/s = </w:t>
      </w:r>
      <w:r w:rsidR="00BE6173">
        <w:t>1</w:t>
      </w:r>
      <w:r w:rsidR="00D960B1">
        <w:t>8</w:t>
      </w:r>
      <w:r w:rsidR="00BE6173">
        <w:t>,</w:t>
      </w:r>
      <w:r w:rsidR="00D960B1">
        <w:t>0</w:t>
      </w:r>
      <w:r w:rsidR="005504AA">
        <w:t>5</w:t>
      </w:r>
      <w:r w:rsidR="00D960B1">
        <w:t>4</w:t>
      </w:r>
      <w:r>
        <w:t xml:space="preserve"> m</w:t>
      </w:r>
      <w:r>
        <w:rPr>
          <w:vertAlign w:val="superscript"/>
        </w:rPr>
        <w:t>3</w:t>
      </w:r>
      <w:r>
        <w:t>/hod</w:t>
      </w:r>
    </w:p>
    <w:p w14:paraId="2A872C36" w14:textId="77777777" w:rsidR="0068368E" w:rsidRDefault="008402C4">
      <w:pPr>
        <w:ind w:left="360"/>
        <w:rPr>
          <w:sz w:val="24"/>
          <w:szCs w:val="24"/>
        </w:rPr>
      </w:pPr>
      <w:r>
        <w:t>Pro stanovení velikosti vodoměru platí vztah Q</w:t>
      </w:r>
      <w:r>
        <w:rPr>
          <w:vertAlign w:val="subscript"/>
        </w:rPr>
        <w:t xml:space="preserve">n(qp) </w:t>
      </w:r>
      <w:r>
        <w:t>= 1/2 Q</w:t>
      </w:r>
      <w:r>
        <w:rPr>
          <w:vertAlign w:val="subscript"/>
        </w:rPr>
        <w:t>max</w:t>
      </w:r>
    </w:p>
    <w:p w14:paraId="2A872C37" w14:textId="208BCBDF" w:rsidR="0068368E" w:rsidRDefault="008402C4">
      <w:pPr>
        <w:ind w:left="360"/>
        <w:rPr>
          <w:sz w:val="24"/>
          <w:szCs w:val="24"/>
        </w:rPr>
      </w:pPr>
      <w:r>
        <w:t>Měření bude zajišťovat vodoměr s průtokem nejméně Q</w:t>
      </w:r>
      <w:r>
        <w:rPr>
          <w:vertAlign w:val="subscript"/>
        </w:rPr>
        <w:t>n</w:t>
      </w:r>
      <w:r w:rsidR="00164ECA" w:rsidRPr="00164ECA">
        <w:t xml:space="preserve"> </w:t>
      </w:r>
      <w:r>
        <w:t>=</w:t>
      </w:r>
      <w:r w:rsidR="00164ECA">
        <w:t xml:space="preserve"> </w:t>
      </w:r>
      <w:r w:rsidR="00D960B1">
        <w:t>9</w:t>
      </w:r>
      <w:r w:rsidR="00BE6173">
        <w:t>,</w:t>
      </w:r>
      <w:r w:rsidR="00D960B1">
        <w:t>02</w:t>
      </w:r>
      <w:r w:rsidR="005504AA">
        <w:t>7</w:t>
      </w:r>
      <w:r>
        <w:t xml:space="preserve"> m</w:t>
      </w:r>
      <w:r>
        <w:rPr>
          <w:vertAlign w:val="superscript"/>
        </w:rPr>
        <w:t>3</w:t>
      </w:r>
      <w:r>
        <w:t>/hod,</w:t>
      </w:r>
    </w:p>
    <w:p w14:paraId="2A872C38" w14:textId="6951BF79" w:rsidR="0068368E" w:rsidRDefault="008402C4">
      <w:pPr>
        <w:ind w:left="360"/>
      </w:pPr>
      <w:r>
        <w:t>Bude použit vodoměr Q</w:t>
      </w:r>
      <w:r>
        <w:rPr>
          <w:vertAlign w:val="subscript"/>
        </w:rPr>
        <w:t>n</w:t>
      </w:r>
      <w:r>
        <w:t xml:space="preserve"> = </w:t>
      </w:r>
      <w:r w:rsidR="002E4B4A">
        <w:t>10</w:t>
      </w:r>
      <w:r>
        <w:t xml:space="preserve"> m</w:t>
      </w:r>
      <w:r>
        <w:rPr>
          <w:vertAlign w:val="superscript"/>
        </w:rPr>
        <w:t>3</w:t>
      </w:r>
      <w:r>
        <w:t>/hod.</w:t>
      </w:r>
    </w:p>
    <w:p w14:paraId="7AD84626" w14:textId="43B2687A" w:rsidR="007D7BD1" w:rsidRDefault="007D7BD1">
      <w:pPr>
        <w:ind w:left="360"/>
      </w:pPr>
      <w:r>
        <w:rPr>
          <w:noProof/>
        </w:rPr>
        <w:drawing>
          <wp:inline distT="0" distB="0" distL="0" distR="0" wp14:anchorId="2E5EE49E" wp14:editId="08859CF7">
            <wp:extent cx="5611959" cy="2545715"/>
            <wp:effectExtent l="0" t="0" r="8255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959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72C3A" w14:textId="77777777" w:rsidR="0068368E" w:rsidRDefault="008402C4">
      <w:pPr>
        <w:pStyle w:val="Nadpis2"/>
        <w:numPr>
          <w:ilvl w:val="1"/>
          <w:numId w:val="1"/>
        </w:numPr>
      </w:pPr>
      <w:bookmarkStart w:id="13" w:name="_Toc113967880"/>
      <w:r>
        <w:t>Tlakové zkoušky</w:t>
      </w:r>
      <w:bookmarkEnd w:id="13"/>
    </w:p>
    <w:p w14:paraId="2A872C3B" w14:textId="77777777" w:rsidR="0068368E" w:rsidRDefault="008402C4">
      <w:r>
        <w:t>Tlaková zkouška vodovodní přípojky se provádí podle ČSN EN 805. O výsledcích provedené zkoušky bude vyhotoven protokol.</w:t>
      </w:r>
    </w:p>
    <w:p w14:paraId="2A872C3C" w14:textId="77777777" w:rsidR="0068368E" w:rsidRDefault="008402C4">
      <w:pPr>
        <w:pStyle w:val="Nadpis2"/>
        <w:numPr>
          <w:ilvl w:val="1"/>
          <w:numId w:val="1"/>
        </w:numPr>
      </w:pPr>
      <w:bookmarkStart w:id="14" w:name="_Toc113967881"/>
      <w:r>
        <w:t>Informace o zdržení vody ve vodovodní přípojce</w:t>
      </w:r>
      <w:bookmarkEnd w:id="14"/>
    </w:p>
    <w:p w14:paraId="2A872C3D" w14:textId="2033D0EA" w:rsidR="0068368E" w:rsidRDefault="008402C4">
      <w:r>
        <w:t>Množství vody v přípojce a vnitřním vodovodu:</w:t>
      </w:r>
      <w:r>
        <w:tab/>
      </w:r>
      <w:r w:rsidR="0005588E">
        <w:tab/>
      </w:r>
      <w:r w:rsidR="0005588E">
        <w:tab/>
      </w:r>
      <w:r w:rsidR="0005588E">
        <w:tab/>
      </w:r>
      <w:r w:rsidR="00086366">
        <w:t>1</w:t>
      </w:r>
      <w:r w:rsidR="003C6E70">
        <w:t>192</w:t>
      </w:r>
      <w:r w:rsidR="000F1284">
        <w:t xml:space="preserve"> </w:t>
      </w:r>
      <w:r>
        <w:t>l</w:t>
      </w:r>
    </w:p>
    <w:p w14:paraId="2A872C3E" w14:textId="7939FC6B" w:rsidR="0068368E" w:rsidRDefault="008402C4">
      <w:r>
        <w:t>Denní odběr vody:</w:t>
      </w:r>
      <w:r>
        <w:tab/>
      </w:r>
      <w:r>
        <w:tab/>
      </w:r>
      <w:r>
        <w:tab/>
      </w:r>
      <w:r>
        <w:tab/>
      </w:r>
      <w:r w:rsidR="0005588E">
        <w:tab/>
      </w:r>
      <w:r w:rsidR="0005588E">
        <w:tab/>
      </w:r>
      <w:r w:rsidR="0005588E">
        <w:tab/>
      </w:r>
      <w:r w:rsidR="00F90FCB">
        <w:t>2920</w:t>
      </w:r>
      <w:r>
        <w:t xml:space="preserve"> l</w:t>
      </w:r>
    </w:p>
    <w:p w14:paraId="2A872C3F" w14:textId="412670E7" w:rsidR="0068368E" w:rsidRDefault="008402C4">
      <w:r>
        <w:t>Denní výměna vody v</w:t>
      </w:r>
      <w:r w:rsidR="0005588E">
        <w:t> </w:t>
      </w:r>
      <w:r>
        <w:t>přípojce</w:t>
      </w:r>
      <w:r w:rsidR="0005588E">
        <w:t xml:space="preserve"> a vnitřním vodovodu</w:t>
      </w:r>
      <w:r>
        <w:t xml:space="preserve"> je cca:</w:t>
      </w:r>
      <w:r>
        <w:tab/>
      </w:r>
      <w:r>
        <w:tab/>
      </w:r>
      <w:r w:rsidR="00280F39">
        <w:t xml:space="preserve">2,5 </w:t>
      </w:r>
      <w:r w:rsidR="0005588E">
        <w:t>x</w:t>
      </w:r>
    </w:p>
    <w:p w14:paraId="2A872C40" w14:textId="77777777" w:rsidR="0068368E" w:rsidRDefault="008402C4">
      <w:r>
        <w:t>Zdržení vody nebude prakticky žádné.</w:t>
      </w:r>
    </w:p>
    <w:p w14:paraId="2A872C42" w14:textId="77777777" w:rsidR="0068368E" w:rsidRDefault="008402C4">
      <w:pPr>
        <w:pStyle w:val="Nadpis2"/>
        <w:numPr>
          <w:ilvl w:val="1"/>
          <w:numId w:val="1"/>
        </w:numPr>
      </w:pPr>
      <w:bookmarkStart w:id="15" w:name="_Toc113967882"/>
      <w:r>
        <w:lastRenderedPageBreak/>
        <w:t>Vlastní zdroj vody</w:t>
      </w:r>
      <w:bookmarkEnd w:id="15"/>
    </w:p>
    <w:p w14:paraId="2A872C43" w14:textId="66835E87" w:rsidR="0068368E" w:rsidRDefault="008402C4">
      <w:r>
        <w:t>Objekt nebude napojen na vlastní zdroj vody.</w:t>
      </w:r>
    </w:p>
    <w:p w14:paraId="2A872C47" w14:textId="77777777" w:rsidR="0068368E" w:rsidRDefault="008402C4">
      <w:pPr>
        <w:pStyle w:val="Nadpis2"/>
        <w:numPr>
          <w:ilvl w:val="1"/>
          <w:numId w:val="1"/>
        </w:numPr>
      </w:pPr>
      <w:bookmarkStart w:id="16" w:name="_Toc113967883"/>
      <w:r>
        <w:t>Zemní práce</w:t>
      </w:r>
      <w:bookmarkEnd w:id="16"/>
    </w:p>
    <w:p w14:paraId="2A872C48" w14:textId="77777777" w:rsidR="0068368E" w:rsidRDefault="008402C4">
      <w:pPr>
        <w:rPr>
          <w:b/>
          <w:u w:val="single"/>
        </w:rPr>
      </w:pPr>
      <w:r>
        <w:rPr>
          <w:b/>
          <w:u w:val="single"/>
        </w:rPr>
        <w:t xml:space="preserve">Před započetím výkopových prací investor stavby spolu s dodavatelem stavby zajistí vytýčení všech podzemních inženýrských sítí. Hloubky uložení musí být před zahájením výkopů ověřeny sondami. </w:t>
      </w:r>
    </w:p>
    <w:p w14:paraId="69E61F7B" w14:textId="4E1CBD01" w:rsidR="00C838B2" w:rsidRPr="00C838B2" w:rsidRDefault="00C838B2" w:rsidP="00C838B2">
      <w:pPr>
        <w:pStyle w:val="Normlnweb"/>
        <w:spacing w:before="120" w:beforeAutospacing="0" w:after="0" w:afterAutospacing="0"/>
        <w:jc w:val="both"/>
        <w:rPr>
          <w:rFonts w:ascii="Roboto" w:eastAsia="Roboto" w:hAnsi="Roboto" w:cs="Roboto"/>
          <w:sz w:val="20"/>
          <w:szCs w:val="20"/>
        </w:rPr>
      </w:pPr>
      <w:r w:rsidRPr="00C838B2">
        <w:rPr>
          <w:rFonts w:ascii="Roboto" w:eastAsia="Roboto" w:hAnsi="Roboto" w:cs="Roboto"/>
          <w:sz w:val="20"/>
          <w:szCs w:val="20"/>
        </w:rPr>
        <w:t xml:space="preserve">Nová vodovodní přípojka bude provedena v místě křížení se </w:t>
      </w:r>
      <w:r w:rsidR="00203163">
        <w:rPr>
          <w:rFonts w:ascii="Roboto" w:eastAsia="Roboto" w:hAnsi="Roboto" w:cs="Roboto"/>
          <w:sz w:val="20"/>
          <w:szCs w:val="20"/>
        </w:rPr>
        <w:t xml:space="preserve">stávající komunikací </w:t>
      </w:r>
      <w:r w:rsidRPr="00C838B2">
        <w:rPr>
          <w:rFonts w:ascii="Roboto" w:eastAsia="Roboto" w:hAnsi="Roboto" w:cs="Roboto"/>
          <w:sz w:val="20"/>
          <w:szCs w:val="20"/>
        </w:rPr>
        <w:t xml:space="preserve">horizontálně řízeným protlakem (HDD) a uložena v chráničce PE 100 RC </w:t>
      </w:r>
      <w:r w:rsidR="00A63258">
        <w:rPr>
          <w:rFonts w:ascii="Roboto" w:eastAsia="Roboto" w:hAnsi="Roboto" w:cs="Roboto"/>
          <w:sz w:val="20"/>
          <w:szCs w:val="20"/>
        </w:rPr>
        <w:t>90</w:t>
      </w:r>
      <w:r w:rsidRPr="00C838B2">
        <w:rPr>
          <w:rFonts w:ascii="Roboto" w:eastAsia="Roboto" w:hAnsi="Roboto" w:cs="Roboto"/>
          <w:sz w:val="20"/>
          <w:szCs w:val="20"/>
        </w:rPr>
        <w:t>x</w:t>
      </w:r>
      <w:r w:rsidR="00A63258">
        <w:rPr>
          <w:rFonts w:ascii="Roboto" w:eastAsia="Roboto" w:hAnsi="Roboto" w:cs="Roboto"/>
          <w:sz w:val="20"/>
          <w:szCs w:val="20"/>
        </w:rPr>
        <w:t>8,2</w:t>
      </w:r>
      <w:r w:rsidRPr="00C838B2">
        <w:rPr>
          <w:rFonts w:ascii="Roboto" w:eastAsia="Roboto" w:hAnsi="Roboto" w:cs="Roboto"/>
          <w:sz w:val="20"/>
          <w:szCs w:val="20"/>
        </w:rPr>
        <w:t>SDR11</w:t>
      </w:r>
      <w:r w:rsidR="00B94D1E">
        <w:rPr>
          <w:rFonts w:ascii="Roboto" w:eastAsia="Roboto" w:hAnsi="Roboto" w:cs="Roboto"/>
          <w:sz w:val="20"/>
          <w:szCs w:val="20"/>
        </w:rPr>
        <w:t>.</w:t>
      </w:r>
      <w:r w:rsidRPr="00C838B2">
        <w:rPr>
          <w:rFonts w:ascii="Roboto" w:eastAsia="Roboto" w:hAnsi="Roboto" w:cs="Roboto"/>
          <w:sz w:val="20"/>
          <w:szCs w:val="20"/>
        </w:rPr>
        <w:t xml:space="preserve"> </w:t>
      </w:r>
    </w:p>
    <w:p w14:paraId="3C529D5B" w14:textId="77777777" w:rsidR="00C838B2" w:rsidRPr="00C838B2" w:rsidRDefault="00C838B2" w:rsidP="00C838B2">
      <w:pPr>
        <w:pStyle w:val="Normlnweb"/>
        <w:spacing w:before="120" w:beforeAutospacing="0" w:after="0" w:afterAutospacing="0"/>
        <w:jc w:val="both"/>
        <w:rPr>
          <w:rFonts w:ascii="Roboto" w:eastAsia="Roboto" w:hAnsi="Roboto" w:cs="Roboto"/>
          <w:sz w:val="20"/>
          <w:szCs w:val="20"/>
        </w:rPr>
      </w:pPr>
      <w:r w:rsidRPr="00C838B2">
        <w:rPr>
          <w:rFonts w:ascii="Roboto" w:eastAsia="Roboto" w:hAnsi="Roboto" w:cs="Roboto"/>
          <w:sz w:val="20"/>
          <w:szCs w:val="20"/>
        </w:rPr>
        <w:t xml:space="preserve">Technologie protlaku: </w:t>
      </w:r>
    </w:p>
    <w:p w14:paraId="486B8692" w14:textId="77777777" w:rsidR="00C838B2" w:rsidRPr="00C838B2" w:rsidRDefault="00C838B2" w:rsidP="00C838B2">
      <w:pPr>
        <w:pStyle w:val="Normlnweb"/>
        <w:spacing w:before="120" w:beforeAutospacing="0" w:after="0" w:afterAutospacing="0"/>
        <w:ind w:firstLine="700"/>
        <w:jc w:val="both"/>
        <w:rPr>
          <w:rFonts w:ascii="Roboto" w:eastAsia="Roboto" w:hAnsi="Roboto" w:cs="Roboto"/>
          <w:sz w:val="20"/>
          <w:szCs w:val="20"/>
        </w:rPr>
      </w:pPr>
      <w:r w:rsidRPr="00C838B2">
        <w:rPr>
          <w:rFonts w:ascii="Roboto" w:eastAsia="Roboto" w:hAnsi="Roboto" w:cs="Roboto"/>
          <w:sz w:val="20"/>
          <w:szCs w:val="20"/>
        </w:rPr>
        <w:t>Hydraulická vrtně protláčecí souprava. Hydraulické zatažení chráničky se současným odvrtáváním zeminy a vynášením výkopku do startovací/tlačné jámy s ručním odhozením výkopku k bočním stěnám jámy.</w:t>
      </w:r>
    </w:p>
    <w:p w14:paraId="60167910" w14:textId="77777777" w:rsidR="00C838B2" w:rsidRPr="00C838B2" w:rsidRDefault="00C838B2" w:rsidP="00C838B2">
      <w:pPr>
        <w:pStyle w:val="Normlnweb"/>
        <w:spacing w:before="120" w:beforeAutospacing="0" w:after="0" w:afterAutospacing="0"/>
        <w:ind w:firstLine="700"/>
        <w:jc w:val="both"/>
        <w:rPr>
          <w:rFonts w:ascii="Roboto" w:eastAsia="Roboto" w:hAnsi="Roboto" w:cs="Roboto"/>
          <w:sz w:val="20"/>
          <w:szCs w:val="20"/>
        </w:rPr>
      </w:pPr>
      <w:r w:rsidRPr="00C838B2">
        <w:rPr>
          <w:rFonts w:ascii="Roboto" w:eastAsia="Roboto" w:hAnsi="Roboto" w:cs="Roboto"/>
          <w:sz w:val="20"/>
          <w:szCs w:val="20"/>
        </w:rPr>
        <w:t>Nutno zvolit příslušnou technologii dle typu zastižené zeminy</w:t>
      </w:r>
    </w:p>
    <w:p w14:paraId="592F3579" w14:textId="77777777" w:rsidR="00C838B2" w:rsidRPr="00C838B2" w:rsidRDefault="00C838B2" w:rsidP="00C838B2">
      <w:r w:rsidRPr="00C838B2">
        <w:t>Zbylá část vodovodní přípojky a vnitřního vodovodu bude uložena do otevřené rýhy.</w:t>
      </w:r>
    </w:p>
    <w:p w14:paraId="7E63BBCA" w14:textId="7367F6EB" w:rsidR="00C838B2" w:rsidRPr="00C838B2" w:rsidRDefault="00C838B2" w:rsidP="00C838B2">
      <w:r w:rsidRPr="00C838B2">
        <w:t xml:space="preserve">PŘI </w:t>
      </w:r>
      <w:r w:rsidR="008C08FD">
        <w:t>KŘÍŽENÍ</w:t>
      </w:r>
      <w:r w:rsidRPr="00C838B2">
        <w:t xml:space="preserve"> </w:t>
      </w:r>
      <w:r w:rsidR="00103982">
        <w:t>SPLAŠKOVÉ</w:t>
      </w:r>
      <w:r w:rsidR="005F5A7E">
        <w:t>/JEND</w:t>
      </w:r>
      <w:r w:rsidR="00B35E8B">
        <w:t>NOTNÉ</w:t>
      </w:r>
      <w:r w:rsidR="00103982">
        <w:t xml:space="preserve"> KANALIZACE</w:t>
      </w:r>
      <w:r w:rsidR="00DB6CA5">
        <w:t xml:space="preserve">, </w:t>
      </w:r>
      <w:r w:rsidRPr="00C838B2">
        <w:t>PLYNOVO</w:t>
      </w:r>
      <w:r w:rsidR="00103982">
        <w:t>DU</w:t>
      </w:r>
      <w:r w:rsidR="00DB6CA5">
        <w:t xml:space="preserve"> S VODOVODNÍ PŘÍPOJKOU</w:t>
      </w:r>
      <w:r w:rsidR="00103982">
        <w:t xml:space="preserve"> </w:t>
      </w:r>
      <w:r w:rsidRPr="00C838B2">
        <w:t xml:space="preserve">JE HORNÍ POVRCH VODOVODNÍ PŘÍPOJKY ULOŽEN VŽDY MIN. 150MM POD SPODNÍM POVRCHEM </w:t>
      </w:r>
      <w:r w:rsidR="00103982">
        <w:t>PLYNOVODU A VŽDY MIN 100MM NAD HORNÍM PORCHEM SPLAŠKOVÉ KANALIZACE</w:t>
      </w:r>
      <w:r w:rsidRPr="00C838B2">
        <w:t>!!!</w:t>
      </w:r>
    </w:p>
    <w:p w14:paraId="2A872C49" w14:textId="77777777" w:rsidR="0068368E" w:rsidRDefault="008402C4">
      <w:r>
        <w:t>V místě křížení budou výkopy prováděny ručně. Odkrytá podzemní vedení musí být po celou dobu chráněna proti poškození a při zásypu zabezpečena proti následnému sednutí.</w:t>
      </w:r>
      <w:r>
        <w:br/>
        <w:t xml:space="preserve">Výkopy rýh budou provedeny s kolmými stěnami, od hl. 1,25 m doporučujeme pažit (v závislosti na soudržnosti zeminy). Okraj rýhy nesmí být zatížen výkopkem. V případě zatížení okrajů rýhy je nutno provést pažení již od hl. 0,7 m. Šířka výkopu min. 0,8 m (v závislosti na hloubce rýhy a vnějším průměru potrubí). </w:t>
      </w:r>
    </w:p>
    <w:p w14:paraId="2A872C4A" w14:textId="77777777" w:rsidR="0068368E" w:rsidRDefault="008402C4">
      <w:r>
        <w:t xml:space="preserve">Přebytečná zemina bude odvezena na k tomu určenou skládku. </w:t>
      </w:r>
    </w:p>
    <w:p w14:paraId="2A872C4B" w14:textId="77777777" w:rsidR="0068368E" w:rsidRDefault="008402C4">
      <w:r>
        <w:t xml:space="preserve">Potrubí vodovodní přípojky a vnitřního vodovodu uloženého v </w:t>
      </w:r>
      <w:r w:rsidRPr="00370096">
        <w:t>zemi PE 100 RC bude</w:t>
      </w:r>
      <w:r>
        <w:t xml:space="preserve"> uloženo na hutněném pískovém loži tl. 100 mm a obsypáno prosetým výkopkem (výkopek nesmí obsahovat větší množství ostrohranných zrn a zrna větší než 63 mm).</w:t>
      </w:r>
    </w:p>
    <w:p w14:paraId="2A872C4C" w14:textId="77777777" w:rsidR="0068368E" w:rsidRDefault="008402C4">
      <w:r>
        <w:t>Boční obsyp bude do výše 300 mm nad horní hranu potrubí hutněn. Zhutňování krycího obsypu přímo nad potrubím se má v případě potřeby provádět ručně (bez mechanizace). Stupeň zhutnění v účinné vrstvě musí být v souladu s technickými požadavky výrobce potrubí. Potrubí nad obsypem bude opatřeno zhutněným zásypem výkopovou zeminou. Zásyp se oproti terénu přiměřeně převýší a vrchní vrstva se shodně s původním stavem provede z ornice. Zásyp rýhy bude proveden zhutněný. Provádí se po vrstvách nejvýše 300 mm nad dříkem trouby.</w:t>
      </w:r>
    </w:p>
    <w:p w14:paraId="2A872C4D" w14:textId="77777777" w:rsidR="0068368E" w:rsidRDefault="008402C4">
      <w:r>
        <w:t>Krytí vodovodního potrubí bude min. 1,2 m (měřeno od horního povrchu potrubí).</w:t>
      </w:r>
    </w:p>
    <w:p w14:paraId="2A872C4E" w14:textId="77777777" w:rsidR="0068368E" w:rsidRDefault="008402C4">
      <w:r>
        <w:t>K potrubí bude připáskován vytyčovací vodič CY 4 mm</w:t>
      </w:r>
      <w:r>
        <w:rPr>
          <w:vertAlign w:val="superscript"/>
        </w:rPr>
        <w:t>2</w:t>
      </w:r>
      <w:r>
        <w:t xml:space="preserve">, který bude propojen s armaturami. Na obsyp potrubí bude umístěna výstražná perforovaná fólie bílé barvy šířky 340 mm. </w:t>
      </w:r>
    </w:p>
    <w:p w14:paraId="2A872C4F" w14:textId="77777777" w:rsidR="0068368E" w:rsidRDefault="008402C4">
      <w:r>
        <w:t>Dodavatel musí vést seznam prací, deník a musí dbát na řádné provedení výkresů skutečného stavu, kde se sleduje hloubka výkopu, třída zeminy, způsob hutnění, provedení lože potrubí, provedení zásypu potrubí a zakreslení všech změn proti projektovanému řešení. Potrubí nesmí být ukládáno do rýhy zaplněné vodou. Při přerušení prací na potrubí musí být potrubí vodotěsně uzavřeno.</w:t>
      </w:r>
    </w:p>
    <w:p w14:paraId="2A872C50" w14:textId="77777777" w:rsidR="0068368E" w:rsidRDefault="008402C4">
      <w:r>
        <w:t>Při výstavbě rozvodného vodovodního potrubí a přípojek je nutno dodržet ČSN 73 6005. Prostorová úprava vedení technického vybavení a vyjádření jednotlivých správců sítí. Při křížení se vodovodní potrubí a potrubí vodovodních přípojek ukládá pod kabelová vedení silová a sdělovací a pod plynovodní potrubí, ale nad stoky jednotné soustavy a nad splaškové stoky.</w:t>
      </w:r>
    </w:p>
    <w:p w14:paraId="2A872C51" w14:textId="77777777" w:rsidR="0068368E" w:rsidRDefault="008402C4">
      <w:pPr>
        <w:pStyle w:val="Nadpis2"/>
        <w:numPr>
          <w:ilvl w:val="1"/>
          <w:numId w:val="1"/>
        </w:numPr>
      </w:pPr>
      <w:bookmarkStart w:id="17" w:name="_Toc113967884"/>
      <w:r>
        <w:t>Geodetické zaměření</w:t>
      </w:r>
      <w:bookmarkEnd w:id="17"/>
    </w:p>
    <w:p w14:paraId="2A872C52" w14:textId="63FDD9C7" w:rsidR="0068368E" w:rsidRDefault="008402C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 w:line="276" w:lineRule="auto"/>
      </w:pPr>
      <w:r>
        <w:t>Před záhozem vodovodní přípojky bude tato přípojka geodeticky zaměřena (data budou v souřadném systému S-JTSK ve formátu DGN).</w:t>
      </w:r>
    </w:p>
    <w:p w14:paraId="0ED93838" w14:textId="77777777" w:rsidR="00894FC8" w:rsidRDefault="00894FC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200" w:line="276" w:lineRule="auto"/>
      </w:pPr>
    </w:p>
    <w:p w14:paraId="2A872C54" w14:textId="77777777" w:rsidR="0068368E" w:rsidRDefault="008402C4">
      <w:pPr>
        <w:pStyle w:val="Nadpis1"/>
        <w:numPr>
          <w:ilvl w:val="0"/>
          <w:numId w:val="1"/>
        </w:numPr>
        <w:rPr>
          <w:rFonts w:ascii="Roboto" w:eastAsia="Roboto" w:hAnsi="Roboto" w:cs="Roboto"/>
        </w:rPr>
      </w:pPr>
      <w:bookmarkStart w:id="18" w:name="_Toc113967885"/>
      <w:r>
        <w:rPr>
          <w:rFonts w:ascii="Roboto" w:eastAsia="Roboto" w:hAnsi="Roboto" w:cs="Roboto"/>
        </w:rPr>
        <w:t>Výkresová část</w:t>
      </w:r>
      <w:bookmarkEnd w:id="18"/>
    </w:p>
    <w:p w14:paraId="2A872C55" w14:textId="77777777" w:rsidR="0068368E" w:rsidRDefault="0068368E"/>
    <w:tbl>
      <w:tblPr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5385"/>
        <w:gridCol w:w="1140"/>
        <w:gridCol w:w="1440"/>
      </w:tblGrid>
      <w:tr w:rsidR="0068368E" w14:paraId="2A872C57" w14:textId="77777777" w:rsidTr="0045648D">
        <w:tc>
          <w:tcPr>
            <w:tcW w:w="9345" w:type="dxa"/>
            <w:gridSpan w:val="4"/>
            <w:shd w:val="clear" w:color="auto" w:fill="BFBFBF"/>
          </w:tcPr>
          <w:p w14:paraId="2A872C56" w14:textId="1FC5C51F" w:rsidR="0068368E" w:rsidRDefault="008402C4">
            <w:pPr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Seznam výkresů </w:t>
            </w:r>
            <w:r w:rsidR="00AD0648">
              <w:rPr>
                <w:b/>
                <w:sz w:val="24"/>
                <w:szCs w:val="24"/>
              </w:rPr>
              <w:t>SO 06 Přípojka vody</w:t>
            </w:r>
          </w:p>
        </w:tc>
      </w:tr>
      <w:tr w:rsidR="0068368E" w14:paraId="2A872C5C" w14:textId="77777777" w:rsidTr="0045648D">
        <w:tc>
          <w:tcPr>
            <w:tcW w:w="1380" w:type="dxa"/>
            <w:shd w:val="clear" w:color="auto" w:fill="BFBFBF"/>
          </w:tcPr>
          <w:p w14:paraId="2A872C58" w14:textId="77777777" w:rsidR="0068368E" w:rsidRDefault="008402C4">
            <w:pPr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Ozn.</w:t>
            </w:r>
          </w:p>
        </w:tc>
        <w:tc>
          <w:tcPr>
            <w:tcW w:w="5385" w:type="dxa"/>
            <w:shd w:val="clear" w:color="auto" w:fill="BFBFBF"/>
          </w:tcPr>
          <w:p w14:paraId="2A872C59" w14:textId="77777777" w:rsidR="0068368E" w:rsidRDefault="008402C4">
            <w:pPr>
              <w:spacing w:before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výkresu</w:t>
            </w:r>
          </w:p>
        </w:tc>
        <w:tc>
          <w:tcPr>
            <w:tcW w:w="1140" w:type="dxa"/>
            <w:shd w:val="clear" w:color="auto" w:fill="BFBFBF"/>
          </w:tcPr>
          <w:p w14:paraId="2A872C5A" w14:textId="77777777" w:rsidR="0068368E" w:rsidRDefault="008402C4">
            <w:pPr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Měřítko</w:t>
            </w:r>
          </w:p>
        </w:tc>
        <w:tc>
          <w:tcPr>
            <w:tcW w:w="1440" w:type="dxa"/>
            <w:shd w:val="clear" w:color="auto" w:fill="BFBFBF"/>
          </w:tcPr>
          <w:p w14:paraId="2A872C5B" w14:textId="77777777" w:rsidR="0068368E" w:rsidRDefault="008402C4">
            <w:pPr>
              <w:spacing w:before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Formát</w:t>
            </w:r>
          </w:p>
        </w:tc>
      </w:tr>
      <w:tr w:rsidR="0068368E" w14:paraId="2A872C61" w14:textId="77777777" w:rsidTr="0045648D">
        <w:tc>
          <w:tcPr>
            <w:tcW w:w="1380" w:type="dxa"/>
          </w:tcPr>
          <w:p w14:paraId="2A872C5D" w14:textId="7777777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01</w:t>
            </w:r>
          </w:p>
        </w:tc>
        <w:tc>
          <w:tcPr>
            <w:tcW w:w="5385" w:type="dxa"/>
          </w:tcPr>
          <w:p w14:paraId="2A872C5E" w14:textId="0F1921DD" w:rsidR="0068368E" w:rsidRPr="00641FB8" w:rsidRDefault="00BA0C2A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Podélný profil vodovodní přípojky</w:t>
            </w:r>
          </w:p>
        </w:tc>
        <w:tc>
          <w:tcPr>
            <w:tcW w:w="1140" w:type="dxa"/>
          </w:tcPr>
          <w:p w14:paraId="2A872C5F" w14:textId="7777777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1:75</w:t>
            </w:r>
          </w:p>
        </w:tc>
        <w:tc>
          <w:tcPr>
            <w:tcW w:w="1440" w:type="dxa"/>
          </w:tcPr>
          <w:p w14:paraId="2A872C60" w14:textId="015B929D" w:rsidR="0068368E" w:rsidRPr="00641FB8" w:rsidRDefault="008200CC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90</w:t>
            </w:r>
            <w:r w:rsidR="008402C4" w:rsidRPr="00641FB8">
              <w:rPr>
                <w:sz w:val="24"/>
                <w:szCs w:val="24"/>
              </w:rPr>
              <w:t>0/297</w:t>
            </w:r>
          </w:p>
        </w:tc>
      </w:tr>
      <w:tr w:rsidR="0068368E" w14:paraId="2A872C66" w14:textId="77777777" w:rsidTr="0045648D">
        <w:tc>
          <w:tcPr>
            <w:tcW w:w="1380" w:type="dxa"/>
          </w:tcPr>
          <w:p w14:paraId="2A872C62" w14:textId="7777777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02</w:t>
            </w:r>
          </w:p>
        </w:tc>
        <w:tc>
          <w:tcPr>
            <w:tcW w:w="5385" w:type="dxa"/>
          </w:tcPr>
          <w:p w14:paraId="2A872C63" w14:textId="28FC01FC" w:rsidR="0068368E" w:rsidRPr="00641FB8" w:rsidRDefault="00655416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Příčný řez – vodovodní přípojka</w:t>
            </w:r>
          </w:p>
        </w:tc>
        <w:tc>
          <w:tcPr>
            <w:tcW w:w="1140" w:type="dxa"/>
          </w:tcPr>
          <w:p w14:paraId="2A872C64" w14:textId="74197E0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1:</w:t>
            </w:r>
            <w:r w:rsidR="00AD0648" w:rsidRPr="00641FB8">
              <w:rPr>
                <w:sz w:val="24"/>
                <w:szCs w:val="24"/>
              </w:rPr>
              <w:t>3</w:t>
            </w:r>
            <w:r w:rsidR="0046353F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14:paraId="2A872C65" w14:textId="3B0AA4B0" w:rsidR="0068368E" w:rsidRPr="00641FB8" w:rsidRDefault="00F92F79" w:rsidP="00F92F79">
            <w:pPr>
              <w:spacing w:before="0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 xml:space="preserve">   210</w:t>
            </w:r>
            <w:r w:rsidR="008402C4" w:rsidRPr="00641FB8">
              <w:rPr>
                <w:sz w:val="24"/>
                <w:szCs w:val="24"/>
              </w:rPr>
              <w:t>/297</w:t>
            </w:r>
          </w:p>
        </w:tc>
      </w:tr>
      <w:tr w:rsidR="0068368E" w14:paraId="2A872C6B" w14:textId="77777777" w:rsidTr="0045648D">
        <w:tc>
          <w:tcPr>
            <w:tcW w:w="1380" w:type="dxa"/>
          </w:tcPr>
          <w:p w14:paraId="2A872C67" w14:textId="7777777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03</w:t>
            </w:r>
          </w:p>
        </w:tc>
        <w:tc>
          <w:tcPr>
            <w:tcW w:w="5385" w:type="dxa"/>
          </w:tcPr>
          <w:p w14:paraId="2A872C68" w14:textId="6C7714C1" w:rsidR="0068368E" w:rsidRPr="00641FB8" w:rsidRDefault="004707F4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Kladečské schéma vodovodní přípojky</w:t>
            </w:r>
          </w:p>
        </w:tc>
        <w:tc>
          <w:tcPr>
            <w:tcW w:w="1140" w:type="dxa"/>
          </w:tcPr>
          <w:p w14:paraId="2A872C69" w14:textId="40F40209" w:rsidR="0068368E" w:rsidRPr="00641FB8" w:rsidRDefault="0034011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A872C6A" w14:textId="293F7F00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420/297</w:t>
            </w:r>
          </w:p>
        </w:tc>
      </w:tr>
      <w:tr w:rsidR="0068368E" w14:paraId="2A872C70" w14:textId="77777777" w:rsidTr="0045648D">
        <w:tc>
          <w:tcPr>
            <w:tcW w:w="1380" w:type="dxa"/>
          </w:tcPr>
          <w:p w14:paraId="2A872C6C" w14:textId="77777777" w:rsidR="0068368E" w:rsidRPr="00641FB8" w:rsidRDefault="008402C4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04</w:t>
            </w:r>
          </w:p>
        </w:tc>
        <w:tc>
          <w:tcPr>
            <w:tcW w:w="5385" w:type="dxa"/>
          </w:tcPr>
          <w:p w14:paraId="2A872C6D" w14:textId="6709B288" w:rsidR="0068368E" w:rsidRPr="00641FB8" w:rsidRDefault="008402C4">
            <w:pPr>
              <w:spacing w:before="0"/>
              <w:jc w:val="left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P</w:t>
            </w:r>
            <w:r w:rsidR="0034011B" w:rsidRPr="00641FB8">
              <w:rPr>
                <w:sz w:val="24"/>
                <w:szCs w:val="24"/>
              </w:rPr>
              <w:t>rostorové uspořádání podzemních sítí</w:t>
            </w:r>
          </w:p>
        </w:tc>
        <w:tc>
          <w:tcPr>
            <w:tcW w:w="1140" w:type="dxa"/>
          </w:tcPr>
          <w:p w14:paraId="2A872C6E" w14:textId="7D0B4929" w:rsidR="0068368E" w:rsidRPr="00641FB8" w:rsidRDefault="0034011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2A872C6F" w14:textId="42BE3687" w:rsidR="0068368E" w:rsidRPr="00641FB8" w:rsidRDefault="0034011B">
            <w:pPr>
              <w:spacing w:before="0"/>
              <w:jc w:val="center"/>
              <w:rPr>
                <w:b/>
                <w:sz w:val="24"/>
                <w:szCs w:val="24"/>
              </w:rPr>
            </w:pPr>
            <w:r w:rsidRPr="00641FB8">
              <w:rPr>
                <w:sz w:val="24"/>
                <w:szCs w:val="24"/>
              </w:rPr>
              <w:t>210</w:t>
            </w:r>
            <w:r w:rsidR="008402C4" w:rsidRPr="00641FB8">
              <w:rPr>
                <w:sz w:val="24"/>
                <w:szCs w:val="24"/>
              </w:rPr>
              <w:t>/297</w:t>
            </w:r>
          </w:p>
        </w:tc>
      </w:tr>
    </w:tbl>
    <w:p w14:paraId="2A872C8F" w14:textId="77777777" w:rsidR="0068368E" w:rsidRDefault="0068368E"/>
    <w:p w14:paraId="3AE4515B" w14:textId="77777777" w:rsidR="00894FC8" w:rsidRDefault="00894FC8"/>
    <w:p w14:paraId="1EE5071E" w14:textId="77777777" w:rsidR="00894FC8" w:rsidRDefault="00894FC8"/>
    <w:p w14:paraId="0F39B83F" w14:textId="77777777" w:rsidR="00894FC8" w:rsidRDefault="00894FC8"/>
    <w:p w14:paraId="1802C6CB" w14:textId="77777777" w:rsidR="00894FC8" w:rsidRDefault="00894FC8"/>
    <w:p w14:paraId="2A872C90" w14:textId="77777777" w:rsidR="0068368E" w:rsidRDefault="0068368E">
      <w:pPr>
        <w:pStyle w:val="Nadpis1"/>
        <w:rPr>
          <w:rFonts w:ascii="Roboto" w:eastAsia="Roboto" w:hAnsi="Roboto" w:cs="Roboto"/>
        </w:rPr>
      </w:pPr>
    </w:p>
    <w:p w14:paraId="2A872C91" w14:textId="66C78A17" w:rsidR="0068368E" w:rsidRDefault="008402C4">
      <w:r>
        <w:t xml:space="preserve">V Opavě, </w:t>
      </w:r>
      <w:r w:rsidR="00712E8C">
        <w:t>0</w:t>
      </w:r>
      <w:r w:rsidR="00EF42EE">
        <w:t>8</w:t>
      </w:r>
      <w:r w:rsidR="00712E8C">
        <w:t>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2E8C">
        <w:t>Vypracoval</w:t>
      </w:r>
      <w:r w:rsidR="00712E8C" w:rsidRPr="00712E8C">
        <w:t>:</w:t>
      </w:r>
      <w:r w:rsidR="00712E8C">
        <w:t xml:space="preserve"> Bc. Martin Jašek</w:t>
      </w:r>
    </w:p>
    <w:sectPr w:rsidR="0068368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7657" w14:textId="77777777" w:rsidR="002F338A" w:rsidRDefault="002F338A">
      <w:pPr>
        <w:spacing w:before="0"/>
      </w:pPr>
      <w:r>
        <w:separator/>
      </w:r>
    </w:p>
  </w:endnote>
  <w:endnote w:type="continuationSeparator" w:id="0">
    <w:p w14:paraId="6E2D4591" w14:textId="77777777" w:rsidR="002F338A" w:rsidRDefault="002F338A">
      <w:pPr>
        <w:spacing w:before="0"/>
      </w:pPr>
      <w:r>
        <w:continuationSeparator/>
      </w:r>
    </w:p>
  </w:endnote>
  <w:endnote w:type="continuationNotice" w:id="1">
    <w:p w14:paraId="022A2D3F" w14:textId="77777777" w:rsidR="002F338A" w:rsidRDefault="002F338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2C9B" w14:textId="77777777" w:rsidR="0068368E" w:rsidRDefault="0068368E">
    <w:pPr>
      <w:pBdr>
        <w:top w:val="nil"/>
        <w:left w:val="nil"/>
        <w:bottom w:val="nil"/>
        <w:right w:val="nil"/>
        <w:between w:val="nil"/>
      </w:pBdr>
      <w:spacing w:before="0" w:line="288" w:lineRule="auto"/>
      <w:jc w:val="left"/>
      <w:rPr>
        <w:color w:val="000000"/>
        <w:sz w:val="16"/>
        <w:szCs w:val="16"/>
      </w:rPr>
    </w:pPr>
  </w:p>
  <w:p w14:paraId="43BEE497" w14:textId="77F5E8D4" w:rsidR="00C64173" w:rsidRPr="00900978" w:rsidRDefault="00C64173" w:rsidP="00C64173">
    <w:pPr>
      <w:spacing w:before="0" w:line="288" w:lineRule="auto"/>
      <w:rPr>
        <w:rFonts w:eastAsia="Trebuchet MS" w:cs="Trebuchet MS"/>
        <w:sz w:val="16"/>
        <w:szCs w:val="16"/>
      </w:rPr>
    </w:pPr>
    <w:r w:rsidRPr="00900978">
      <w:rPr>
        <w:rFonts w:eastAsia="Trebuchet MS" w:cs="Trebuchet MS"/>
        <w:sz w:val="16"/>
        <w:szCs w:val="16"/>
      </w:rPr>
      <w:t xml:space="preserve">Akce: </w:t>
    </w:r>
    <w:r w:rsidR="00314454" w:rsidRPr="00314454">
      <w:rPr>
        <w:rFonts w:eastAsia="Trebuchet MS" w:cs="Trebuchet MS"/>
        <w:sz w:val="16"/>
        <w:szCs w:val="16"/>
      </w:rPr>
      <w:t>Novostavba budovy "G"</w:t>
    </w:r>
    <w:r w:rsidR="00314454">
      <w:rPr>
        <w:rFonts w:eastAsia="Trebuchet MS" w:cs="Trebuchet MS"/>
        <w:sz w:val="16"/>
        <w:szCs w:val="16"/>
      </w:rPr>
      <w:t xml:space="preserve"> </w:t>
    </w:r>
    <w:r w:rsidRPr="00900978">
      <w:rPr>
        <w:rFonts w:eastAsia="Trebuchet MS" w:cs="Trebuchet MS"/>
        <w:sz w:val="16"/>
        <w:szCs w:val="16"/>
      </w:rPr>
      <w:t xml:space="preserve">parc. č. 132/97, 132/98, 132/99, 132/100 k.ú. Nová ulice, Olomouc </w:t>
    </w:r>
    <w:r w:rsidRPr="00900978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7536A186" wp14:editId="4BDF8FC9">
              <wp:simplePos x="0" y="0"/>
              <wp:positionH relativeFrom="column">
                <wp:posOffset>114300</wp:posOffset>
              </wp:positionH>
              <wp:positionV relativeFrom="paragraph">
                <wp:posOffset>-50799</wp:posOffset>
              </wp:positionV>
              <wp:extent cx="5740400" cy="12700"/>
              <wp:effectExtent l="0" t="0" r="0" b="0"/>
              <wp:wrapNone/>
              <wp:docPr id="1" name="Volný tvar: obrazec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70403" y="3779683"/>
                        <a:ext cx="5751195" cy="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51195" h="635" extrusionOk="0">
                            <a:moveTo>
                              <a:pt x="0" y="0"/>
                            </a:moveTo>
                            <a:lnTo>
                              <a:pt x="5751195" y="635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AC1CF3" id="Volný tvar: obrazec 1" o:spid="_x0000_s1026" style="position:absolute;margin-left:9pt;margin-top:-4pt;width:452pt;height: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511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" path="m,l5751195,635e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0D54470E" w14:textId="77777777" w:rsidR="00C64173" w:rsidRPr="00900978" w:rsidRDefault="00C64173" w:rsidP="00C64173">
    <w:pPr>
      <w:spacing w:before="0" w:line="288" w:lineRule="auto"/>
      <w:rPr>
        <w:rFonts w:eastAsia="Trebuchet MS" w:cs="Trebuchet MS"/>
        <w:sz w:val="16"/>
        <w:szCs w:val="16"/>
        <w:highlight w:val="yellow"/>
      </w:rPr>
    </w:pPr>
    <w:r w:rsidRPr="00900978">
      <w:rPr>
        <w:rFonts w:eastAsia="Trebuchet MS" w:cs="Trebuchet MS"/>
        <w:sz w:val="16"/>
        <w:szCs w:val="16"/>
      </w:rPr>
      <w:t xml:space="preserve">Stavebník: </w:t>
    </w:r>
    <w:r w:rsidRPr="00E14BDB">
      <w:rPr>
        <w:rFonts w:eastAsia="Trebuchet MS" w:cs="Trebuchet MS"/>
        <w:sz w:val="16"/>
        <w:szCs w:val="16"/>
      </w:rPr>
      <w:t>Fakultní nemocnice Olomouc, I. P. Pavlova 185/6, 779 00 Olomouc</w:t>
    </w:r>
  </w:p>
  <w:p w14:paraId="2A872C9E" w14:textId="781717B5" w:rsidR="0068368E" w:rsidRDefault="008402C4">
    <w:pPr>
      <w:tabs>
        <w:tab w:val="right" w:pos="9072"/>
      </w:tabs>
      <w:spacing w:before="0"/>
      <w:jc w:val="center"/>
      <w:rPr>
        <w:color w:val="BFBFBF"/>
        <w:sz w:val="14"/>
        <w:szCs w:val="14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C6417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C64173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3FC6" w14:textId="77777777" w:rsidR="002F338A" w:rsidRDefault="002F338A">
      <w:pPr>
        <w:spacing w:before="0"/>
      </w:pPr>
      <w:r>
        <w:separator/>
      </w:r>
    </w:p>
  </w:footnote>
  <w:footnote w:type="continuationSeparator" w:id="0">
    <w:p w14:paraId="1D294FFB" w14:textId="77777777" w:rsidR="002F338A" w:rsidRDefault="002F338A">
      <w:pPr>
        <w:spacing w:before="0"/>
      </w:pPr>
      <w:r>
        <w:continuationSeparator/>
      </w:r>
    </w:p>
  </w:footnote>
  <w:footnote w:type="continuationNotice" w:id="1">
    <w:p w14:paraId="4BDB2760" w14:textId="77777777" w:rsidR="002F338A" w:rsidRDefault="002F338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963C" w14:textId="47E320D9" w:rsidR="00C827A0" w:rsidRDefault="00C827A0" w:rsidP="00C827A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before="0" w:after="240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Style STUDIO s.r.o., Ing.arch. Petr Gottwald</w:t>
    </w:r>
    <w:r>
      <w:rPr>
        <w:rFonts w:ascii="Calibri" w:eastAsia="Calibri" w:hAnsi="Calibri" w:cs="Calibri"/>
        <w:sz w:val="16"/>
        <w:szCs w:val="16"/>
      </w:rPr>
      <w:t>, Újezd 9a, Prostějov, Tel/Fax: 582 338 062</w:t>
    </w:r>
  </w:p>
  <w:p w14:paraId="2A872C9A" w14:textId="221EEE6A" w:rsidR="0068368E" w:rsidRPr="00C827A0" w:rsidRDefault="00116C24" w:rsidP="00C827A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before="0"/>
      <w:jc w:val="center"/>
      <w:rPr>
        <w:rFonts w:ascii="Calibri" w:eastAsia="Calibri" w:hAnsi="Calibri" w:cs="Calibri"/>
      </w:rPr>
    </w:pPr>
    <w:r>
      <w:pict w14:anchorId="3425BAF8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54EB4"/>
    <w:multiLevelType w:val="multilevel"/>
    <w:tmpl w:val="3362A5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28190FD8"/>
    <w:multiLevelType w:val="multilevel"/>
    <w:tmpl w:val="1A98A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674FCF"/>
    <w:multiLevelType w:val="multilevel"/>
    <w:tmpl w:val="16169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221F03"/>
    <w:multiLevelType w:val="multilevel"/>
    <w:tmpl w:val="C8DC47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257C26"/>
    <w:multiLevelType w:val="multilevel"/>
    <w:tmpl w:val="44803DF0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85065091">
    <w:abstractNumId w:val="0"/>
  </w:num>
  <w:num w:numId="2" w16cid:durableId="648363598">
    <w:abstractNumId w:val="2"/>
  </w:num>
  <w:num w:numId="3" w16cid:durableId="1272978061">
    <w:abstractNumId w:val="4"/>
  </w:num>
  <w:num w:numId="4" w16cid:durableId="398670124">
    <w:abstractNumId w:val="3"/>
  </w:num>
  <w:num w:numId="5" w16cid:durableId="150570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8E"/>
    <w:rsid w:val="000448E3"/>
    <w:rsid w:val="00050D1F"/>
    <w:rsid w:val="0005588E"/>
    <w:rsid w:val="00060DB0"/>
    <w:rsid w:val="00070140"/>
    <w:rsid w:val="000735C4"/>
    <w:rsid w:val="00086366"/>
    <w:rsid w:val="00095B53"/>
    <w:rsid w:val="000F1284"/>
    <w:rsid w:val="00103982"/>
    <w:rsid w:val="00106523"/>
    <w:rsid w:val="0011050F"/>
    <w:rsid w:val="00116C24"/>
    <w:rsid w:val="0014456E"/>
    <w:rsid w:val="00164ECA"/>
    <w:rsid w:val="0017188E"/>
    <w:rsid w:val="00173C21"/>
    <w:rsid w:val="00176880"/>
    <w:rsid w:val="001860B4"/>
    <w:rsid w:val="001C053B"/>
    <w:rsid w:val="001C0693"/>
    <w:rsid w:val="001E48FD"/>
    <w:rsid w:val="00203163"/>
    <w:rsid w:val="00203F64"/>
    <w:rsid w:val="002536BC"/>
    <w:rsid w:val="00260131"/>
    <w:rsid w:val="00266072"/>
    <w:rsid w:val="0027105F"/>
    <w:rsid w:val="00280F39"/>
    <w:rsid w:val="00290C71"/>
    <w:rsid w:val="002B1994"/>
    <w:rsid w:val="002E3F68"/>
    <w:rsid w:val="002E4B4A"/>
    <w:rsid w:val="002F074D"/>
    <w:rsid w:val="002F338A"/>
    <w:rsid w:val="00301A4A"/>
    <w:rsid w:val="00307431"/>
    <w:rsid w:val="003112B0"/>
    <w:rsid w:val="00314454"/>
    <w:rsid w:val="003154F1"/>
    <w:rsid w:val="00336B2A"/>
    <w:rsid w:val="0034011B"/>
    <w:rsid w:val="003462F5"/>
    <w:rsid w:val="00351358"/>
    <w:rsid w:val="00352EBA"/>
    <w:rsid w:val="003655DE"/>
    <w:rsid w:val="00370096"/>
    <w:rsid w:val="00374382"/>
    <w:rsid w:val="00376716"/>
    <w:rsid w:val="003A38E8"/>
    <w:rsid w:val="003B06DF"/>
    <w:rsid w:val="003C6E70"/>
    <w:rsid w:val="00406535"/>
    <w:rsid w:val="00435306"/>
    <w:rsid w:val="004366B5"/>
    <w:rsid w:val="0044235F"/>
    <w:rsid w:val="00442A06"/>
    <w:rsid w:val="004431AF"/>
    <w:rsid w:val="00454017"/>
    <w:rsid w:val="0045648D"/>
    <w:rsid w:val="0046353F"/>
    <w:rsid w:val="004707F4"/>
    <w:rsid w:val="004717B3"/>
    <w:rsid w:val="004A1DA6"/>
    <w:rsid w:val="004E5A78"/>
    <w:rsid w:val="005021D3"/>
    <w:rsid w:val="00510250"/>
    <w:rsid w:val="00516F8C"/>
    <w:rsid w:val="00525C8F"/>
    <w:rsid w:val="00541C5C"/>
    <w:rsid w:val="00541CE0"/>
    <w:rsid w:val="005504AA"/>
    <w:rsid w:val="0056165D"/>
    <w:rsid w:val="00567ACD"/>
    <w:rsid w:val="00573821"/>
    <w:rsid w:val="005772D5"/>
    <w:rsid w:val="00583A6B"/>
    <w:rsid w:val="00590567"/>
    <w:rsid w:val="005929FB"/>
    <w:rsid w:val="005A4F5E"/>
    <w:rsid w:val="005B470C"/>
    <w:rsid w:val="005E04C3"/>
    <w:rsid w:val="005F5A7E"/>
    <w:rsid w:val="00614E88"/>
    <w:rsid w:val="00634786"/>
    <w:rsid w:val="00641FB8"/>
    <w:rsid w:val="00651A69"/>
    <w:rsid w:val="00655416"/>
    <w:rsid w:val="00656231"/>
    <w:rsid w:val="0068368E"/>
    <w:rsid w:val="006F5A1F"/>
    <w:rsid w:val="00712E8C"/>
    <w:rsid w:val="007164CC"/>
    <w:rsid w:val="00721797"/>
    <w:rsid w:val="00724489"/>
    <w:rsid w:val="00725AF3"/>
    <w:rsid w:val="007403B6"/>
    <w:rsid w:val="00757244"/>
    <w:rsid w:val="007669E4"/>
    <w:rsid w:val="0078661D"/>
    <w:rsid w:val="007B68D5"/>
    <w:rsid w:val="007D18F1"/>
    <w:rsid w:val="007D1C3D"/>
    <w:rsid w:val="007D7BD1"/>
    <w:rsid w:val="007F2693"/>
    <w:rsid w:val="007F7317"/>
    <w:rsid w:val="00805D94"/>
    <w:rsid w:val="00806439"/>
    <w:rsid w:val="008073D1"/>
    <w:rsid w:val="008076CD"/>
    <w:rsid w:val="00812CBD"/>
    <w:rsid w:val="008200CC"/>
    <w:rsid w:val="008215B0"/>
    <w:rsid w:val="008402C4"/>
    <w:rsid w:val="00894FC8"/>
    <w:rsid w:val="008959C3"/>
    <w:rsid w:val="008B069E"/>
    <w:rsid w:val="008B20BA"/>
    <w:rsid w:val="008C08FD"/>
    <w:rsid w:val="008C14BB"/>
    <w:rsid w:val="008E0123"/>
    <w:rsid w:val="00906B56"/>
    <w:rsid w:val="00972158"/>
    <w:rsid w:val="0098604D"/>
    <w:rsid w:val="00986F0E"/>
    <w:rsid w:val="009C28CF"/>
    <w:rsid w:val="00A10D80"/>
    <w:rsid w:val="00A14F41"/>
    <w:rsid w:val="00A17044"/>
    <w:rsid w:val="00A353F6"/>
    <w:rsid w:val="00A63258"/>
    <w:rsid w:val="00A66C0C"/>
    <w:rsid w:val="00A70580"/>
    <w:rsid w:val="00A835EA"/>
    <w:rsid w:val="00A87F91"/>
    <w:rsid w:val="00A92DD2"/>
    <w:rsid w:val="00AC09B6"/>
    <w:rsid w:val="00AD0648"/>
    <w:rsid w:val="00B30AC5"/>
    <w:rsid w:val="00B35E8B"/>
    <w:rsid w:val="00B36920"/>
    <w:rsid w:val="00B7708E"/>
    <w:rsid w:val="00B9355B"/>
    <w:rsid w:val="00B94D1E"/>
    <w:rsid w:val="00BA0C2A"/>
    <w:rsid w:val="00BA6843"/>
    <w:rsid w:val="00BD09EA"/>
    <w:rsid w:val="00BE6173"/>
    <w:rsid w:val="00C01E49"/>
    <w:rsid w:val="00C12B8D"/>
    <w:rsid w:val="00C30CF9"/>
    <w:rsid w:val="00C3419B"/>
    <w:rsid w:val="00C34470"/>
    <w:rsid w:val="00C51051"/>
    <w:rsid w:val="00C64173"/>
    <w:rsid w:val="00C827A0"/>
    <w:rsid w:val="00C838B2"/>
    <w:rsid w:val="00C85219"/>
    <w:rsid w:val="00C852A0"/>
    <w:rsid w:val="00CA102B"/>
    <w:rsid w:val="00CB0A6A"/>
    <w:rsid w:val="00CE0512"/>
    <w:rsid w:val="00CF6CDB"/>
    <w:rsid w:val="00D039BB"/>
    <w:rsid w:val="00D55048"/>
    <w:rsid w:val="00D663CD"/>
    <w:rsid w:val="00D74305"/>
    <w:rsid w:val="00D960B1"/>
    <w:rsid w:val="00D966A1"/>
    <w:rsid w:val="00DB6CA5"/>
    <w:rsid w:val="00DC7471"/>
    <w:rsid w:val="00DD1C07"/>
    <w:rsid w:val="00DE1FDC"/>
    <w:rsid w:val="00DF0549"/>
    <w:rsid w:val="00DF2E87"/>
    <w:rsid w:val="00E2311E"/>
    <w:rsid w:val="00E313CF"/>
    <w:rsid w:val="00E3144D"/>
    <w:rsid w:val="00E3172C"/>
    <w:rsid w:val="00E91B77"/>
    <w:rsid w:val="00E9514B"/>
    <w:rsid w:val="00EE0D6D"/>
    <w:rsid w:val="00EE6136"/>
    <w:rsid w:val="00EF42EE"/>
    <w:rsid w:val="00F12EC4"/>
    <w:rsid w:val="00F1696D"/>
    <w:rsid w:val="00F329F5"/>
    <w:rsid w:val="00F3682D"/>
    <w:rsid w:val="00F4619A"/>
    <w:rsid w:val="00F90FCB"/>
    <w:rsid w:val="00F92F79"/>
    <w:rsid w:val="00F97E2A"/>
    <w:rsid w:val="00FA3B5D"/>
    <w:rsid w:val="00FA5747"/>
    <w:rsid w:val="00FB525C"/>
    <w:rsid w:val="00FD6F07"/>
    <w:rsid w:val="00FE143F"/>
    <w:rsid w:val="00FE5AB3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72BBC"/>
  <w15:docId w15:val="{C73E1CA7-DC1E-48C4-8DB3-2F078660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lang w:val="cs-CZ" w:eastAsia="cs-CZ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200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00"/>
      <w:outlineLvl w:val="3"/>
    </w:pPr>
    <w:rPr>
      <w:b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C838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uiPriority w:val="10"/>
    <w:qFormat/>
    <w:pPr>
      <w:pBdr>
        <w:bottom w:val="single" w:sz="8" w:space="4" w:color="4F81BD"/>
      </w:pBdr>
      <w:spacing w:before="0"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Ind w:w="0" w:type="nil"/>
    </w:tblPr>
  </w:style>
  <w:style w:type="paragraph" w:styleId="Zhlav">
    <w:name w:val="header"/>
    <w:basedOn w:val="Normln"/>
    <w:link w:val="ZhlavChar"/>
    <w:uiPriority w:val="99"/>
    <w:unhideWhenUsed/>
    <w:rsid w:val="00C64173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64173"/>
  </w:style>
  <w:style w:type="paragraph" w:styleId="Zpat">
    <w:name w:val="footer"/>
    <w:basedOn w:val="Normln"/>
    <w:link w:val="ZpatChar"/>
    <w:uiPriority w:val="99"/>
    <w:unhideWhenUsed/>
    <w:rsid w:val="00C64173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64173"/>
  </w:style>
  <w:style w:type="paragraph" w:styleId="Odstavecseseznamem">
    <w:name w:val="List Paragraph"/>
    <w:basedOn w:val="Normln"/>
    <w:uiPriority w:val="34"/>
    <w:qFormat/>
    <w:rsid w:val="00BA6843"/>
    <w:pPr>
      <w:ind w:left="720"/>
      <w:contextualSpacing/>
    </w:pPr>
  </w:style>
  <w:style w:type="table" w:customStyle="1" w:styleId="TableNormal1">
    <w:name w:val="Table Normal1"/>
    <w:rsid w:val="00812C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rsid w:val="00E91B77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91B77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E91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11074</Characters>
  <Application>Microsoft Office Word</Application>
  <DocSecurity>0</DocSecurity>
  <Lines>92</Lines>
  <Paragraphs>25</Paragraphs>
  <ScaleCrop>false</ScaleCrop>
  <Company/>
  <LinksUpToDate>false</LinksUpToDate>
  <CharactersWithSpaces>12925</CharactersWithSpaces>
  <SharedDoc>false</SharedDoc>
  <HLinks>
    <vt:vector size="114" baseType="variant">
      <vt:variant>
        <vt:i4>4390953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_3j2qqm3</vt:lpwstr>
      </vt:variant>
      <vt:variant>
        <vt:i4>3145819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_z337ya</vt:lpwstr>
      </vt:variant>
      <vt:variant>
        <vt:i4>5898295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_2jxsxqh</vt:lpwstr>
      </vt:variant>
      <vt:variant>
        <vt:i4>4587627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_44sinio</vt:lpwstr>
      </vt:variant>
      <vt:variant>
        <vt:i4>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_1ksv4uv</vt:lpwstr>
      </vt:variant>
      <vt:variant>
        <vt:i4>1704047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_35nkun2</vt:lpwstr>
      </vt:variant>
      <vt:variant>
        <vt:i4>7209043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_lnxbz9</vt:lpwstr>
      </vt:variant>
      <vt:variant>
        <vt:i4>852085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_26in1rg</vt:lpwstr>
      </vt:variant>
      <vt:variant>
        <vt:i4>4915236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_3rdcrjn</vt:lpwstr>
      </vt:variant>
      <vt:variant>
        <vt:i4>4325414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_2s8eyo1</vt:lpwstr>
      </vt:variant>
      <vt:variant>
        <vt:i4>5242984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_4d34og8</vt:lpwstr>
      </vt:variant>
      <vt:variant>
        <vt:i4>5308464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_1t3h5sf</vt:lpwstr>
      </vt:variant>
      <vt:variant>
        <vt:i4>5308518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_3dy6vkm</vt:lpwstr>
      </vt:variant>
      <vt:variant>
        <vt:i4>6881349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_tyjcwt</vt:lpwstr>
      </vt:variant>
      <vt:variant>
        <vt:i4>4456563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_2et92p0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_3znysh7</vt:lpwstr>
      </vt:variant>
      <vt:variant>
        <vt:i4>131119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_1fob9te</vt:lpwstr>
      </vt:variant>
      <vt:variant>
        <vt:i4>5177395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_30j0zll</vt:lpwstr>
      </vt:variant>
      <vt:variant>
        <vt:i4>8061010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_gjdgxs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zaměstnanec</dc:creator>
  <cp:keywords/>
  <cp:lastModifiedBy>Bc. Martin Jašek</cp:lastModifiedBy>
  <cp:revision>2</cp:revision>
  <cp:lastPrinted>2023-02-28T10:44:00Z</cp:lastPrinted>
  <dcterms:created xsi:type="dcterms:W3CDTF">2023-03-03T09:54:00Z</dcterms:created>
  <dcterms:modified xsi:type="dcterms:W3CDTF">2023-03-03T09:54:00Z</dcterms:modified>
</cp:coreProperties>
</file>