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87" w:rsidRPr="00455987" w:rsidRDefault="00455987" w:rsidP="00F033FA">
      <w:pPr>
        <w:jc w:val="center"/>
        <w:rPr>
          <w:b/>
          <w:sz w:val="28"/>
          <w:szCs w:val="28"/>
        </w:rPr>
      </w:pPr>
    </w:p>
    <w:p w:rsidR="00F033FA" w:rsidRDefault="00F033FA" w:rsidP="00F033FA">
      <w:pPr>
        <w:jc w:val="center"/>
        <w:rPr>
          <w:b/>
          <w:sz w:val="40"/>
          <w:szCs w:val="40"/>
        </w:rPr>
      </w:pPr>
      <w:r w:rsidRPr="00D97D7B">
        <w:rPr>
          <w:b/>
          <w:sz w:val="40"/>
          <w:szCs w:val="40"/>
        </w:rPr>
        <w:t>SMLOUVA</w:t>
      </w:r>
      <w:r>
        <w:rPr>
          <w:b/>
          <w:sz w:val="40"/>
          <w:szCs w:val="40"/>
        </w:rPr>
        <w:t xml:space="preserve"> O </w:t>
      </w:r>
      <w:r w:rsidR="00634582">
        <w:rPr>
          <w:b/>
          <w:sz w:val="40"/>
          <w:szCs w:val="40"/>
        </w:rPr>
        <w:t xml:space="preserve">ZPRACOVÁNÍ </w:t>
      </w:r>
      <w:r w:rsidR="00512B98">
        <w:rPr>
          <w:b/>
          <w:sz w:val="40"/>
          <w:szCs w:val="40"/>
        </w:rPr>
        <w:t>PROJEKTOVÉ DOKUMENTACE</w:t>
      </w:r>
    </w:p>
    <w:p w:rsidR="00D64F4F" w:rsidRPr="00D64F4F" w:rsidRDefault="00D64F4F" w:rsidP="00F033FA">
      <w:pPr>
        <w:jc w:val="center"/>
      </w:pPr>
      <w:r>
        <w:t>dle ust. 1746 odst. 2 zák. č. 89/2012 sb., občanského zákoníku</w:t>
      </w:r>
    </w:p>
    <w:p w:rsidR="00F033FA" w:rsidRPr="00D97D7B" w:rsidRDefault="00F033FA" w:rsidP="00183115">
      <w:pPr>
        <w:pStyle w:val="Nadpisodstavce"/>
      </w:pPr>
      <w:r>
        <w:t xml:space="preserve">I. </w:t>
      </w:r>
      <w:r w:rsidRPr="00D97D7B">
        <w:t>Smluvní strany</w:t>
      </w:r>
    </w:p>
    <w:p w:rsidR="00F033FA" w:rsidRPr="00D97D7B" w:rsidRDefault="00F033FA" w:rsidP="00F033FA">
      <w:pPr>
        <w:pStyle w:val="Odstavec"/>
        <w:rPr>
          <w:b/>
          <w:szCs w:val="24"/>
        </w:rPr>
      </w:pPr>
      <w:r>
        <w:rPr>
          <w:b/>
        </w:rPr>
        <w:t>Fakultní nemocnice Olomouc</w:t>
      </w:r>
    </w:p>
    <w:p w:rsidR="00F033FA" w:rsidRPr="00D97D7B" w:rsidRDefault="00F033FA" w:rsidP="00F033FA">
      <w:pPr>
        <w:ind w:firstLine="709"/>
      </w:pPr>
      <w:r w:rsidRPr="00D97D7B">
        <w:t xml:space="preserve">se sídlem: </w:t>
      </w:r>
      <w:r>
        <w:t>I. P. Pavlova 185/6, 779 00 Olomouc – Nová Ulice</w:t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  <w:r>
        <w:t>00098892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>
        <w:rPr>
          <w:bCs/>
          <w:iCs/>
        </w:rPr>
        <w:t>CZ00098892</w:t>
      </w:r>
      <w:r w:rsidRPr="00D97D7B">
        <w:rPr>
          <w:bCs/>
          <w:iCs/>
        </w:rPr>
        <w:t>,</w:t>
      </w:r>
    </w:p>
    <w:p w:rsidR="00F033FA" w:rsidRDefault="00F033FA" w:rsidP="00F033FA">
      <w:pPr>
        <w:ind w:left="709"/>
      </w:pPr>
      <w:r>
        <w:t>právní forma:</w:t>
      </w:r>
      <w:r>
        <w:tab/>
        <w:t>příspěvková organizace</w:t>
      </w:r>
    </w:p>
    <w:p w:rsidR="00F033FA" w:rsidRDefault="00F033FA" w:rsidP="00F033FA">
      <w:pPr>
        <w:ind w:firstLine="709"/>
      </w:pPr>
      <w:r>
        <w:t>zastoupená</w:t>
      </w:r>
      <w:r w:rsidRPr="00D97D7B">
        <w:t>:</w:t>
      </w:r>
      <w:r w:rsidRPr="00D97D7B">
        <w:tab/>
      </w:r>
      <w:r>
        <w:t>doc. MUDr. Romanem Havlíkem, Ph.D., ředitelem</w:t>
      </w:r>
    </w:p>
    <w:p w:rsidR="00F033FA" w:rsidRPr="00D97D7B" w:rsidRDefault="00F033FA" w:rsidP="00E7583F">
      <w:pPr>
        <w:jc w:val="right"/>
      </w:pPr>
    </w:p>
    <w:p w:rsidR="00F033FA" w:rsidRPr="00D97D7B" w:rsidRDefault="00F033FA" w:rsidP="00F033FA">
      <w:pPr>
        <w:ind w:firstLine="709"/>
      </w:pPr>
      <w:r w:rsidRPr="00D97D7B">
        <w:t>na straně jedné, dále ve smlouvě jako „</w:t>
      </w:r>
      <w:r>
        <w:rPr>
          <w:b/>
        </w:rPr>
        <w:t>objednatel</w:t>
      </w:r>
      <w:r w:rsidRPr="00D97D7B">
        <w:t>“</w:t>
      </w:r>
    </w:p>
    <w:p w:rsidR="00F033FA" w:rsidRPr="00D97D7B" w:rsidRDefault="00F033FA" w:rsidP="00F033FA">
      <w:pPr>
        <w:jc w:val="center"/>
      </w:pPr>
    </w:p>
    <w:p w:rsidR="00F033FA" w:rsidRPr="00D97D7B" w:rsidRDefault="00F033FA" w:rsidP="00F033FA">
      <w:pPr>
        <w:jc w:val="center"/>
        <w:rPr>
          <w:b/>
        </w:rPr>
      </w:pPr>
      <w:r w:rsidRPr="00D97D7B">
        <w:rPr>
          <w:b/>
        </w:rPr>
        <w:t>a</w:t>
      </w:r>
    </w:p>
    <w:p w:rsidR="00F033FA" w:rsidRPr="00D97D7B" w:rsidRDefault="00F033FA" w:rsidP="00F033FA"/>
    <w:p w:rsidR="00F033FA" w:rsidRPr="00A9786A" w:rsidRDefault="00F033FA" w:rsidP="00F033FA">
      <w:pPr>
        <w:pStyle w:val="Odstavec"/>
        <w:rPr>
          <w:b/>
          <w:szCs w:val="24"/>
        </w:rPr>
      </w:pPr>
      <w:r>
        <w:rPr>
          <w:b/>
          <w:szCs w:val="24"/>
        </w:rPr>
        <w:t>…………………………………….</w:t>
      </w:r>
    </w:p>
    <w:p w:rsidR="00F033FA" w:rsidRPr="00D97D7B" w:rsidRDefault="00F033FA" w:rsidP="00F033FA">
      <w:pPr>
        <w:pStyle w:val="Odstavec"/>
        <w:numPr>
          <w:ilvl w:val="0"/>
          <w:numId w:val="0"/>
        </w:numPr>
        <w:ind w:firstLine="709"/>
      </w:pPr>
      <w:r w:rsidRPr="00D97D7B">
        <w:t xml:space="preserve">se </w:t>
      </w:r>
      <w:r w:rsidRPr="00D97D7B">
        <w:rPr>
          <w:rFonts w:cs="Arial"/>
          <w:szCs w:val="24"/>
        </w:rPr>
        <w:t>sídlem</w:t>
      </w:r>
      <w:r w:rsidRPr="00D97D7B">
        <w:t xml:space="preserve">: </w:t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</w:p>
    <w:p w:rsidR="00F033FA" w:rsidRPr="00D97D7B" w:rsidRDefault="00F033FA" w:rsidP="00F033FA">
      <w:pPr>
        <w:ind w:firstLine="709"/>
      </w:pPr>
      <w:r w:rsidRPr="00D97D7B">
        <w:t>č. účtu:</w:t>
      </w:r>
      <w:r w:rsidRPr="00D97D7B">
        <w:rPr>
          <w:rFonts w:cs="Arial"/>
        </w:rPr>
        <w:t xml:space="preserve"> </w:t>
      </w:r>
      <w:r>
        <w:rPr>
          <w:rFonts w:cs="Arial"/>
        </w:rPr>
        <w:t>………………</w:t>
      </w:r>
      <w:r>
        <w:t>, vedený u ……………………….</w:t>
      </w:r>
    </w:p>
    <w:p w:rsidR="00F033FA" w:rsidRPr="00D97D7B" w:rsidRDefault="00F033FA" w:rsidP="00F033FA">
      <w:pPr>
        <w:ind w:left="709"/>
      </w:pPr>
      <w:r w:rsidRPr="00D97D7B">
        <w:t xml:space="preserve">společnost je zapsaná v obchodním rejstříku vedeném </w:t>
      </w:r>
      <w:r>
        <w:rPr>
          <w:rFonts w:cs="Arial"/>
        </w:rPr>
        <w:t>…………………………….</w:t>
      </w:r>
      <w:r w:rsidRPr="00D97D7B">
        <w:t xml:space="preserve">, vložka </w:t>
      </w:r>
      <w:r>
        <w:rPr>
          <w:rFonts w:cs="Arial"/>
        </w:rPr>
        <w:t>………………….</w:t>
      </w:r>
    </w:p>
    <w:p w:rsidR="00F033FA" w:rsidRPr="002D4F02" w:rsidRDefault="00F033FA" w:rsidP="00F033FA">
      <w:pPr>
        <w:ind w:firstLine="709"/>
        <w:rPr>
          <w:i/>
        </w:rPr>
      </w:pPr>
      <w:r>
        <w:t>zastoupená</w:t>
      </w:r>
      <w:r w:rsidRPr="00D97D7B">
        <w:t>:</w:t>
      </w:r>
      <w:r>
        <w:t xml:space="preserve"> ………………………</w:t>
      </w:r>
      <w:r w:rsidRPr="00D97D7B">
        <w:t xml:space="preserve">, </w:t>
      </w:r>
      <w:r>
        <w:t xml:space="preserve">…………………. </w:t>
      </w:r>
      <w:r w:rsidRPr="008F27C6">
        <w:rPr>
          <w:i/>
        </w:rPr>
        <w:t>/funkce/</w:t>
      </w:r>
    </w:p>
    <w:p w:rsidR="00F033FA" w:rsidRPr="00D97D7B" w:rsidRDefault="00F033FA" w:rsidP="00F033FA"/>
    <w:p w:rsidR="00F033FA" w:rsidRPr="00D97D7B" w:rsidRDefault="00F033FA" w:rsidP="00F033FA">
      <w:pPr>
        <w:ind w:firstLine="709"/>
      </w:pPr>
      <w:r w:rsidRPr="00D97D7B">
        <w:t>na straně druhé, dále ve smlouvě jako „</w:t>
      </w:r>
      <w:r w:rsidRPr="00D97D7B">
        <w:rPr>
          <w:b/>
        </w:rPr>
        <w:t>p</w:t>
      </w:r>
      <w:r>
        <w:rPr>
          <w:b/>
        </w:rPr>
        <w:t>oskytovatel</w:t>
      </w:r>
      <w:r w:rsidRPr="00D97D7B">
        <w:t>“,</w:t>
      </w:r>
    </w:p>
    <w:p w:rsidR="00F033FA" w:rsidRPr="00D97D7B" w:rsidRDefault="00F033FA" w:rsidP="00F033FA">
      <w:pPr>
        <w:jc w:val="both"/>
      </w:pPr>
    </w:p>
    <w:p w:rsidR="008B1A6B" w:rsidRDefault="00F033FA" w:rsidP="00F033FA">
      <w:pPr>
        <w:jc w:val="center"/>
      </w:pPr>
      <w:r w:rsidRPr="00D97D7B">
        <w:t xml:space="preserve">společně v textu též „smluvní strany“, uzavřeli níže uvedeného dne, měsíce a roku, tuto smlouvu </w:t>
      </w:r>
      <w:r w:rsidR="008B1A6B">
        <w:t xml:space="preserve">o </w:t>
      </w:r>
      <w:r w:rsidR="00634582">
        <w:t>zpracování studie</w:t>
      </w:r>
    </w:p>
    <w:p w:rsidR="00F033FA" w:rsidRDefault="00F033FA" w:rsidP="00F033FA">
      <w:pPr>
        <w:jc w:val="center"/>
      </w:pPr>
      <w:r w:rsidRPr="00D97D7B">
        <w:t>(dále jen „</w:t>
      </w:r>
      <w:r w:rsidRPr="00D97D7B">
        <w:rPr>
          <w:b/>
        </w:rPr>
        <w:t>smlouva</w:t>
      </w:r>
      <w:r w:rsidRPr="00D97D7B">
        <w:t>“):</w:t>
      </w:r>
    </w:p>
    <w:p w:rsidR="00651D77" w:rsidRDefault="00651D77" w:rsidP="00F033FA">
      <w:pPr>
        <w:jc w:val="center"/>
      </w:pPr>
    </w:p>
    <w:p w:rsidR="00651D77" w:rsidRPr="00D97D7B" w:rsidRDefault="00651D77" w:rsidP="00F033FA">
      <w:pPr>
        <w:jc w:val="center"/>
      </w:pPr>
    </w:p>
    <w:p w:rsidR="00F033FA" w:rsidRPr="00D97D7B" w:rsidRDefault="00F033FA" w:rsidP="00183115">
      <w:pPr>
        <w:pStyle w:val="Nadpisodstavce"/>
      </w:pPr>
      <w:bookmarkStart w:id="0" w:name="_Ref200507351"/>
      <w:r>
        <w:t xml:space="preserve">II. </w:t>
      </w:r>
      <w:r w:rsidRPr="00D97D7B">
        <w:t>Úvodní ustanovení</w:t>
      </w:r>
    </w:p>
    <w:p w:rsidR="00F033FA" w:rsidRPr="007323DA" w:rsidRDefault="00F033FA" w:rsidP="00F033FA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</w:p>
    <w:p w:rsidR="00F033FA" w:rsidRDefault="00F033FA" w:rsidP="008B1A6B">
      <w:pPr>
        <w:pStyle w:val="Odstavec"/>
        <w:numPr>
          <w:ilvl w:val="1"/>
          <w:numId w:val="3"/>
        </w:numPr>
        <w:ind w:left="709" w:hanging="709"/>
      </w:pPr>
      <w:r w:rsidRPr="00D97D7B">
        <w:t xml:space="preserve">Zúčastněné smluvní </w:t>
      </w:r>
      <w:r w:rsidRPr="007323DA">
        <w:rPr>
          <w:rFonts w:cs="Arial"/>
          <w:szCs w:val="24"/>
        </w:rPr>
        <w:t>strany</w:t>
      </w:r>
      <w:r w:rsidRPr="00D97D7B"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13063D" w:rsidRPr="0013063D" w:rsidRDefault="00F033FA" w:rsidP="00543828">
      <w:pPr>
        <w:pStyle w:val="Odstavec"/>
        <w:ind w:left="709"/>
      </w:pPr>
      <w:r>
        <w:t xml:space="preserve">Tato smlouva je uzavírána na základě výsledků </w:t>
      </w:r>
      <w:r w:rsidR="00DC3EFB">
        <w:t>veřejné zakázky malého rozsahu zahájené objednatelem jako veřejným zadavatelem s </w:t>
      </w:r>
      <w:r w:rsidR="00DC3EFB" w:rsidRPr="009E145D">
        <w:t xml:space="preserve">názvem </w:t>
      </w:r>
      <w:r w:rsidR="00DC3EFB" w:rsidRPr="009E145D">
        <w:rPr>
          <w:b/>
        </w:rPr>
        <w:t>„</w:t>
      </w:r>
      <w:r w:rsidR="00512B98">
        <w:rPr>
          <w:b/>
        </w:rPr>
        <w:t xml:space="preserve">Zpracování </w:t>
      </w:r>
      <w:r w:rsidR="00A75214">
        <w:rPr>
          <w:b/>
        </w:rPr>
        <w:t>p</w:t>
      </w:r>
      <w:r w:rsidR="00512B98">
        <w:rPr>
          <w:b/>
        </w:rPr>
        <w:t xml:space="preserve">rojektové dokumentace </w:t>
      </w:r>
      <w:r w:rsidR="00A75214">
        <w:rPr>
          <w:b/>
        </w:rPr>
        <w:t xml:space="preserve">pro výběr zhotovitele </w:t>
      </w:r>
      <w:r w:rsidR="00512B98">
        <w:rPr>
          <w:b/>
        </w:rPr>
        <w:t>– část …………………………………</w:t>
      </w:r>
      <w:r w:rsidR="00DC3EFB" w:rsidRPr="009E145D">
        <w:rPr>
          <w:b/>
        </w:rPr>
        <w:t>“</w:t>
      </w:r>
      <w:r w:rsidR="00DC3EFB" w:rsidRPr="009E145D">
        <w:t>.</w:t>
      </w:r>
      <w:r w:rsidR="00DC3EFB">
        <w:t xml:space="preserve"> V případě, že je v této smlouvě </w:t>
      </w:r>
      <w:r w:rsidR="00DC3EFB">
        <w:lastRenderedPageBreak/>
        <w:t xml:space="preserve">odkazováno na zadávací dokumentaci, má se na mysli zadávací </w:t>
      </w:r>
      <w:r w:rsidR="0093321D">
        <w:t xml:space="preserve">dokumentace </w:t>
      </w:r>
      <w:r w:rsidR="00DC3EFB">
        <w:t>vztahující se k uvedené veřejné zakázce.</w:t>
      </w:r>
    </w:p>
    <w:p w:rsidR="00F033FA" w:rsidRDefault="0013063D" w:rsidP="00543828">
      <w:pPr>
        <w:pStyle w:val="Odstavec"/>
        <w:ind w:left="709"/>
      </w:pPr>
      <w:r>
        <w:t xml:space="preserve">Poskytovatel je </w:t>
      </w:r>
      <w:r w:rsidRPr="0013063D">
        <w:t xml:space="preserve">povinen při realizaci </w:t>
      </w:r>
      <w:r>
        <w:t>předmětu smlouvy</w:t>
      </w:r>
      <w:r w:rsidRPr="0013063D">
        <w:t xml:space="preserve"> postupovat s řádnou odbornou péčí a chránit zájmy objednatele podle svých nejlepších profesních znalostí a schopností.</w:t>
      </w:r>
    </w:p>
    <w:p w:rsidR="00455987" w:rsidRDefault="00455987" w:rsidP="00543828">
      <w:pPr>
        <w:pStyle w:val="Odstavec"/>
        <w:numPr>
          <w:ilvl w:val="0"/>
          <w:numId w:val="0"/>
        </w:numPr>
        <w:ind w:left="709" w:hanging="720"/>
      </w:pPr>
    </w:p>
    <w:p w:rsidR="00F033FA" w:rsidRPr="00D97D7B" w:rsidRDefault="00F033FA" w:rsidP="00183115">
      <w:pPr>
        <w:pStyle w:val="Nadpisodstavce"/>
      </w:pPr>
      <w:bookmarkStart w:id="1" w:name="_Ref167689330"/>
      <w:bookmarkEnd w:id="0"/>
      <w:r>
        <w:t xml:space="preserve">III. </w:t>
      </w:r>
      <w:r w:rsidRPr="00D97D7B">
        <w:t>Předmět smlouvy</w:t>
      </w:r>
    </w:p>
    <w:p w:rsidR="00F033FA" w:rsidRPr="007323DA" w:rsidRDefault="00F033FA" w:rsidP="00F033FA">
      <w:pPr>
        <w:pStyle w:val="Odstavecseseznamem"/>
        <w:numPr>
          <w:ilvl w:val="0"/>
          <w:numId w:val="1"/>
        </w:numPr>
        <w:spacing w:before="60"/>
        <w:jc w:val="both"/>
        <w:rPr>
          <w:vanish/>
          <w:szCs w:val="22"/>
        </w:rPr>
      </w:pPr>
    </w:p>
    <w:p w:rsidR="00850C7C" w:rsidRPr="00850C7C" w:rsidRDefault="00F033FA" w:rsidP="00543828">
      <w:pPr>
        <w:pStyle w:val="Odstavec"/>
        <w:ind w:left="709"/>
        <w:rPr>
          <w:b/>
          <w:color w:val="000000"/>
        </w:rPr>
      </w:pPr>
      <w:r w:rsidRPr="00D97D7B">
        <w:t xml:space="preserve">Předmětem smlouvy je závazek </w:t>
      </w:r>
      <w:r>
        <w:t xml:space="preserve">poskytovatele </w:t>
      </w:r>
      <w:r w:rsidR="00C24A54">
        <w:t>dodat</w:t>
      </w:r>
      <w:r>
        <w:t xml:space="preserve"> pro objednatele </w:t>
      </w:r>
      <w:r w:rsidR="008D3805">
        <w:t xml:space="preserve">dle požadavků zadávací dokumentace </w:t>
      </w:r>
      <w:r w:rsidR="00512B98">
        <w:rPr>
          <w:b/>
        </w:rPr>
        <w:t xml:space="preserve">prováděcí projektovou </w:t>
      </w:r>
      <w:r w:rsidR="00A75214">
        <w:rPr>
          <w:b/>
        </w:rPr>
        <w:t xml:space="preserve">dokumentaci pro výběr dodavatele </w:t>
      </w:r>
      <w:r w:rsidR="0003649A">
        <w:rPr>
          <w:b/>
          <w:sz w:val="22"/>
        </w:rPr>
        <w:t xml:space="preserve">v tištěné i elektronické </w:t>
      </w:r>
      <w:r w:rsidR="009545C2">
        <w:rPr>
          <w:b/>
          <w:sz w:val="22"/>
        </w:rPr>
        <w:t xml:space="preserve">editovatelné </w:t>
      </w:r>
      <w:r w:rsidR="0003649A">
        <w:rPr>
          <w:b/>
          <w:sz w:val="22"/>
        </w:rPr>
        <w:t>formě</w:t>
      </w:r>
      <w:r w:rsidRPr="001C6227">
        <w:t xml:space="preserve"> </w:t>
      </w:r>
      <w:r w:rsidRPr="009A7153">
        <w:t>(dále jen „</w:t>
      </w:r>
      <w:r w:rsidRPr="009A7153">
        <w:rPr>
          <w:b/>
        </w:rPr>
        <w:t>předmět plnění</w:t>
      </w:r>
      <w:r w:rsidRPr="009A7153">
        <w:t xml:space="preserve">“), závazek </w:t>
      </w:r>
      <w:r>
        <w:t>poskytovatele</w:t>
      </w:r>
      <w:r w:rsidRPr="009A7153">
        <w:t xml:space="preserve"> převést na </w:t>
      </w:r>
      <w:r w:rsidR="005A42F1">
        <w:t xml:space="preserve">objednatele </w:t>
      </w:r>
      <w:r w:rsidR="00850C7C">
        <w:t>vlastnické právo k hmotným součástem</w:t>
      </w:r>
      <w:r w:rsidRPr="009A7153">
        <w:t xml:space="preserve"> předmětu plnění</w:t>
      </w:r>
      <w:r w:rsidR="00850C7C">
        <w:t xml:space="preserve"> včetně oprávnění k nerušenému užívání součástí plnění představující nehmotné součásti předmětu plnění</w:t>
      </w:r>
      <w:r w:rsidRPr="009A7153">
        <w:t xml:space="preserve"> a závazek </w:t>
      </w:r>
      <w:r>
        <w:t>objednatele</w:t>
      </w:r>
      <w:r w:rsidRPr="009A7153">
        <w:t xml:space="preserve"> zaplatit </w:t>
      </w:r>
      <w:r>
        <w:t>poskytovateli</w:t>
      </w:r>
      <w:r w:rsidRPr="009A7153">
        <w:t xml:space="preserve"> </w:t>
      </w:r>
      <w:r>
        <w:t>dohodnutou</w:t>
      </w:r>
      <w:r w:rsidRPr="009A7153">
        <w:t xml:space="preserve"> cenu. </w:t>
      </w:r>
    </w:p>
    <w:p w:rsidR="00651D77" w:rsidRPr="00455987" w:rsidRDefault="00F033FA" w:rsidP="0093321D">
      <w:pPr>
        <w:pStyle w:val="Odstavec"/>
        <w:ind w:left="709" w:hanging="567"/>
        <w:rPr>
          <w:b/>
          <w:color w:val="000000"/>
        </w:rPr>
      </w:pPr>
      <w:r>
        <w:t xml:space="preserve">Poskytovatel </w:t>
      </w:r>
      <w:r w:rsidRPr="005A3F39">
        <w:t>potvrzuje, že jsou mu známy veškeré technické, kvalitativní a jiné podmínky nezbytné k</w:t>
      </w:r>
      <w:r>
        <w:t> poskytování služeb</w:t>
      </w:r>
      <w:r w:rsidRPr="005A3F39">
        <w:t xml:space="preserve"> dle této smlouvy a že disponuje takovými odbornými znalostmi, které jsou k</w:t>
      </w:r>
      <w:r>
        <w:t xml:space="preserve"> poskytování služeb </w:t>
      </w:r>
      <w:r w:rsidRPr="005A3F39">
        <w:t>nezbytné.</w:t>
      </w:r>
      <w:r w:rsidRPr="00850C7C">
        <w:t xml:space="preserve"> Bude-li součástí poskytování služeb poskytnutí plnění, k němuž je nezbytné převedení vlastnického či jiného práva, garantuje poskytovatel, že takové plnění poskytuje se</w:t>
      </w:r>
      <w:r w:rsidR="00850C7C">
        <w:t xml:space="preserve"> všemi</w:t>
      </w:r>
      <w:r w:rsidRPr="00232B5C">
        <w:t xml:space="preserve"> právy nutnými k jeho řádnému a nerušenému nakládání a užívání </w:t>
      </w:r>
      <w:r w:rsidRPr="00850C7C">
        <w:t>objednatele</w:t>
      </w:r>
      <w:r w:rsidRPr="00232B5C">
        <w:t xml:space="preserve">m. </w:t>
      </w:r>
      <w:r w:rsidRPr="00850C7C">
        <w:rPr>
          <w:szCs w:val="24"/>
        </w:rPr>
        <w:t xml:space="preserve">Součástí takového plnění je </w:t>
      </w:r>
      <w:r w:rsidR="00850C7C">
        <w:t>uvedení do provozu.</w:t>
      </w:r>
    </w:p>
    <w:p w:rsidR="00455987" w:rsidRPr="0093321D" w:rsidRDefault="00455987" w:rsidP="00455987">
      <w:pPr>
        <w:pStyle w:val="Odstavec"/>
        <w:numPr>
          <w:ilvl w:val="0"/>
          <w:numId w:val="0"/>
        </w:numPr>
        <w:ind w:left="862" w:hanging="720"/>
        <w:rPr>
          <w:b/>
          <w:color w:val="000000"/>
        </w:rPr>
      </w:pPr>
    </w:p>
    <w:p w:rsidR="00F033FA" w:rsidRPr="00183115" w:rsidRDefault="00F033FA" w:rsidP="00183115">
      <w:pPr>
        <w:pStyle w:val="Nadpisodstavce"/>
      </w:pPr>
      <w:bookmarkStart w:id="2" w:name="_Ref201571027"/>
      <w:r>
        <w:t>IV. Doba a místo plnění</w:t>
      </w:r>
    </w:p>
    <w:p w:rsidR="004B4B0E" w:rsidRPr="004B4B0E" w:rsidRDefault="004B4B0E" w:rsidP="004B4B0E">
      <w:pPr>
        <w:pStyle w:val="Odstavecseseznamem"/>
        <w:numPr>
          <w:ilvl w:val="0"/>
          <w:numId w:val="1"/>
        </w:numPr>
        <w:spacing w:before="60"/>
        <w:jc w:val="both"/>
        <w:rPr>
          <w:vanish/>
          <w:szCs w:val="22"/>
        </w:rPr>
      </w:pPr>
    </w:p>
    <w:p w:rsidR="004B4B0E" w:rsidRPr="004B4B0E" w:rsidRDefault="000D4C5D" w:rsidP="004B4B0E">
      <w:pPr>
        <w:pStyle w:val="Odstavec"/>
        <w:rPr>
          <w:b/>
          <w:szCs w:val="24"/>
        </w:rPr>
      </w:pPr>
      <w:r>
        <w:t>Poskytovatel</w:t>
      </w:r>
      <w:r w:rsidR="004B4B0E" w:rsidRPr="00D97D7B">
        <w:t xml:space="preserve"> je povinen </w:t>
      </w:r>
      <w:r w:rsidR="00487BE7">
        <w:rPr>
          <w:bCs/>
        </w:rPr>
        <w:t xml:space="preserve">zahájit plnění předmětu smlouvy neprodleně po oboustranném podpisu smlouvy a </w:t>
      </w:r>
      <w:r w:rsidR="0093321D">
        <w:rPr>
          <w:bCs/>
        </w:rPr>
        <w:t xml:space="preserve">řádně provedené jej </w:t>
      </w:r>
      <w:r w:rsidR="00487BE7">
        <w:rPr>
          <w:bCs/>
        </w:rPr>
        <w:t xml:space="preserve">předat </w:t>
      </w:r>
      <w:r w:rsidR="0093321D">
        <w:rPr>
          <w:bCs/>
        </w:rPr>
        <w:t xml:space="preserve">objednateli </w:t>
      </w:r>
      <w:r w:rsidR="00487BE7">
        <w:rPr>
          <w:bCs/>
        </w:rPr>
        <w:t xml:space="preserve">do </w:t>
      </w:r>
      <w:r w:rsidR="00512B98">
        <w:rPr>
          <w:bCs/>
        </w:rPr>
        <w:t>60 dnů</w:t>
      </w:r>
      <w:r w:rsidR="00487BE7">
        <w:rPr>
          <w:bCs/>
        </w:rPr>
        <w:t xml:space="preserve"> od oboustranného podpisu této smlouvy.</w:t>
      </w:r>
    </w:p>
    <w:p w:rsidR="004B4B0E" w:rsidRPr="003B68E6" w:rsidRDefault="004B4B0E" w:rsidP="004B4B0E">
      <w:pPr>
        <w:pStyle w:val="Odstavec"/>
        <w:rPr>
          <w:szCs w:val="24"/>
        </w:rPr>
      </w:pPr>
      <w:r w:rsidRPr="003B68E6">
        <w:t xml:space="preserve">Místem dodání </w:t>
      </w:r>
      <w:r>
        <w:t xml:space="preserve">předmětu plnění </w:t>
      </w:r>
      <w:r w:rsidRPr="003B68E6">
        <w:t>je</w:t>
      </w:r>
      <w:r>
        <w:t>:</w:t>
      </w:r>
    </w:p>
    <w:p w:rsidR="004B4B0E" w:rsidRPr="000A56C0" w:rsidRDefault="004B4B0E" w:rsidP="000D4C5D">
      <w:pPr>
        <w:pStyle w:val="Odstavec"/>
        <w:numPr>
          <w:ilvl w:val="0"/>
          <w:numId w:val="0"/>
        </w:numPr>
        <w:ind w:left="720" w:firstLine="142"/>
        <w:rPr>
          <w:szCs w:val="24"/>
        </w:rPr>
      </w:pPr>
      <w:r>
        <w:t xml:space="preserve">Fakultní nemocnice Olomouc, </w:t>
      </w:r>
      <w:r w:rsidR="00512B98">
        <w:t>Od</w:t>
      </w:r>
      <w:r w:rsidR="00A75214">
        <w:t>dělení</w:t>
      </w:r>
      <w:r w:rsidR="00512B98">
        <w:t xml:space="preserve"> energetiky – Ing. Jan Eyer</w:t>
      </w:r>
      <w:r>
        <w:t xml:space="preserve"> </w:t>
      </w:r>
    </w:p>
    <w:p w:rsidR="004B4B0E" w:rsidRPr="003B68E6" w:rsidRDefault="004B4B0E" w:rsidP="004B4B0E">
      <w:pPr>
        <w:pStyle w:val="Odstavec"/>
        <w:rPr>
          <w:szCs w:val="24"/>
        </w:rPr>
      </w:pPr>
      <w:r w:rsidRPr="003B68E6">
        <w:t>Náklady na dodání</w:t>
      </w:r>
      <w:r>
        <w:t xml:space="preserve"> předmětu plnění do místa plnění jsou zahrnuty ve sjednané ceně.  </w:t>
      </w:r>
    </w:p>
    <w:p w:rsidR="004B4B0E" w:rsidRPr="00D97D7B" w:rsidRDefault="004B4B0E" w:rsidP="004B4B0E">
      <w:pPr>
        <w:pStyle w:val="Odstavec"/>
      </w:pPr>
      <w:r w:rsidRPr="00D97D7B">
        <w:t xml:space="preserve">K dodání </w:t>
      </w:r>
      <w:r>
        <w:t xml:space="preserve">předmětu plnění </w:t>
      </w:r>
      <w:r w:rsidRPr="00D97D7B">
        <w:t xml:space="preserve">dochází okamžikem převzetí </w:t>
      </w:r>
      <w:r>
        <w:t>předmětu plnění</w:t>
      </w:r>
      <w:r w:rsidRPr="00D97D7B">
        <w:t xml:space="preserve"> v místě dodání </w:t>
      </w:r>
      <w:r w:rsidR="00487BE7">
        <w:t>objednatelem</w:t>
      </w:r>
      <w:r w:rsidRPr="00D97D7B">
        <w:t xml:space="preserve"> a potvrzením dodacího listu oprávněným zaměstnancem </w:t>
      </w:r>
      <w:r w:rsidR="00487BE7">
        <w:t>objednatele</w:t>
      </w:r>
      <w:r w:rsidRPr="00D97D7B">
        <w:t>.</w:t>
      </w:r>
    </w:p>
    <w:p w:rsidR="004B4B0E" w:rsidRPr="000D082C" w:rsidRDefault="004B4B0E" w:rsidP="004B4B0E">
      <w:pPr>
        <w:pStyle w:val="Odstavec"/>
        <w:rPr>
          <w:szCs w:val="24"/>
        </w:rPr>
      </w:pPr>
      <w:r w:rsidRPr="00CF33EB">
        <w:t>Oka</w:t>
      </w:r>
      <w:r>
        <w:t xml:space="preserve">mžikem </w:t>
      </w:r>
      <w:r w:rsidRPr="00232B5C">
        <w:rPr>
          <w:szCs w:val="24"/>
        </w:rPr>
        <w:t>protokolárního</w:t>
      </w:r>
      <w:r w:rsidRPr="000D082C">
        <w:rPr>
          <w:szCs w:val="24"/>
        </w:rPr>
        <w:t xml:space="preserve"> </w:t>
      </w:r>
      <w:r>
        <w:t>převzetí předmětu plnění</w:t>
      </w:r>
      <w:r w:rsidRPr="00CF33EB">
        <w:t xml:space="preserve"> přechází na </w:t>
      </w:r>
      <w:r w:rsidR="008D5A48">
        <w:t>objednatele</w:t>
      </w:r>
      <w:r w:rsidRPr="00CF33EB">
        <w:t xml:space="preserve"> vlastnické právo ke </w:t>
      </w:r>
      <w:r w:rsidR="0093321D">
        <w:t>všem součástem plnění</w:t>
      </w:r>
      <w:r w:rsidR="0093321D" w:rsidRPr="00CF33EB">
        <w:t xml:space="preserve"> </w:t>
      </w:r>
      <w:r w:rsidRPr="00CF33EB">
        <w:t xml:space="preserve">a nebezpečí škody na </w:t>
      </w:r>
      <w:r w:rsidR="0093321D">
        <w:t>něm</w:t>
      </w:r>
      <w:r w:rsidRPr="00CF33EB">
        <w:t>.</w:t>
      </w:r>
      <w:r>
        <w:t xml:space="preserve"> </w:t>
      </w:r>
      <w:r w:rsidR="008D5A48">
        <w:t xml:space="preserve">Objednatel </w:t>
      </w:r>
      <w:r w:rsidRPr="000D082C">
        <w:t>není povinen převzít zboží či jeho část, která je poškozená či která jinak nesplňuje podm</w:t>
      </w:r>
      <w:r>
        <w:t>ínky této smlouvy</w:t>
      </w:r>
      <w:r w:rsidRPr="000D082C">
        <w:t>.</w:t>
      </w:r>
    </w:p>
    <w:p w:rsidR="00B47369" w:rsidRPr="00455987" w:rsidRDefault="004B4B0E" w:rsidP="0093321D">
      <w:pPr>
        <w:pStyle w:val="Odstavec"/>
        <w:rPr>
          <w:szCs w:val="24"/>
        </w:rPr>
      </w:pPr>
      <w:r w:rsidRPr="00D97D7B">
        <w:t xml:space="preserve">V případě prodlení </w:t>
      </w:r>
      <w:r w:rsidR="000D4C5D">
        <w:t>poskytovatele s poskytnutím služby, předáním</w:t>
      </w:r>
      <w:r>
        <w:t xml:space="preserve"> veškerých dokladů </w:t>
      </w:r>
      <w:r w:rsidRPr="00D97D7B">
        <w:t xml:space="preserve">je </w:t>
      </w:r>
      <w:r w:rsidR="00476FDA">
        <w:t>poskytovatel povinen zaplatit objednateli</w:t>
      </w:r>
      <w:r w:rsidRPr="00D97D7B">
        <w:t xml:space="preserve"> smluvní pokutu ve výši </w:t>
      </w:r>
      <w:r>
        <w:t>0,</w:t>
      </w:r>
      <w:r w:rsidR="00512B98">
        <w:t>5</w:t>
      </w:r>
      <w:r>
        <w:t xml:space="preserve">% ze sjednané ceny předmětu plnění </w:t>
      </w:r>
      <w:r w:rsidRPr="00D97D7B">
        <w:t>za</w:t>
      </w:r>
      <w:r>
        <w:t xml:space="preserve"> každý den prodlení.</w:t>
      </w:r>
    </w:p>
    <w:p w:rsidR="00455987" w:rsidRPr="0093321D" w:rsidRDefault="00455987" w:rsidP="00455987">
      <w:pPr>
        <w:pStyle w:val="Odstavec"/>
        <w:numPr>
          <w:ilvl w:val="0"/>
          <w:numId w:val="0"/>
        </w:numPr>
        <w:ind w:left="862" w:hanging="720"/>
        <w:rPr>
          <w:szCs w:val="24"/>
        </w:rPr>
      </w:pPr>
    </w:p>
    <w:p w:rsidR="00F033FA" w:rsidRPr="00D97D7B" w:rsidRDefault="00F033FA" w:rsidP="00183115">
      <w:pPr>
        <w:pStyle w:val="Nadpisodstavce"/>
      </w:pPr>
      <w:r>
        <w:lastRenderedPageBreak/>
        <w:t>V. C</w:t>
      </w:r>
      <w:r w:rsidRPr="00D97D7B">
        <w:t>ena a platební podmínky</w:t>
      </w:r>
      <w:bookmarkStart w:id="3" w:name="_Ref200451262"/>
      <w:bookmarkStart w:id="4" w:name="_Ref201571830"/>
      <w:bookmarkEnd w:id="2"/>
    </w:p>
    <w:p w:rsidR="00F033FA" w:rsidRPr="007323DA" w:rsidRDefault="00F033FA" w:rsidP="00F033FA">
      <w:pPr>
        <w:pStyle w:val="Odstavecseseznamem"/>
        <w:numPr>
          <w:ilvl w:val="0"/>
          <w:numId w:val="1"/>
        </w:numPr>
        <w:spacing w:before="60"/>
        <w:jc w:val="both"/>
        <w:rPr>
          <w:vanish/>
        </w:rPr>
      </w:pPr>
    </w:p>
    <w:p w:rsidR="00F033FA" w:rsidRDefault="00183115" w:rsidP="00183115">
      <w:pPr>
        <w:pStyle w:val="Odstavec"/>
        <w:numPr>
          <w:ilvl w:val="0"/>
          <w:numId w:val="0"/>
        </w:numPr>
      </w:pPr>
      <w:proofErr w:type="gramStart"/>
      <w:r w:rsidRPr="00183115">
        <w:rPr>
          <w:b/>
        </w:rPr>
        <w:t>5.1</w:t>
      </w:r>
      <w:proofErr w:type="gramEnd"/>
      <w:r w:rsidRPr="00183115">
        <w:rPr>
          <w:b/>
        </w:rPr>
        <w:t>.</w:t>
      </w:r>
      <w:r w:rsidRPr="00183115">
        <w:rPr>
          <w:b/>
        </w:rPr>
        <w:tab/>
      </w:r>
      <w:r w:rsidR="00F033FA">
        <w:t xml:space="preserve">Celková </w:t>
      </w:r>
      <w:r w:rsidR="00F033FA" w:rsidRPr="00D97D7B">
        <w:t xml:space="preserve">cena </w:t>
      </w:r>
      <w:r w:rsidR="00F033FA">
        <w:t xml:space="preserve">za </w:t>
      </w:r>
      <w:r w:rsidR="0093321D">
        <w:t xml:space="preserve">řádné dodání </w:t>
      </w:r>
      <w:r w:rsidR="00F033FA">
        <w:t>předmět</w:t>
      </w:r>
      <w:r w:rsidR="0093321D">
        <w:t>u</w:t>
      </w:r>
      <w:r w:rsidR="00F033FA">
        <w:t xml:space="preserve"> plnění činí </w:t>
      </w:r>
      <w:r w:rsidR="00F033FA">
        <w:rPr>
          <w:rFonts w:cs="Arial"/>
          <w:b/>
        </w:rPr>
        <w:t>……………………….</w:t>
      </w:r>
      <w:r w:rsidR="00F033FA">
        <w:rPr>
          <w:b/>
        </w:rPr>
        <w:t>,- Kč včetně</w:t>
      </w:r>
      <w:r w:rsidR="00F033FA" w:rsidRPr="00D97D7B">
        <w:rPr>
          <w:b/>
        </w:rPr>
        <w:t xml:space="preserve"> DPH</w:t>
      </w:r>
      <w:r w:rsidR="00F033FA">
        <w:rPr>
          <w:b/>
        </w:rPr>
        <w:t xml:space="preserve"> </w:t>
      </w:r>
      <w:r w:rsidR="00F033FA" w:rsidRPr="00B75CEE">
        <w:t>a je tvořena takto</w:t>
      </w:r>
      <w:r w:rsidR="00F033FA">
        <w:t>:</w:t>
      </w:r>
    </w:p>
    <w:p w:rsidR="00F033FA" w:rsidRDefault="00F033FA" w:rsidP="00F033FA">
      <w:pPr>
        <w:pStyle w:val="Odstavec"/>
        <w:numPr>
          <w:ilvl w:val="0"/>
          <w:numId w:val="0"/>
        </w:numPr>
        <w:ind w:left="720"/>
        <w:rPr>
          <w:szCs w:val="24"/>
        </w:rPr>
      </w:pPr>
    </w:p>
    <w:tbl>
      <w:tblPr>
        <w:tblW w:w="9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4"/>
        <w:gridCol w:w="1731"/>
        <w:gridCol w:w="1413"/>
        <w:gridCol w:w="1262"/>
        <w:gridCol w:w="1869"/>
      </w:tblGrid>
      <w:tr w:rsidR="00F033FA" w:rsidRPr="00CC13C8" w:rsidTr="00C24A54">
        <w:trPr>
          <w:jc w:val="center"/>
        </w:trPr>
        <w:tc>
          <w:tcPr>
            <w:tcW w:w="3624" w:type="dxa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Předmět plnění</w:t>
            </w:r>
          </w:p>
        </w:tc>
        <w:tc>
          <w:tcPr>
            <w:tcW w:w="1731" w:type="dxa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Bez DPH</w:t>
            </w:r>
          </w:p>
        </w:tc>
        <w:tc>
          <w:tcPr>
            <w:tcW w:w="1413" w:type="dxa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DPH 15 %</w:t>
            </w:r>
          </w:p>
        </w:tc>
        <w:tc>
          <w:tcPr>
            <w:tcW w:w="1262" w:type="dxa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DPH 21 %</w:t>
            </w:r>
          </w:p>
        </w:tc>
        <w:tc>
          <w:tcPr>
            <w:tcW w:w="1869" w:type="dxa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Včetně DPH</w:t>
            </w:r>
          </w:p>
        </w:tc>
      </w:tr>
      <w:tr w:rsidR="00F033FA" w:rsidRPr="00CC13C8" w:rsidTr="00C24A54">
        <w:trPr>
          <w:trHeight w:val="578"/>
          <w:jc w:val="center"/>
        </w:trPr>
        <w:tc>
          <w:tcPr>
            <w:tcW w:w="3624" w:type="dxa"/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</w:tr>
      <w:tr w:rsidR="00F033FA" w:rsidRPr="00CC13C8" w:rsidTr="00C24A54">
        <w:trPr>
          <w:trHeight w:val="578"/>
          <w:jc w:val="center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right"/>
              <w:rPr>
                <w:szCs w:val="24"/>
              </w:rPr>
            </w:pPr>
            <w:r w:rsidRPr="00F55D9D">
              <w:rPr>
                <w:szCs w:val="24"/>
              </w:rPr>
              <w:t>CELKEM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3FA" w:rsidRPr="00F55D9D" w:rsidRDefault="00F033FA" w:rsidP="00C24A54">
            <w:pPr>
              <w:pStyle w:val="Odstavec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</w:tr>
    </w:tbl>
    <w:p w:rsidR="00F033FA" w:rsidRDefault="00F033FA" w:rsidP="00F033FA">
      <w:pPr>
        <w:pStyle w:val="Odstavec"/>
        <w:numPr>
          <w:ilvl w:val="0"/>
          <w:numId w:val="0"/>
        </w:numPr>
        <w:ind w:left="720"/>
      </w:pPr>
    </w:p>
    <w:p w:rsidR="00183115" w:rsidRDefault="00183115" w:rsidP="00183115">
      <w:pPr>
        <w:pStyle w:val="Odstavec"/>
        <w:numPr>
          <w:ilvl w:val="0"/>
          <w:numId w:val="0"/>
        </w:numPr>
        <w:ind w:left="709" w:hanging="709"/>
      </w:pPr>
      <w:r w:rsidRPr="00183115">
        <w:rPr>
          <w:b/>
        </w:rPr>
        <w:t>5.2.</w:t>
      </w:r>
      <w:r>
        <w:tab/>
      </w:r>
      <w:r w:rsidR="00F033FA">
        <w:t>Cena je sjednána jako pevná a nejvýše přípustná a zahrnuje veškeré náklady, jejichž vynaložení je nutné na řádné a včasné splnění předmětu smlouvy, zejména případné náklady na dopravu, 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apod).</w:t>
      </w:r>
    </w:p>
    <w:p w:rsidR="00651D77" w:rsidRDefault="00183115" w:rsidP="0093321D">
      <w:pPr>
        <w:pStyle w:val="Odstavec"/>
        <w:numPr>
          <w:ilvl w:val="0"/>
          <w:numId w:val="0"/>
        </w:numPr>
        <w:ind w:left="709" w:hanging="709"/>
      </w:pPr>
      <w:r>
        <w:rPr>
          <w:b/>
        </w:rPr>
        <w:t>5.</w:t>
      </w:r>
      <w:r w:rsidRPr="00183115">
        <w:rPr>
          <w:b/>
        </w:rPr>
        <w:t>3.</w:t>
      </w:r>
      <w:r>
        <w:tab/>
      </w:r>
      <w:r w:rsidR="00F033FA">
        <w:t>C</w:t>
      </w:r>
      <w:r w:rsidR="00F033FA" w:rsidRPr="00811120">
        <w:t>ena je maximální a nemůže být navýšena ani v případě zvýšení sazby DPH.</w:t>
      </w:r>
    </w:p>
    <w:p w:rsidR="00455987" w:rsidRDefault="00455987" w:rsidP="0093321D">
      <w:pPr>
        <w:pStyle w:val="Odstavec"/>
        <w:numPr>
          <w:ilvl w:val="0"/>
          <w:numId w:val="0"/>
        </w:numPr>
        <w:ind w:left="709" w:hanging="709"/>
      </w:pPr>
    </w:p>
    <w:p w:rsidR="00455987" w:rsidRPr="00811120" w:rsidRDefault="00455987" w:rsidP="0093321D">
      <w:pPr>
        <w:pStyle w:val="Odstavec"/>
        <w:numPr>
          <w:ilvl w:val="0"/>
          <w:numId w:val="0"/>
        </w:numPr>
        <w:ind w:left="709" w:hanging="709"/>
      </w:pPr>
    </w:p>
    <w:p w:rsidR="00F033FA" w:rsidRDefault="00F033FA" w:rsidP="00183115">
      <w:pPr>
        <w:pStyle w:val="Nadpisodstavce"/>
      </w:pPr>
      <w:r>
        <w:t>VI. Platební podmínky</w:t>
      </w:r>
    </w:p>
    <w:p w:rsidR="00E66F86" w:rsidRDefault="00F033FA" w:rsidP="008D5A48">
      <w:pPr>
        <w:spacing w:before="60"/>
        <w:ind w:left="709" w:hanging="709"/>
        <w:jc w:val="both"/>
      </w:pPr>
      <w:proofErr w:type="gramStart"/>
      <w:r w:rsidRPr="00E66F86">
        <w:rPr>
          <w:b/>
        </w:rPr>
        <w:t>6.1</w:t>
      </w:r>
      <w:proofErr w:type="gramEnd"/>
      <w:r w:rsidRPr="00E66F86">
        <w:rPr>
          <w:b/>
        </w:rPr>
        <w:t>.</w:t>
      </w:r>
      <w:r w:rsidR="00E66F86" w:rsidRPr="00E66F86">
        <w:rPr>
          <w:b/>
        </w:rPr>
        <w:tab/>
      </w:r>
      <w:r w:rsidRPr="00E66F86">
        <w:t xml:space="preserve">Objednatel neposkytuje a </w:t>
      </w:r>
      <w:r w:rsidR="00E66F86">
        <w:t>p</w:t>
      </w:r>
      <w:r w:rsidRPr="00E66F86">
        <w:t>oskytovatel není oprávněn požadovat</w:t>
      </w:r>
      <w:r w:rsidRPr="00E66F86">
        <w:rPr>
          <w:color w:val="FF0000"/>
          <w:sz w:val="22"/>
        </w:rPr>
        <w:t xml:space="preserve"> </w:t>
      </w:r>
      <w:r w:rsidRPr="00E66F86">
        <w:t xml:space="preserve">zálohy. Cena bude </w:t>
      </w:r>
      <w:r w:rsidR="00E66F86">
        <w:t>o</w:t>
      </w:r>
      <w:r w:rsidRPr="00E66F86">
        <w:t xml:space="preserve">bjednatelem uhrazena na základě faktury vystavené </w:t>
      </w:r>
      <w:r w:rsidR="00E66F86">
        <w:t>p</w:t>
      </w:r>
      <w:r w:rsidRPr="00E66F86">
        <w:t xml:space="preserve">oskytovatelem a doručené </w:t>
      </w:r>
      <w:r w:rsidR="00E66F86">
        <w:t>o</w:t>
      </w:r>
      <w:r w:rsidRPr="00E66F86">
        <w:t xml:space="preserve">bjednateli. Poskytovatel je oprávněn fakturu vystavit nejdříve po </w:t>
      </w:r>
      <w:r w:rsidR="00E66F86">
        <w:t>řádném poskytnutí</w:t>
      </w:r>
      <w:r w:rsidRPr="00E66F86">
        <w:t xml:space="preserve"> </w:t>
      </w:r>
      <w:r w:rsidR="0093321D">
        <w:t>plnění</w:t>
      </w:r>
      <w:r w:rsidRPr="00E66F86">
        <w:t xml:space="preserve"> a odsouhlasení </w:t>
      </w:r>
      <w:r w:rsidR="0093321D">
        <w:t xml:space="preserve">dodávky </w:t>
      </w:r>
      <w:r w:rsidRPr="00E66F86">
        <w:t xml:space="preserve">předmětu plnění </w:t>
      </w:r>
      <w:r w:rsidR="00E66F86">
        <w:t>o</w:t>
      </w:r>
      <w:r w:rsidRPr="00E66F86">
        <w:t>bjednatelem.</w:t>
      </w:r>
    </w:p>
    <w:p w:rsidR="00E66F86" w:rsidRDefault="00F033FA" w:rsidP="00E66F86">
      <w:pPr>
        <w:pStyle w:val="Odstavec"/>
        <w:numPr>
          <w:ilvl w:val="0"/>
          <w:numId w:val="0"/>
        </w:numPr>
        <w:ind w:left="709" w:hanging="709"/>
        <w:rPr>
          <w:szCs w:val="24"/>
        </w:rPr>
      </w:pPr>
      <w:r w:rsidRPr="00E66F86">
        <w:rPr>
          <w:b/>
        </w:rPr>
        <w:t>6.2.</w:t>
      </w:r>
      <w:r w:rsidRPr="00E66F86">
        <w:t xml:space="preserve"> </w:t>
      </w:r>
      <w:r w:rsidR="00E66F86">
        <w:tab/>
      </w:r>
      <w:r w:rsidRPr="00E66F86">
        <w:t xml:space="preserve">Poskytovatel je povinen vystavit fakturu s náležitostmi daňového dokladu podle zákona č. 235/2004 Sb., o dani z přidané hodnoty, v platném znění a splatností 60 kalendářních dnů ode dne vystavení faktury </w:t>
      </w:r>
      <w:r w:rsidR="00E66F86">
        <w:t>o</w:t>
      </w:r>
      <w:r w:rsidRPr="00E66F86">
        <w:t xml:space="preserve">bjednateli a přílohu </w:t>
      </w:r>
      <w:r w:rsidR="00E66F86">
        <w:t>faktury bude kopie</w:t>
      </w:r>
      <w:r w:rsidRPr="00E66F86">
        <w:t xml:space="preserve"> podrobného ro</w:t>
      </w:r>
      <w:r w:rsidR="00E66F86">
        <w:t>zpisu řádně poskytnutých služeb</w:t>
      </w:r>
      <w:r w:rsidRPr="00E66F86">
        <w:t xml:space="preserve">. </w:t>
      </w:r>
    </w:p>
    <w:p w:rsidR="00E66F86" w:rsidRDefault="00E66F86" w:rsidP="00E66F86">
      <w:pPr>
        <w:pStyle w:val="Odstavec"/>
        <w:numPr>
          <w:ilvl w:val="0"/>
          <w:numId w:val="0"/>
        </w:numPr>
        <w:ind w:left="709" w:hanging="709"/>
        <w:rPr>
          <w:szCs w:val="24"/>
        </w:rPr>
      </w:pPr>
      <w:r>
        <w:rPr>
          <w:b/>
          <w:szCs w:val="24"/>
        </w:rPr>
        <w:t>6.3.</w:t>
      </w:r>
      <w:r>
        <w:rPr>
          <w:szCs w:val="24"/>
        </w:rPr>
        <w:tab/>
      </w:r>
      <w:r w:rsidR="00F033FA" w:rsidRPr="00D97D7B">
        <w:t>V případě, že faktura nebude splňovat veškeré náležitosti</w:t>
      </w:r>
      <w:r w:rsidR="00F033FA">
        <w:t>,</w:t>
      </w:r>
      <w:r w:rsidR="00F033FA" w:rsidRPr="00D97D7B">
        <w:t xml:space="preserve"> je </w:t>
      </w:r>
      <w:r>
        <w:t>o</w:t>
      </w:r>
      <w:r w:rsidR="00F033FA">
        <w:t>bjednatel</w:t>
      </w:r>
      <w:r w:rsidR="00F033FA" w:rsidRPr="00D97D7B">
        <w:t xml:space="preserve"> oprávněn fakturu </w:t>
      </w:r>
      <w:r>
        <w:t>p</w:t>
      </w:r>
      <w:r w:rsidR="00F033FA">
        <w:t>oskytovatel</w:t>
      </w:r>
      <w:r>
        <w:t>i</w:t>
      </w:r>
      <w:r w:rsidR="00F033FA" w:rsidRPr="00D97D7B">
        <w:t xml:space="preserve"> ve lhůtě splatnosti vrátit, přičemž lhůta splatnosti ceny začíná běžet znovu ode dne </w:t>
      </w:r>
      <w:r w:rsidR="00F033FA">
        <w:t xml:space="preserve">doručení řádně vystavené </w:t>
      </w:r>
      <w:r w:rsidR="00F033FA" w:rsidRPr="00D97D7B">
        <w:t xml:space="preserve">faktury </w:t>
      </w:r>
      <w:r>
        <w:t>o</w:t>
      </w:r>
      <w:r w:rsidR="00F033FA">
        <w:t>bjednateli</w:t>
      </w:r>
      <w:r w:rsidR="00F033FA" w:rsidRPr="00D97D7B">
        <w:t>.</w:t>
      </w:r>
    </w:p>
    <w:p w:rsidR="00651D77" w:rsidRDefault="00E66F86" w:rsidP="0093321D">
      <w:pPr>
        <w:pStyle w:val="Odstavec"/>
        <w:numPr>
          <w:ilvl w:val="0"/>
          <w:numId w:val="0"/>
        </w:numPr>
        <w:ind w:left="709" w:hanging="709"/>
        <w:rPr>
          <w:szCs w:val="24"/>
        </w:rPr>
      </w:pPr>
      <w:r>
        <w:rPr>
          <w:b/>
          <w:szCs w:val="24"/>
        </w:rPr>
        <w:t>6.</w:t>
      </w:r>
      <w:r w:rsidRPr="00E66F86">
        <w:rPr>
          <w:b/>
        </w:rPr>
        <w:t>4.</w:t>
      </w:r>
      <w:r>
        <w:tab/>
      </w:r>
      <w:r w:rsidR="00F033FA" w:rsidRPr="00E66F86">
        <w:t>C</w:t>
      </w:r>
      <w:r w:rsidR="00F033FA" w:rsidRPr="00D97D7B">
        <w:t xml:space="preserve">ena bude </w:t>
      </w:r>
      <w:r>
        <w:t>o</w:t>
      </w:r>
      <w:r w:rsidR="00F033FA" w:rsidRPr="00E66F86">
        <w:t>bjednatele</w:t>
      </w:r>
      <w:r w:rsidR="00F033FA" w:rsidRPr="00D97D7B">
        <w:t xml:space="preserve">m uhrazena </w:t>
      </w:r>
      <w:r>
        <w:t>p</w:t>
      </w:r>
      <w:r w:rsidR="00F033FA" w:rsidRPr="00E66F86">
        <w:t>oskytovateli</w:t>
      </w:r>
      <w:r w:rsidR="00F033FA" w:rsidRPr="00D97D7B">
        <w:t xml:space="preserve"> </w:t>
      </w:r>
      <w:r w:rsidR="00F033FA">
        <w:t>převodem</w:t>
      </w:r>
      <w:r w:rsidR="00F033FA" w:rsidRPr="00D97D7B">
        <w:t xml:space="preserve"> na účet uvedený v záhlaví této smlouvy, případně na jiný účet uvedený v příslušné faktuře. </w:t>
      </w:r>
      <w:r w:rsidR="00F033FA" w:rsidRPr="00E66F86">
        <w:rPr>
          <w:szCs w:val="24"/>
        </w:rPr>
        <w:t xml:space="preserve">Za den úhrady se rozumí den odeslání celé fakturované částky z účtu </w:t>
      </w:r>
      <w:r>
        <w:rPr>
          <w:szCs w:val="24"/>
        </w:rPr>
        <w:t>o</w:t>
      </w:r>
      <w:r w:rsidR="00F033FA" w:rsidRPr="00E66F86">
        <w:rPr>
          <w:szCs w:val="24"/>
        </w:rPr>
        <w:t xml:space="preserve">bjednatele na účet </w:t>
      </w:r>
      <w:r>
        <w:rPr>
          <w:szCs w:val="24"/>
        </w:rPr>
        <w:t>p</w:t>
      </w:r>
      <w:r w:rsidR="00F033FA" w:rsidRPr="00E66F86">
        <w:rPr>
          <w:szCs w:val="24"/>
        </w:rPr>
        <w:t>oskytovatele.</w:t>
      </w:r>
    </w:p>
    <w:p w:rsidR="00455987" w:rsidRPr="00E66F86" w:rsidRDefault="00455987" w:rsidP="0093321D">
      <w:pPr>
        <w:pStyle w:val="Odstavec"/>
        <w:numPr>
          <w:ilvl w:val="0"/>
          <w:numId w:val="0"/>
        </w:numPr>
        <w:ind w:left="709" w:hanging="709"/>
        <w:rPr>
          <w:szCs w:val="24"/>
        </w:rPr>
      </w:pPr>
    </w:p>
    <w:p w:rsidR="00F033FA" w:rsidRPr="00CF7042" w:rsidRDefault="00F033FA" w:rsidP="00E66F86">
      <w:pPr>
        <w:pStyle w:val="Nadpisodstavce"/>
      </w:pPr>
      <w:bookmarkStart w:id="5" w:name="_Ref209512769"/>
      <w:bookmarkEnd w:id="1"/>
      <w:bookmarkEnd w:id="3"/>
      <w:bookmarkEnd w:id="4"/>
      <w:r w:rsidRPr="00CF7042">
        <w:lastRenderedPageBreak/>
        <w:t xml:space="preserve">VII. Záruka </w:t>
      </w:r>
      <w:bookmarkEnd w:id="5"/>
      <w:r w:rsidRPr="00CF7042">
        <w:t>za jakost</w:t>
      </w:r>
    </w:p>
    <w:p w:rsidR="00CF7042" w:rsidRPr="00CF7042" w:rsidRDefault="00E66F86" w:rsidP="00016F31">
      <w:pPr>
        <w:pStyle w:val="Odstavec"/>
        <w:numPr>
          <w:ilvl w:val="0"/>
          <w:numId w:val="0"/>
        </w:numPr>
        <w:ind w:left="709" w:hanging="709"/>
      </w:pPr>
      <w:r w:rsidRPr="00CF7042">
        <w:rPr>
          <w:b/>
        </w:rPr>
        <w:t>7.1.</w:t>
      </w:r>
      <w:r w:rsidRPr="00CF7042">
        <w:tab/>
      </w:r>
      <w:r w:rsidR="00F033FA" w:rsidRPr="00CF7042">
        <w:t xml:space="preserve">Poskytovatel je povinen </w:t>
      </w:r>
      <w:r w:rsidR="00F033FA" w:rsidRPr="00CF7042">
        <w:rPr>
          <w:szCs w:val="24"/>
        </w:rPr>
        <w:t xml:space="preserve">postupovat s veškerou odbornou péčí a dodržovat všechny právní předpisy vztahující se k činnostem </w:t>
      </w:r>
      <w:r w:rsidR="008B1A6B" w:rsidRPr="00CF7042">
        <w:rPr>
          <w:szCs w:val="24"/>
        </w:rPr>
        <w:t xml:space="preserve">a plněním </w:t>
      </w:r>
      <w:r w:rsidR="00F033FA" w:rsidRPr="00CF7042">
        <w:rPr>
          <w:szCs w:val="24"/>
        </w:rPr>
        <w:t xml:space="preserve">specifikovaným v  této smlouvě. V případě jejich porušení vzniká </w:t>
      </w:r>
      <w:r w:rsidRPr="00CF7042">
        <w:rPr>
          <w:szCs w:val="24"/>
        </w:rPr>
        <w:t>objednateli</w:t>
      </w:r>
      <w:r w:rsidR="00F033FA" w:rsidRPr="00CF7042">
        <w:rPr>
          <w:szCs w:val="24"/>
        </w:rPr>
        <w:t xml:space="preserve"> nárok na náhradu škody způsobené porušením těchto povinností</w:t>
      </w:r>
      <w:r w:rsidRPr="00CF7042">
        <w:rPr>
          <w:szCs w:val="24"/>
        </w:rPr>
        <w:t xml:space="preserve">. </w:t>
      </w:r>
      <w:r w:rsidR="00D64F4F" w:rsidRPr="00CF7042">
        <w:t>Poskytovatel</w:t>
      </w:r>
      <w:r w:rsidR="00F033FA" w:rsidRPr="00CF7042">
        <w:t xml:space="preserve"> poskytuje záruku za jakost předmětu plnění po dobu </w:t>
      </w:r>
      <w:r w:rsidR="00C24A54" w:rsidRPr="00CF7042">
        <w:rPr>
          <w:rFonts w:cs="Arial"/>
          <w:b/>
        </w:rPr>
        <w:t>24</w:t>
      </w:r>
      <w:r w:rsidR="00F033FA" w:rsidRPr="00CF7042">
        <w:rPr>
          <w:rFonts w:cs="Arial"/>
          <w:b/>
        </w:rPr>
        <w:t xml:space="preserve"> </w:t>
      </w:r>
      <w:r w:rsidR="00F033FA" w:rsidRPr="00CF7042">
        <w:rPr>
          <w:b/>
        </w:rPr>
        <w:t>měsíců</w:t>
      </w:r>
      <w:r w:rsidR="00F033FA" w:rsidRPr="00CF7042">
        <w:t xml:space="preserve"> ode dne </w:t>
      </w:r>
      <w:r w:rsidR="00651D77">
        <w:t>poskytnutí předmětu plnění.</w:t>
      </w:r>
      <w:r w:rsidR="0093321D">
        <w:t xml:space="preserve"> Tím není dotčena odpovědnost poskytovatele dle §2950 obč. zákoníku.</w:t>
      </w:r>
    </w:p>
    <w:p w:rsidR="00016F31" w:rsidRPr="00CF7042" w:rsidRDefault="00D03901" w:rsidP="00016F31">
      <w:pPr>
        <w:pStyle w:val="Odstavec"/>
        <w:numPr>
          <w:ilvl w:val="0"/>
          <w:numId w:val="0"/>
        </w:numPr>
        <w:ind w:left="709" w:hanging="709"/>
        <w:rPr>
          <w:szCs w:val="24"/>
        </w:rPr>
      </w:pPr>
      <w:r w:rsidRPr="00CF7042">
        <w:rPr>
          <w:b/>
        </w:rPr>
        <w:t>7</w:t>
      </w:r>
      <w:r w:rsidR="00CF7042" w:rsidRPr="00CF7042">
        <w:rPr>
          <w:b/>
        </w:rPr>
        <w:t>.2</w:t>
      </w:r>
      <w:r w:rsidRPr="00CF7042">
        <w:rPr>
          <w:b/>
        </w:rPr>
        <w:t>.</w:t>
      </w:r>
      <w:r w:rsidRPr="00CF7042">
        <w:tab/>
        <w:t>Objednatel</w:t>
      </w:r>
      <w:r w:rsidR="00F033FA" w:rsidRPr="00CF7042">
        <w:t xml:space="preserve"> je povinen uplatnit zjištěné vady </w:t>
      </w:r>
      <w:r w:rsidR="00016F31" w:rsidRPr="00CF7042">
        <w:t xml:space="preserve">plnění </w:t>
      </w:r>
      <w:r w:rsidR="00F033FA" w:rsidRPr="00CF7042">
        <w:t>u p</w:t>
      </w:r>
      <w:r w:rsidR="00016F31" w:rsidRPr="00CF7042">
        <w:t>oskytovatele</w:t>
      </w:r>
      <w:r w:rsidR="00F033FA" w:rsidRPr="00CF7042">
        <w:t xml:space="preserve"> bez zbytečného odkladu poté, co je zjistil. </w:t>
      </w:r>
      <w:r w:rsidR="00016F31" w:rsidRPr="00CF7042">
        <w:t xml:space="preserve">Objednatel </w:t>
      </w:r>
      <w:r w:rsidR="00F033FA" w:rsidRPr="00CF7042">
        <w:t>uplatní zjištěné vady písemně či elektronicky na adres</w:t>
      </w:r>
      <w:r w:rsidR="00016F31" w:rsidRPr="00CF7042">
        <w:t xml:space="preserve">e </w:t>
      </w:r>
      <w:r w:rsidR="00F033FA" w:rsidRPr="00CF7042">
        <w:rPr>
          <w:snapToGrid w:val="0"/>
        </w:rPr>
        <w:t>p</w:t>
      </w:r>
      <w:r w:rsidR="00016F31" w:rsidRPr="00CF7042">
        <w:rPr>
          <w:snapToGrid w:val="0"/>
        </w:rPr>
        <w:t>oskytovatele</w:t>
      </w:r>
      <w:r w:rsidR="00F033FA" w:rsidRPr="00CF7042">
        <w:rPr>
          <w:snapToGrid w:val="0"/>
        </w:rPr>
        <w:t xml:space="preserve"> uvedenou v záhlaví této smlouvy, faxem na faxovém čísle ……………………, </w:t>
      </w:r>
      <w:r w:rsidR="00F033FA" w:rsidRPr="00CF7042">
        <w:t>telefonicky</w:t>
      </w:r>
      <w:r w:rsidR="00F033FA" w:rsidRPr="00CF7042">
        <w:rPr>
          <w:snapToGrid w:val="0"/>
        </w:rPr>
        <w:t xml:space="preserve"> na telefonním čísle ………………….. či e-mailem na adres</w:t>
      </w:r>
      <w:r w:rsidR="00016F31" w:rsidRPr="00CF7042">
        <w:rPr>
          <w:snapToGrid w:val="0"/>
        </w:rPr>
        <w:t>e</w:t>
      </w:r>
      <w:r w:rsidR="00F033FA" w:rsidRPr="00CF7042">
        <w:rPr>
          <w:snapToGrid w:val="0"/>
        </w:rPr>
        <w:t xml:space="preserve"> ......................................... Dnem nahlášení vady je den, kdy p</w:t>
      </w:r>
      <w:r w:rsidR="00016F31" w:rsidRPr="00CF7042">
        <w:rPr>
          <w:snapToGrid w:val="0"/>
        </w:rPr>
        <w:t>oskytovatel</w:t>
      </w:r>
      <w:r w:rsidR="00F033FA" w:rsidRPr="00CF7042">
        <w:rPr>
          <w:snapToGrid w:val="0"/>
        </w:rPr>
        <w:t xml:space="preserve"> obdržel oznámení zjištěných vad nebo den, ve kterém byly zjištěné vady oznámeny </w:t>
      </w:r>
      <w:r w:rsidR="00016F31" w:rsidRPr="00CF7042">
        <w:rPr>
          <w:snapToGrid w:val="0"/>
        </w:rPr>
        <w:t>objednatelem</w:t>
      </w:r>
      <w:r w:rsidR="00F033FA" w:rsidRPr="00CF7042">
        <w:rPr>
          <w:snapToGrid w:val="0"/>
        </w:rPr>
        <w:t xml:space="preserve"> telefonicky</w:t>
      </w:r>
      <w:r w:rsidR="00F033FA" w:rsidRPr="00CF7042">
        <w:t xml:space="preserve">. </w:t>
      </w:r>
      <w:r w:rsidR="00016F31" w:rsidRPr="00CF7042">
        <w:rPr>
          <w:snapToGrid w:val="0"/>
        </w:rPr>
        <w:t>Objednatel</w:t>
      </w:r>
      <w:r w:rsidR="00F033FA" w:rsidRPr="00CF7042">
        <w:rPr>
          <w:snapToGrid w:val="0"/>
        </w:rPr>
        <w:t xml:space="preserve"> je oprávněn vybrat si způsob uplatnění vad nebo uplatnit zjištěné vady více způsoby, v tom případě je dnem nahlášení vady den, který podle výše uvedeného určení dne nahlášení vady nastane jako první.</w:t>
      </w:r>
    </w:p>
    <w:p w:rsidR="00F033FA" w:rsidRPr="00CF7042" w:rsidRDefault="00016F31" w:rsidP="00016F31">
      <w:pPr>
        <w:pStyle w:val="Odstavec"/>
        <w:numPr>
          <w:ilvl w:val="0"/>
          <w:numId w:val="0"/>
        </w:numPr>
        <w:ind w:left="709" w:hanging="709"/>
        <w:rPr>
          <w:szCs w:val="24"/>
        </w:rPr>
      </w:pPr>
      <w:r w:rsidRPr="00CF7042">
        <w:rPr>
          <w:b/>
        </w:rPr>
        <w:t>7.</w:t>
      </w:r>
      <w:r w:rsidR="00CF7042">
        <w:rPr>
          <w:b/>
        </w:rPr>
        <w:t>3</w:t>
      </w:r>
      <w:r w:rsidRPr="00CF7042">
        <w:rPr>
          <w:b/>
        </w:rPr>
        <w:t>.</w:t>
      </w:r>
      <w:r w:rsidRPr="00CF7042">
        <w:tab/>
        <w:t xml:space="preserve">Objednateli </w:t>
      </w:r>
      <w:r w:rsidR="00F033FA" w:rsidRPr="00CF7042">
        <w:t>náleží právo volby mezi nároky z vad dodaného plnění, přičemž je oprávněn po p</w:t>
      </w:r>
      <w:r w:rsidRPr="00CF7042">
        <w:t>oskytovateli</w:t>
      </w:r>
      <w:r w:rsidR="00F033FA" w:rsidRPr="00CF7042">
        <w:t>:</w:t>
      </w:r>
    </w:p>
    <w:p w:rsidR="00F033FA" w:rsidRPr="00CF7042" w:rsidRDefault="00D64F4F" w:rsidP="00F033FA">
      <w:pPr>
        <w:pStyle w:val="Odstavec"/>
        <w:numPr>
          <w:ilvl w:val="0"/>
          <w:numId w:val="0"/>
        </w:numPr>
        <w:ind w:left="720"/>
      </w:pPr>
      <w:r w:rsidRPr="00CF7042">
        <w:t>7.</w:t>
      </w:r>
      <w:r w:rsidR="00A75214">
        <w:t>3</w:t>
      </w:r>
      <w:r w:rsidR="00F033FA" w:rsidRPr="00CF7042">
        <w:t>.1. nárokovat dodání chybějícího plnění;</w:t>
      </w:r>
    </w:p>
    <w:p w:rsidR="00F033FA" w:rsidRPr="00CF7042" w:rsidRDefault="00D64F4F" w:rsidP="00F033FA">
      <w:pPr>
        <w:pStyle w:val="Odstavec"/>
        <w:numPr>
          <w:ilvl w:val="0"/>
          <w:numId w:val="0"/>
        </w:numPr>
        <w:ind w:firstLine="708"/>
      </w:pPr>
      <w:r w:rsidRPr="00CF7042">
        <w:t>7.</w:t>
      </w:r>
      <w:r w:rsidR="00A75214">
        <w:t>3</w:t>
      </w:r>
      <w:r w:rsidR="00F033FA" w:rsidRPr="00CF7042">
        <w:t>.2. nárokovat odstranění vad opravou plnění;</w:t>
      </w:r>
    </w:p>
    <w:p w:rsidR="00F033FA" w:rsidRPr="00CF7042" w:rsidRDefault="00D64F4F" w:rsidP="00F033FA">
      <w:pPr>
        <w:pStyle w:val="Odstavec"/>
        <w:numPr>
          <w:ilvl w:val="0"/>
          <w:numId w:val="0"/>
        </w:numPr>
        <w:ind w:firstLine="708"/>
      </w:pPr>
      <w:r w:rsidRPr="00CF7042">
        <w:t>7.</w:t>
      </w:r>
      <w:r w:rsidR="00A75214">
        <w:t>3</w:t>
      </w:r>
      <w:r w:rsidR="00F033FA" w:rsidRPr="00CF7042">
        <w:t xml:space="preserve">.3. nárokovat dodání náhradního </w:t>
      </w:r>
      <w:r w:rsidR="00016F31" w:rsidRPr="00CF7042">
        <w:t xml:space="preserve">plnění </w:t>
      </w:r>
      <w:r w:rsidR="00F033FA" w:rsidRPr="00CF7042">
        <w:t>za vadné plnění;</w:t>
      </w:r>
    </w:p>
    <w:p w:rsidR="00F033FA" w:rsidRPr="00CF7042" w:rsidRDefault="00D64F4F" w:rsidP="00F033FA">
      <w:pPr>
        <w:pStyle w:val="Odstavec"/>
        <w:numPr>
          <w:ilvl w:val="0"/>
          <w:numId w:val="0"/>
        </w:numPr>
        <w:ind w:firstLine="708"/>
      </w:pPr>
      <w:r w:rsidRPr="00CF7042">
        <w:t>7.</w:t>
      </w:r>
      <w:r w:rsidR="00A75214">
        <w:t>3</w:t>
      </w:r>
      <w:r w:rsidR="00F033FA" w:rsidRPr="00CF7042">
        <w:t>.4. nárokovat slevu z  ceny v rozsahu ceny vadného či nedodaného plnění</w:t>
      </w:r>
    </w:p>
    <w:p w:rsidR="00016F31" w:rsidRPr="00CF7042" w:rsidRDefault="00D64F4F" w:rsidP="00016F31">
      <w:pPr>
        <w:pStyle w:val="Odstavec"/>
        <w:numPr>
          <w:ilvl w:val="0"/>
          <w:numId w:val="0"/>
        </w:numPr>
        <w:ind w:left="720"/>
      </w:pPr>
      <w:r w:rsidRPr="00CF7042">
        <w:t>7.</w:t>
      </w:r>
      <w:r w:rsidR="00A75214">
        <w:t>3</w:t>
      </w:r>
      <w:r w:rsidR="00F033FA" w:rsidRPr="00CF7042">
        <w:t xml:space="preserve">.5. odstoupit od této smlouvy, bude-li se jednat o podstatnou vadu plnění. </w:t>
      </w:r>
    </w:p>
    <w:p w:rsidR="00016F31" w:rsidRPr="00CF7042" w:rsidRDefault="00016F31" w:rsidP="00016F31">
      <w:pPr>
        <w:pStyle w:val="Odstavec"/>
        <w:numPr>
          <w:ilvl w:val="0"/>
          <w:numId w:val="0"/>
        </w:numPr>
        <w:ind w:left="720" w:hanging="720"/>
      </w:pPr>
      <w:r w:rsidRPr="00CF7042">
        <w:rPr>
          <w:b/>
        </w:rPr>
        <w:t>7.</w:t>
      </w:r>
      <w:r w:rsidR="00CF7042">
        <w:rPr>
          <w:b/>
        </w:rPr>
        <w:t>4</w:t>
      </w:r>
      <w:r w:rsidRPr="00CF7042">
        <w:rPr>
          <w:b/>
        </w:rPr>
        <w:t>.</w:t>
      </w:r>
      <w:r w:rsidRPr="00CF7042">
        <w:tab/>
        <w:t>Poskytovatel</w:t>
      </w:r>
      <w:r w:rsidR="00F033FA" w:rsidRPr="00CF7042">
        <w:t xml:space="preserve"> je povinen nastoupit k odstranění nahlášené vady bez zbytečného odkladu, nejpozději však do druhého pracovníh</w:t>
      </w:r>
      <w:r w:rsidR="008D5A48">
        <w:t>o</w:t>
      </w:r>
      <w:r w:rsidR="00F033FA" w:rsidRPr="00CF7042">
        <w:t xml:space="preserve"> </w:t>
      </w:r>
      <w:r w:rsidR="00F033FA" w:rsidRPr="00CF7042">
        <w:rPr>
          <w:snapToGrid w:val="0"/>
        </w:rPr>
        <w:t>dn</w:t>
      </w:r>
      <w:r w:rsidR="00B47369" w:rsidRPr="00CF7042">
        <w:rPr>
          <w:snapToGrid w:val="0"/>
        </w:rPr>
        <w:t>e</w:t>
      </w:r>
      <w:r w:rsidR="00F033FA" w:rsidRPr="00CF7042">
        <w:t xml:space="preserve"> ode dne nahlášení vady</w:t>
      </w:r>
      <w:r w:rsidR="000B6CF5">
        <w:t xml:space="preserve"> a odstranit ji nejpozději do </w:t>
      </w:r>
      <w:r w:rsidR="002635D4">
        <w:t>5 pracovních dní ode dne nahlášení vady.</w:t>
      </w:r>
    </w:p>
    <w:p w:rsidR="00016F31" w:rsidRPr="00CF7042" w:rsidRDefault="00016F31" w:rsidP="00016F31">
      <w:pPr>
        <w:pStyle w:val="Odstavec"/>
        <w:numPr>
          <w:ilvl w:val="0"/>
          <w:numId w:val="0"/>
        </w:numPr>
        <w:ind w:left="720" w:hanging="720"/>
      </w:pPr>
      <w:r w:rsidRPr="00CF7042">
        <w:rPr>
          <w:b/>
        </w:rPr>
        <w:t>7.</w:t>
      </w:r>
      <w:r w:rsidR="00CF7042">
        <w:rPr>
          <w:b/>
        </w:rPr>
        <w:t>5</w:t>
      </w:r>
      <w:r w:rsidRPr="00CF7042">
        <w:rPr>
          <w:b/>
        </w:rPr>
        <w:t>.</w:t>
      </w:r>
      <w:r w:rsidRPr="00CF7042">
        <w:tab/>
      </w:r>
      <w:r w:rsidR="00F033FA" w:rsidRPr="00CF7042">
        <w:t xml:space="preserve">V případě, že </w:t>
      </w:r>
      <w:r w:rsidRPr="00CF7042">
        <w:t xml:space="preserve">poskytovatel </w:t>
      </w:r>
      <w:r w:rsidR="00F033FA" w:rsidRPr="00CF7042">
        <w:t>nenastoupí k odstranění nahlášené vady ve lhůtě podle bodu 7.</w:t>
      </w:r>
      <w:r w:rsidR="000B6CF5">
        <w:t>4</w:t>
      </w:r>
      <w:r w:rsidRPr="00CF7042">
        <w:t xml:space="preserve">. </w:t>
      </w:r>
      <w:r w:rsidR="00F033FA" w:rsidRPr="00CF7042">
        <w:t xml:space="preserve">této smlouvy, je </w:t>
      </w:r>
      <w:r w:rsidRPr="00CF7042">
        <w:t>poskytovatel</w:t>
      </w:r>
      <w:r w:rsidR="00F033FA" w:rsidRPr="00CF7042">
        <w:t xml:space="preserve"> povinen uhradit </w:t>
      </w:r>
      <w:r w:rsidRPr="00CF7042">
        <w:t>objednateli</w:t>
      </w:r>
      <w:r w:rsidR="00F033FA" w:rsidRPr="00CF7042">
        <w:t xml:space="preserve"> smluvní pokutu ve výši 0,5% z  ceny</w:t>
      </w:r>
      <w:r w:rsidRPr="00CF7042">
        <w:t xml:space="preserve"> vadného plnění</w:t>
      </w:r>
      <w:r w:rsidR="00F033FA" w:rsidRPr="00CF7042">
        <w:t xml:space="preserve">, a to za každý i započatý den prodlení. Nárok </w:t>
      </w:r>
      <w:r w:rsidR="00D64F4F" w:rsidRPr="00CF7042">
        <w:t>objednatele</w:t>
      </w:r>
      <w:r w:rsidR="00F033FA" w:rsidRPr="00CF7042">
        <w:t xml:space="preserve"> na náhradu škody tím není dotčen.</w:t>
      </w:r>
      <w:r w:rsidR="000B6CF5">
        <w:t xml:space="preserve"> Neodstraní –li poskytovatel nahlášenou vadu ve lhůtě dle bodu 7.4.</w:t>
      </w:r>
      <w:r w:rsidR="000B6CF5" w:rsidRPr="000B6CF5">
        <w:t xml:space="preserve"> </w:t>
      </w:r>
      <w:r w:rsidR="000B6CF5" w:rsidRPr="00CF7042">
        <w:t>této smlouvy, je poskytovatel povinen uhradit objednateli smluvní pokutu ve výši 0,5% z  ceny vadného plnění, a to za každý i započatý den prodlení. Nárok objednatele na náhradu škody tím není dotčen.</w:t>
      </w:r>
      <w:r w:rsidR="000B6CF5">
        <w:t xml:space="preserve"> Nároky dle tohoto ustanovení se sčítají, nikoliv absorbují.</w:t>
      </w:r>
    </w:p>
    <w:p w:rsidR="00016F31" w:rsidRPr="00CF7042" w:rsidRDefault="00016F31" w:rsidP="00016F31">
      <w:pPr>
        <w:pStyle w:val="Odstavec"/>
        <w:numPr>
          <w:ilvl w:val="0"/>
          <w:numId w:val="0"/>
        </w:numPr>
        <w:ind w:left="720" w:hanging="720"/>
      </w:pPr>
      <w:r w:rsidRPr="00CF7042">
        <w:rPr>
          <w:b/>
        </w:rPr>
        <w:t>7.</w:t>
      </w:r>
      <w:r w:rsidR="00CF7042">
        <w:rPr>
          <w:b/>
        </w:rPr>
        <w:t>6</w:t>
      </w:r>
      <w:r w:rsidRPr="00CF7042">
        <w:rPr>
          <w:b/>
        </w:rPr>
        <w:t>.</w:t>
      </w:r>
      <w:r w:rsidRPr="00CF7042">
        <w:tab/>
        <w:t>Neodstraní-li poskytovatel</w:t>
      </w:r>
      <w:r w:rsidR="00F033FA" w:rsidRPr="00CF7042">
        <w:t xml:space="preserve"> vady předmětu plnění v souladu s touto smlouvou řádně a včas, a to ani v dodatečné přiměřené lhůtě poskytnuté mu k tomu </w:t>
      </w:r>
      <w:r w:rsidRPr="00CF7042">
        <w:t>objednatele</w:t>
      </w:r>
      <w:r w:rsidR="00F033FA" w:rsidRPr="00CF7042">
        <w:t xml:space="preserve">m, je </w:t>
      </w:r>
      <w:r w:rsidRPr="00CF7042">
        <w:t xml:space="preserve">objednatel </w:t>
      </w:r>
      <w:r w:rsidR="00F033FA" w:rsidRPr="00CF7042">
        <w:t>oprávněn nechat odstranit vady předmětu</w:t>
      </w:r>
      <w:r w:rsidR="000B6CF5">
        <w:t xml:space="preserve"> plnění</w:t>
      </w:r>
      <w:r w:rsidR="00F033FA" w:rsidRPr="00CF7042">
        <w:t xml:space="preserve"> </w:t>
      </w:r>
      <w:r w:rsidR="000B6CF5">
        <w:t>způsobem dle vlastního uvážení na náklad poskytovatele</w:t>
      </w:r>
      <w:r w:rsidR="00F033FA" w:rsidRPr="00CF7042">
        <w:t xml:space="preserve">. </w:t>
      </w:r>
      <w:r w:rsidRPr="00CF7042">
        <w:t>Poskytovatel</w:t>
      </w:r>
      <w:r w:rsidR="00F033FA" w:rsidRPr="00CF7042">
        <w:t xml:space="preserve"> se pak zavazuje nahradit </w:t>
      </w:r>
      <w:r w:rsidRPr="00CF7042">
        <w:t>objednateli</w:t>
      </w:r>
      <w:r w:rsidR="00F033FA" w:rsidRPr="00CF7042">
        <w:t xml:space="preserve"> veškeré účelně vynaložené a prokázané náklady na odstranění vad předmětu plnění. Tímto není dotčen nárok </w:t>
      </w:r>
      <w:r w:rsidRPr="00CF7042">
        <w:t>objednatele</w:t>
      </w:r>
      <w:r w:rsidR="00F033FA" w:rsidRPr="00CF7042">
        <w:t xml:space="preserve"> na náhradu škody, jakož ani nárok na zaplac</w:t>
      </w:r>
      <w:r w:rsidRPr="00CF7042">
        <w:t>ení smluvní pokuty dle odst. 7.</w:t>
      </w:r>
      <w:r w:rsidR="000B6CF5">
        <w:t>5</w:t>
      </w:r>
      <w:r w:rsidRPr="00CF7042">
        <w:t xml:space="preserve">. </w:t>
      </w:r>
    </w:p>
    <w:p w:rsidR="00651D77" w:rsidRPr="00CF7042" w:rsidRDefault="00016F31" w:rsidP="000B6CF5">
      <w:pPr>
        <w:pStyle w:val="Odstavec"/>
        <w:numPr>
          <w:ilvl w:val="0"/>
          <w:numId w:val="0"/>
        </w:numPr>
        <w:ind w:left="720" w:hanging="720"/>
      </w:pPr>
      <w:r w:rsidRPr="00CF7042">
        <w:rPr>
          <w:b/>
        </w:rPr>
        <w:t>7.</w:t>
      </w:r>
      <w:r w:rsidR="00CF7042">
        <w:rPr>
          <w:b/>
        </w:rPr>
        <w:t>7</w:t>
      </w:r>
      <w:r w:rsidRPr="00CF7042">
        <w:rPr>
          <w:b/>
        </w:rPr>
        <w:t>.</w:t>
      </w:r>
      <w:r w:rsidRPr="00CF7042">
        <w:tab/>
      </w:r>
      <w:r w:rsidR="00F033FA" w:rsidRPr="00CF7042">
        <w:t>P</w:t>
      </w:r>
      <w:r w:rsidRPr="00CF7042">
        <w:t xml:space="preserve">oskytovatel odpovídá za to, že plnění </w:t>
      </w:r>
      <w:r w:rsidR="00F033FA" w:rsidRPr="00CF7042">
        <w:t xml:space="preserve">nemá právní vady. Uplatní-li třetí osoba vůči </w:t>
      </w:r>
      <w:r w:rsidRPr="00CF7042">
        <w:t>objednateli</w:t>
      </w:r>
      <w:r w:rsidR="00F033FA" w:rsidRPr="00CF7042">
        <w:t xml:space="preserve"> jakékoli nároky z titulu svého průmyslového nebo jiného duševního vlastnictví včetně práva</w:t>
      </w:r>
      <w:r w:rsidR="00D64F4F" w:rsidRPr="00CF7042">
        <w:t xml:space="preserve"> autorského k předmětu plnění, </w:t>
      </w:r>
      <w:r w:rsidR="00F033FA" w:rsidRPr="00CF7042">
        <w:t xml:space="preserve">je </w:t>
      </w:r>
      <w:r w:rsidR="00D64F4F" w:rsidRPr="00CF7042">
        <w:t>poskytovatel</w:t>
      </w:r>
      <w:r w:rsidR="00F033FA" w:rsidRPr="00CF7042">
        <w:t xml:space="preserve"> vlastním jménem povinen tyto nároky na své </w:t>
      </w:r>
      <w:r w:rsidR="00F033FA" w:rsidRPr="00CF7042">
        <w:lastRenderedPageBreak/>
        <w:t xml:space="preserve">náklady vypořádat včetně případného soudního sporu. Uvedený závazek </w:t>
      </w:r>
      <w:r w:rsidR="00D64F4F" w:rsidRPr="00CF7042">
        <w:t>poskytovatel</w:t>
      </w:r>
      <w:r w:rsidR="008B1A6B" w:rsidRPr="00CF7042">
        <w:t>e</w:t>
      </w:r>
      <w:r w:rsidR="00F033FA" w:rsidRPr="00CF7042">
        <w:t xml:space="preserve"> trvá i po ukončení záruky.</w:t>
      </w:r>
    </w:p>
    <w:p w:rsidR="00F033FA" w:rsidRDefault="00CF7042" w:rsidP="00183115">
      <w:pPr>
        <w:pStyle w:val="Nadpisodstavce"/>
      </w:pPr>
      <w:r>
        <w:t>VIII</w:t>
      </w:r>
      <w:r w:rsidR="00F033FA">
        <w:t>. Odstoupení od smlouvy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proofErr w:type="gramStart"/>
      <w:r>
        <w:rPr>
          <w:b/>
        </w:rPr>
        <w:t>8</w:t>
      </w:r>
      <w:r w:rsidR="00F033FA" w:rsidRPr="000C20BB">
        <w:rPr>
          <w:b/>
          <w:szCs w:val="24"/>
        </w:rPr>
        <w:t>.1</w:t>
      </w:r>
      <w:proofErr w:type="gramEnd"/>
      <w:r w:rsidR="00F033FA" w:rsidRPr="000C20BB">
        <w:rPr>
          <w:b/>
          <w:szCs w:val="24"/>
        </w:rPr>
        <w:t>.</w:t>
      </w:r>
      <w:r w:rsidR="00A75214">
        <w:rPr>
          <w:b/>
          <w:szCs w:val="24"/>
        </w:rPr>
        <w:tab/>
      </w:r>
      <w:bookmarkStart w:id="6" w:name="_GoBack"/>
      <w:bookmarkEnd w:id="6"/>
      <w:r w:rsidR="00F033FA">
        <w:rPr>
          <w:szCs w:val="24"/>
        </w:rPr>
        <w:t xml:space="preserve">Kterákoliv ze smluvních stran je oprávněna od této smlouvy odstoupit v případě jejího podstatného porušení druhou smluvní stranou. </w:t>
      </w:r>
      <w:r w:rsidR="00F033FA">
        <w:rPr>
          <w:color w:val="000000"/>
          <w:szCs w:val="24"/>
        </w:rPr>
        <w:t>Za podstatné</w:t>
      </w:r>
      <w:r w:rsidR="00F033FA" w:rsidRPr="000C20BB">
        <w:rPr>
          <w:color w:val="000000"/>
          <w:szCs w:val="24"/>
        </w:rPr>
        <w:t xml:space="preserve"> porušení</w:t>
      </w:r>
      <w:r w:rsidR="00F033FA">
        <w:rPr>
          <w:color w:val="000000"/>
          <w:szCs w:val="24"/>
        </w:rPr>
        <w:t xml:space="preserve"> této smlouvy </w:t>
      </w:r>
      <w:r w:rsidR="00F033FA" w:rsidRPr="000C20BB">
        <w:rPr>
          <w:color w:val="000000"/>
          <w:szCs w:val="24"/>
        </w:rPr>
        <w:t xml:space="preserve">ze strany </w:t>
      </w:r>
      <w:r w:rsidR="008B1A6B">
        <w:rPr>
          <w:color w:val="000000"/>
          <w:szCs w:val="24"/>
        </w:rPr>
        <w:t>p</w:t>
      </w:r>
      <w:r w:rsidR="00F033FA">
        <w:rPr>
          <w:color w:val="000000"/>
          <w:szCs w:val="24"/>
        </w:rPr>
        <w:t>oskytovatele</w:t>
      </w:r>
      <w:r w:rsidR="00F033FA" w:rsidRPr="000C20BB">
        <w:rPr>
          <w:color w:val="000000"/>
          <w:szCs w:val="24"/>
        </w:rPr>
        <w:t xml:space="preserve"> bude považováno </w:t>
      </w:r>
      <w:r w:rsidR="00F033FA">
        <w:rPr>
          <w:color w:val="000000"/>
          <w:szCs w:val="24"/>
        </w:rPr>
        <w:t>zejména</w:t>
      </w:r>
      <w:r w:rsidR="00F033FA" w:rsidRPr="000C20BB">
        <w:rPr>
          <w:color w:val="000000"/>
          <w:szCs w:val="24"/>
        </w:rPr>
        <w:t xml:space="preserve"> prodlení s </w:t>
      </w:r>
      <w:r w:rsidR="00D64F4F">
        <w:rPr>
          <w:color w:val="000000"/>
          <w:szCs w:val="24"/>
        </w:rPr>
        <w:t>poskyt</w:t>
      </w:r>
      <w:r w:rsidR="00F033FA">
        <w:rPr>
          <w:color w:val="000000"/>
          <w:szCs w:val="24"/>
        </w:rPr>
        <w:t>nutím objednané služby</w:t>
      </w:r>
      <w:r w:rsidR="00F033FA" w:rsidRPr="000C20BB">
        <w:rPr>
          <w:color w:val="000000"/>
          <w:szCs w:val="24"/>
        </w:rPr>
        <w:t xml:space="preserve"> po dobu delší než 15 dnů, pokud toto prodlení bude způsobeno</w:t>
      </w:r>
      <w:r w:rsidR="00F033FA">
        <w:rPr>
          <w:color w:val="000000"/>
          <w:szCs w:val="24"/>
        </w:rPr>
        <w:t xml:space="preserve"> důvody na straně </w:t>
      </w:r>
      <w:r w:rsidR="008B1A6B">
        <w:rPr>
          <w:color w:val="000000"/>
          <w:szCs w:val="24"/>
        </w:rPr>
        <w:t>p</w:t>
      </w:r>
      <w:r w:rsidR="00F033FA">
        <w:rPr>
          <w:color w:val="000000"/>
          <w:szCs w:val="24"/>
        </w:rPr>
        <w:t>oskytovatele.</w:t>
      </w:r>
    </w:p>
    <w:p w:rsidR="00F033FA" w:rsidRDefault="00CF7042" w:rsidP="00F033FA">
      <w:pPr>
        <w:pStyle w:val="Textkomente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F033FA" w:rsidRPr="00F04F70">
        <w:rPr>
          <w:b/>
          <w:sz w:val="24"/>
          <w:szCs w:val="24"/>
        </w:rPr>
        <w:t>.2.</w:t>
      </w:r>
      <w:r w:rsidR="00F033FA">
        <w:rPr>
          <w:b/>
          <w:szCs w:val="24"/>
        </w:rPr>
        <w:tab/>
      </w:r>
      <w:r w:rsidR="00F033FA" w:rsidRPr="000C20BB">
        <w:rPr>
          <w:sz w:val="24"/>
          <w:szCs w:val="24"/>
        </w:rPr>
        <w:t xml:space="preserve">Pro účely této smlouvy se </w:t>
      </w:r>
      <w:r w:rsidR="00F033FA">
        <w:rPr>
          <w:sz w:val="24"/>
          <w:szCs w:val="24"/>
        </w:rPr>
        <w:t xml:space="preserve">dále </w:t>
      </w:r>
      <w:r w:rsidR="00F033FA" w:rsidRPr="000C20BB">
        <w:rPr>
          <w:sz w:val="24"/>
          <w:szCs w:val="24"/>
        </w:rPr>
        <w:t>za podstatné porušení smluvních povinností považuje</w:t>
      </w:r>
      <w:r w:rsidR="00F033FA">
        <w:rPr>
          <w:sz w:val="24"/>
          <w:szCs w:val="24"/>
        </w:rPr>
        <w:t xml:space="preserve"> </w:t>
      </w:r>
      <w:r w:rsidR="00F033FA" w:rsidRPr="000C20BB">
        <w:rPr>
          <w:sz w:val="24"/>
          <w:szCs w:val="24"/>
        </w:rPr>
        <w:t>takové porušení, u kterého strana porušující smlouvu měla nebo mohla předpokládat, že při takovémto porušení smlouvy, s přihlédnutím ke všem okolnostem,</w:t>
      </w:r>
      <w:r w:rsidR="00F033FA" w:rsidRPr="0088448A">
        <w:rPr>
          <w:sz w:val="24"/>
          <w:szCs w:val="24"/>
        </w:rPr>
        <w:t xml:space="preserve"> by druhá smluvní strana neměla zájem smlouvu uzavřít.</w:t>
      </w:r>
    </w:p>
    <w:p w:rsidR="000B6CF5" w:rsidRDefault="00CF7042" w:rsidP="000B6CF5">
      <w:pPr>
        <w:pStyle w:val="Textkomente"/>
        <w:ind w:left="709" w:hanging="709"/>
        <w:jc w:val="both"/>
        <w:rPr>
          <w:color w:val="000000"/>
          <w:sz w:val="22"/>
        </w:rPr>
      </w:pPr>
      <w:r>
        <w:rPr>
          <w:b/>
          <w:sz w:val="24"/>
          <w:szCs w:val="24"/>
        </w:rPr>
        <w:t>8</w:t>
      </w:r>
      <w:r w:rsidR="00F033FA">
        <w:rPr>
          <w:b/>
          <w:sz w:val="24"/>
          <w:szCs w:val="24"/>
        </w:rPr>
        <w:t>.3.</w:t>
      </w:r>
      <w:r w:rsidR="00F033FA">
        <w:rPr>
          <w:b/>
          <w:sz w:val="24"/>
          <w:szCs w:val="24"/>
        </w:rPr>
        <w:tab/>
      </w:r>
      <w:r w:rsidR="00F033FA" w:rsidRPr="000C20BB">
        <w:rPr>
          <w:sz w:val="24"/>
          <w:szCs w:val="24"/>
        </w:rPr>
        <w:t>Odstoupení od smlouvy musí být provedeno písemným oznámením o odstoupení, které musí obsahovat důvod odstoupení a musí být doručeno druhé smluvní straně.</w:t>
      </w:r>
      <w:r w:rsidR="00F033FA" w:rsidRPr="0088448A">
        <w:rPr>
          <w:sz w:val="24"/>
          <w:szCs w:val="24"/>
        </w:rPr>
        <w:t xml:space="preserve"> Účinky odstoupení nastanou okamžikem doruč</w:t>
      </w:r>
      <w:r w:rsidR="00F033FA" w:rsidRPr="000E3599">
        <w:rPr>
          <w:sz w:val="24"/>
          <w:szCs w:val="24"/>
        </w:rPr>
        <w:t>ení písemného vyhotovení odstoupení druhé smluvní straně.</w:t>
      </w:r>
    </w:p>
    <w:p w:rsidR="000B6CF5" w:rsidRDefault="000B6CF5" w:rsidP="000B6CF5">
      <w:pPr>
        <w:pStyle w:val="Textkomente"/>
        <w:ind w:left="709" w:hanging="709"/>
        <w:jc w:val="both"/>
        <w:rPr>
          <w:color w:val="000000"/>
          <w:sz w:val="24"/>
          <w:szCs w:val="24"/>
        </w:rPr>
      </w:pPr>
      <w:r w:rsidRPr="000B6CF5">
        <w:rPr>
          <w:b/>
          <w:color w:val="000000"/>
          <w:sz w:val="24"/>
          <w:szCs w:val="24"/>
        </w:rPr>
        <w:t>8.4.</w:t>
      </w:r>
      <w:r w:rsidRPr="000B6CF5">
        <w:rPr>
          <w:b/>
          <w:color w:val="000000"/>
          <w:sz w:val="24"/>
          <w:szCs w:val="24"/>
        </w:rPr>
        <w:tab/>
      </w:r>
      <w:r w:rsidRPr="000B6CF5">
        <w:rPr>
          <w:color w:val="000000"/>
          <w:sz w:val="24"/>
          <w:szCs w:val="24"/>
        </w:rPr>
        <w:t>Odstoupení od smlouvy nemá vliv na povinnost poskytovatele zaplatit objednateli smluvní pokuty či povinnosti zaplatit finanční částky z jiného titulu, na jejichž zaplacení vznikl nárok před učiněním odstoupení od smlouvy, event. na jejichž zaplacení  vznikl nárok v souvislosti s jednáním či opomenutím poskytovatele před odstoupením od smlouvy</w:t>
      </w:r>
      <w:r>
        <w:rPr>
          <w:color w:val="000000"/>
          <w:sz w:val="24"/>
          <w:szCs w:val="24"/>
        </w:rPr>
        <w:t>.</w:t>
      </w:r>
    </w:p>
    <w:p w:rsidR="00455987" w:rsidRDefault="00455987" w:rsidP="000B6CF5">
      <w:pPr>
        <w:pStyle w:val="Textkomente"/>
        <w:ind w:left="709" w:hanging="709"/>
        <w:jc w:val="both"/>
        <w:rPr>
          <w:sz w:val="24"/>
          <w:szCs w:val="24"/>
        </w:rPr>
      </w:pPr>
    </w:p>
    <w:p w:rsidR="00455987" w:rsidRPr="000B6CF5" w:rsidRDefault="00455987" w:rsidP="000B6CF5">
      <w:pPr>
        <w:pStyle w:val="Textkomente"/>
        <w:ind w:left="709" w:hanging="709"/>
        <w:jc w:val="both"/>
        <w:rPr>
          <w:sz w:val="24"/>
          <w:szCs w:val="24"/>
        </w:rPr>
      </w:pPr>
    </w:p>
    <w:p w:rsidR="00F033FA" w:rsidRPr="00D97D7B" w:rsidRDefault="00CF7042" w:rsidP="00183115">
      <w:pPr>
        <w:pStyle w:val="Nadpisodstavce"/>
      </w:pPr>
      <w:r>
        <w:t>I</w:t>
      </w:r>
      <w:r w:rsidR="00F033FA">
        <w:t xml:space="preserve">X. </w:t>
      </w:r>
      <w:r w:rsidR="00F033FA" w:rsidRPr="00D97D7B">
        <w:t xml:space="preserve">Závěrečná ustanovení 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</w:pPr>
      <w:r>
        <w:rPr>
          <w:b/>
        </w:rPr>
        <w:t>9</w:t>
      </w:r>
      <w:r w:rsidR="00F033FA">
        <w:rPr>
          <w:b/>
        </w:rPr>
        <w:t>.1.</w:t>
      </w:r>
      <w:r w:rsidR="00F033FA">
        <w:rPr>
          <w:b/>
        </w:rPr>
        <w:tab/>
      </w:r>
      <w:r w:rsidR="00F033FA" w:rsidRPr="004B5A6A">
        <w:t>V</w:t>
      </w:r>
      <w:r w:rsidR="00F033FA" w:rsidRPr="00D97D7B">
        <w:t> otázkách výslovně neupravených touto smlouvou se závazky smluvních stran řídí ustanoveními příslušných právních předpisů České republiky, zejména</w:t>
      </w:r>
      <w:r w:rsidR="00F033FA">
        <w:t xml:space="preserve"> </w:t>
      </w:r>
      <w:proofErr w:type="gramStart"/>
      <w:r w:rsidR="00F033FA">
        <w:t>zák.č.</w:t>
      </w:r>
      <w:proofErr w:type="gramEnd"/>
      <w:r w:rsidR="00F033FA">
        <w:t xml:space="preserve"> 89/2012 Sb.,</w:t>
      </w:r>
      <w:r w:rsidR="00F033FA" w:rsidRPr="00D97D7B">
        <w:t xml:space="preserve"> ob</w:t>
      </w:r>
      <w:r w:rsidR="00F033FA">
        <w:t>čanské</w:t>
      </w:r>
      <w:r w:rsidR="00F033FA" w:rsidRPr="00D97D7B">
        <w:t>ho zákoníku.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</w:pPr>
      <w:r>
        <w:rPr>
          <w:b/>
        </w:rPr>
        <w:t>9</w:t>
      </w:r>
      <w:r w:rsidR="00F033FA">
        <w:rPr>
          <w:b/>
        </w:rPr>
        <w:t>.2.</w:t>
      </w:r>
      <w:r w:rsidR="00F033FA">
        <w:rPr>
          <w:b/>
        </w:rPr>
        <w:tab/>
      </w:r>
      <w:r w:rsidR="00F033FA">
        <w:t>Tuto smlouvu</w:t>
      </w:r>
      <w:r w:rsidR="00F033FA" w:rsidRPr="002C16EF">
        <w:t xml:space="preserve"> nelze dále postupovat, jakož ani pohledávky z ní vyplývající. Kvitance za částečné plnění a vracení dlužních úpisů s účinky kvitance se vylučují.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r>
        <w:rPr>
          <w:b/>
        </w:rPr>
        <w:t>9</w:t>
      </w:r>
      <w:r w:rsidR="00F033FA">
        <w:rPr>
          <w:b/>
        </w:rPr>
        <w:t>.3.</w:t>
      </w:r>
      <w:r w:rsidR="00F033FA">
        <w:rPr>
          <w:b/>
        </w:rPr>
        <w:tab/>
      </w:r>
      <w:r w:rsidR="00F033FA" w:rsidRPr="002C16EF"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r>
        <w:rPr>
          <w:b/>
        </w:rPr>
        <w:t>9</w:t>
      </w:r>
      <w:r w:rsidR="00F033FA">
        <w:rPr>
          <w:b/>
        </w:rPr>
        <w:t>.4.</w:t>
      </w:r>
      <w:r w:rsidR="00F033FA">
        <w:rPr>
          <w:b/>
        </w:rPr>
        <w:tab/>
      </w:r>
      <w:r w:rsidR="00F033FA" w:rsidRPr="002C16EF">
        <w:t>Dle § 1765 zák. č. 89/2012 Sb., občansk</w:t>
      </w:r>
      <w:r w:rsidR="00F033FA">
        <w:t xml:space="preserve">ého </w:t>
      </w:r>
      <w:r w:rsidR="00F033FA" w:rsidRPr="002C16EF">
        <w:t>zákoník</w:t>
      </w:r>
      <w:r w:rsidR="00F033FA">
        <w:t>u,</w:t>
      </w:r>
      <w:r w:rsidR="00F033FA" w:rsidRPr="002C16EF">
        <w:t xml:space="preserve"> na sebe </w:t>
      </w:r>
      <w:r w:rsidR="00D64F4F">
        <w:t>poskytovatel</w:t>
      </w:r>
      <w:r w:rsidR="00F033FA" w:rsidRPr="002C16EF"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="00F033FA" w:rsidRPr="002C16EF">
        <w:rPr>
          <w:b/>
        </w:rPr>
        <w:t xml:space="preserve"> </w:t>
      </w:r>
    </w:p>
    <w:p w:rsidR="00F033FA" w:rsidRPr="002C16EF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r>
        <w:rPr>
          <w:b/>
          <w:szCs w:val="24"/>
        </w:rPr>
        <w:t>9</w:t>
      </w:r>
      <w:r w:rsidR="00F033FA" w:rsidRPr="00F04F70">
        <w:rPr>
          <w:b/>
          <w:szCs w:val="24"/>
        </w:rPr>
        <w:t>.5.</w:t>
      </w:r>
      <w:r w:rsidR="00F033FA">
        <w:rPr>
          <w:b/>
        </w:rPr>
        <w:tab/>
      </w:r>
      <w:r w:rsidR="00F033FA" w:rsidRPr="006501E0">
        <w:t xml:space="preserve">Použití ustanovení </w:t>
      </w:r>
      <w:r w:rsidR="000B6CF5">
        <w:t xml:space="preserve">§ 557, </w:t>
      </w:r>
      <w:r w:rsidR="00F033FA" w:rsidRPr="006501E0">
        <w:t>§ 1726, § 1728, § 1729, § 1740</w:t>
      </w:r>
      <w:r w:rsidR="000B6CF5">
        <w:t>, § 1744</w:t>
      </w:r>
      <w:r w:rsidR="00F033FA" w:rsidRPr="006501E0">
        <w:t>, § 1757 odst. 2, 3, § 1950,</w:t>
      </w:r>
      <w:r w:rsidR="00F033FA">
        <w:rPr>
          <w:b/>
        </w:rPr>
        <w:t xml:space="preserve"> </w:t>
      </w:r>
      <w:r w:rsidR="00F033FA" w:rsidRPr="002C16EF">
        <w:t>zák. č. 89/2012 Sb., občansk</w:t>
      </w:r>
      <w:r w:rsidR="00F033FA">
        <w:t>ého</w:t>
      </w:r>
      <w:r w:rsidR="00F033FA" w:rsidRPr="002C16EF">
        <w:t xml:space="preserve"> zákoník</w:t>
      </w:r>
      <w:r w:rsidR="00F033FA">
        <w:t>u, se vylučuje.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r>
        <w:rPr>
          <w:b/>
          <w:szCs w:val="24"/>
        </w:rPr>
        <w:t>9</w:t>
      </w:r>
      <w:r w:rsidR="00F033FA">
        <w:rPr>
          <w:b/>
          <w:szCs w:val="24"/>
        </w:rPr>
        <w:t xml:space="preserve">.6. 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Jakýkoliv dopis, oznámení či jiný dokument bude považován za doručený druhé smluvní straně této smlouvy, bude-li doručen na adresu uvedenou u dané smluvní strany v záhlaví</w:t>
      </w:r>
      <w:r w:rsidR="00F033FA">
        <w:rPr>
          <w:szCs w:val="24"/>
        </w:rPr>
        <w:t xml:space="preserve"> této smlouvy. V případě pochybn</w:t>
      </w:r>
      <w:r w:rsidR="00F033FA" w:rsidRPr="00D97D7B">
        <w:rPr>
          <w:szCs w:val="24"/>
        </w:rPr>
        <w:t>ostí se má za to, že písemnost zaslaná doporučenou poštovní přepravou byla doručena třetí den po dni odeslání písemnosti.</w:t>
      </w:r>
    </w:p>
    <w:p w:rsidR="00F033FA" w:rsidRPr="005369A4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  <w:lang w:val="en-US"/>
        </w:rPr>
      </w:pPr>
      <w:r>
        <w:rPr>
          <w:b/>
          <w:szCs w:val="24"/>
        </w:rPr>
        <w:lastRenderedPageBreak/>
        <w:t>9</w:t>
      </w:r>
      <w:r w:rsidR="00F033FA">
        <w:rPr>
          <w:b/>
          <w:szCs w:val="24"/>
        </w:rPr>
        <w:t>.7.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Veškeré změny a dodatky této smlouvy musí být v písemné podobě</w:t>
      </w:r>
      <w:r w:rsidR="00F033FA">
        <w:rPr>
          <w:szCs w:val="24"/>
        </w:rPr>
        <w:t>,</w:t>
      </w:r>
      <w:r w:rsidR="00F033FA" w:rsidRPr="00D97D7B">
        <w:rPr>
          <w:szCs w:val="24"/>
        </w:rPr>
        <w:t xml:space="preserve"> na téže listině pod</w:t>
      </w:r>
      <w:r w:rsidR="00F033FA">
        <w:rPr>
          <w:szCs w:val="24"/>
        </w:rPr>
        <w:t>epsány oběma smluvními stranami</w:t>
      </w:r>
      <w:r w:rsidR="00F033FA">
        <w:rPr>
          <w:szCs w:val="24"/>
          <w:lang w:val="en-US"/>
        </w:rPr>
        <w:t xml:space="preserve"> a </w:t>
      </w:r>
      <w:r w:rsidR="00F033FA">
        <w:rPr>
          <w:szCs w:val="24"/>
        </w:rPr>
        <w:t>chronologicky oč</w:t>
      </w:r>
      <w:r w:rsidR="00A946BA">
        <w:rPr>
          <w:szCs w:val="24"/>
        </w:rPr>
        <w:t>í</w:t>
      </w:r>
      <w:r w:rsidR="00F033FA">
        <w:rPr>
          <w:szCs w:val="24"/>
        </w:rPr>
        <w:t>slovány.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r>
        <w:rPr>
          <w:b/>
          <w:szCs w:val="24"/>
        </w:rPr>
        <w:t>9</w:t>
      </w:r>
      <w:r w:rsidR="00F033FA">
        <w:rPr>
          <w:b/>
          <w:szCs w:val="24"/>
        </w:rPr>
        <w:t>.8.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Tato smlouva byla sepsána ve dvou  vyhotoveních s platností originálu, z nichž každá ze smluvních stran obdrží po jednom.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  <w:szCs w:val="24"/>
        </w:rPr>
      </w:pPr>
      <w:r>
        <w:rPr>
          <w:b/>
          <w:szCs w:val="24"/>
        </w:rPr>
        <w:t>9</w:t>
      </w:r>
      <w:r w:rsidR="00F033FA">
        <w:rPr>
          <w:b/>
          <w:szCs w:val="24"/>
        </w:rPr>
        <w:t>.9.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Tato smlouva nabývá platnosti a účinnosti dnem jejího podpisu oběma smluvními stranami.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r>
        <w:rPr>
          <w:b/>
          <w:szCs w:val="24"/>
        </w:rPr>
        <w:t>9</w:t>
      </w:r>
      <w:r w:rsidR="00F033FA">
        <w:rPr>
          <w:b/>
          <w:szCs w:val="24"/>
        </w:rPr>
        <w:t>.10.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Smluvní strany prohlašují, že si smlouvu řádně přečetly, s celým jejím obsahem souhlasí a na důkaz toho, že se jedná o projev jejich svobodné a vážné vůle, připojují své podpisy.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bCs/>
          <w:szCs w:val="24"/>
        </w:rPr>
      </w:pPr>
      <w:r>
        <w:rPr>
          <w:rFonts w:cs="Arial"/>
          <w:b/>
          <w:szCs w:val="24"/>
        </w:rPr>
        <w:t>9</w:t>
      </w:r>
      <w:r w:rsidR="00F033FA">
        <w:rPr>
          <w:rFonts w:cs="Arial"/>
          <w:b/>
          <w:szCs w:val="24"/>
        </w:rPr>
        <w:t>.11.</w:t>
      </w:r>
      <w:r w:rsidR="00F033FA">
        <w:rPr>
          <w:rFonts w:cs="Arial"/>
          <w:b/>
          <w:szCs w:val="24"/>
        </w:rPr>
        <w:tab/>
      </w:r>
      <w:r w:rsidR="00D64F4F">
        <w:t>Poskytovatel</w:t>
      </w:r>
      <w:r w:rsidR="00F033FA" w:rsidRPr="0028179B">
        <w:rPr>
          <w:rFonts w:cs="Arial"/>
          <w:szCs w:val="24"/>
        </w:rPr>
        <w:t xml:space="preserve"> souhlasí se zveřejněním všech náležitostí smluvního vztahu </w:t>
      </w:r>
      <w:r w:rsidR="00F033FA" w:rsidRPr="0028179B">
        <w:rPr>
          <w:rFonts w:cs="Arial"/>
          <w:bCs/>
          <w:szCs w:val="24"/>
        </w:rPr>
        <w:t>(např. podmínky smlouvy).</w:t>
      </w:r>
    </w:p>
    <w:p w:rsidR="00F033FA" w:rsidRDefault="00F033FA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651D77" w:rsidRDefault="00651D77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651D77" w:rsidRDefault="00651D77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651D77" w:rsidRDefault="00651D77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651D77" w:rsidRPr="0028179B" w:rsidRDefault="00651D77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7C0859" w:rsidRPr="00D97D7B" w:rsidRDefault="007C0859" w:rsidP="00F033FA"/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F033FA" w:rsidRPr="00D97D7B" w:rsidTr="00C24A54">
        <w:trPr>
          <w:trHeight w:val="441"/>
        </w:trPr>
        <w:tc>
          <w:tcPr>
            <w:tcW w:w="4861" w:type="dxa"/>
            <w:vAlign w:val="center"/>
          </w:tcPr>
          <w:p w:rsidR="00F033FA" w:rsidRPr="00D97D7B" w:rsidRDefault="00F033FA" w:rsidP="00C24A54">
            <w:r>
              <w:t>V Olomouci dne ……….</w:t>
            </w:r>
          </w:p>
        </w:tc>
        <w:tc>
          <w:tcPr>
            <w:tcW w:w="4862" w:type="dxa"/>
            <w:vAlign w:val="center"/>
          </w:tcPr>
          <w:p w:rsidR="00F033FA" w:rsidRPr="00D97D7B" w:rsidRDefault="00F033FA" w:rsidP="00C24A54">
            <w:r>
              <w:t>V ……………………dne ……………………..</w:t>
            </w:r>
          </w:p>
        </w:tc>
      </w:tr>
      <w:tr w:rsidR="00651D77" w:rsidRPr="00D97D7B" w:rsidTr="00C24A54">
        <w:trPr>
          <w:trHeight w:val="441"/>
        </w:trPr>
        <w:tc>
          <w:tcPr>
            <w:tcW w:w="4861" w:type="dxa"/>
            <w:vAlign w:val="center"/>
          </w:tcPr>
          <w:p w:rsidR="00651D77" w:rsidRDefault="00651D77" w:rsidP="00C24A54"/>
          <w:p w:rsidR="00651D77" w:rsidRDefault="00651D77" w:rsidP="00C24A54"/>
        </w:tc>
        <w:tc>
          <w:tcPr>
            <w:tcW w:w="4862" w:type="dxa"/>
            <w:vAlign w:val="center"/>
          </w:tcPr>
          <w:p w:rsidR="00651D77" w:rsidRDefault="00651D77" w:rsidP="00C24A54"/>
        </w:tc>
      </w:tr>
      <w:tr w:rsidR="00F033FA" w:rsidRPr="00D97D7B" w:rsidTr="00C24A54">
        <w:trPr>
          <w:trHeight w:val="58"/>
        </w:trPr>
        <w:tc>
          <w:tcPr>
            <w:tcW w:w="4861" w:type="dxa"/>
            <w:vAlign w:val="bottom"/>
          </w:tcPr>
          <w:p w:rsidR="00F033FA" w:rsidRDefault="00F033FA" w:rsidP="00C24A54">
            <w:pPr>
              <w:rPr>
                <w:b/>
                <w:bCs/>
              </w:rPr>
            </w:pPr>
          </w:p>
          <w:p w:rsidR="00F033FA" w:rsidRDefault="00F033FA" w:rsidP="00C24A54">
            <w:pPr>
              <w:rPr>
                <w:b/>
                <w:bCs/>
              </w:rPr>
            </w:pPr>
          </w:p>
          <w:p w:rsidR="007C0859" w:rsidRDefault="007C0859" w:rsidP="00C24A54">
            <w:pPr>
              <w:rPr>
                <w:b/>
                <w:bCs/>
              </w:rPr>
            </w:pPr>
          </w:p>
          <w:p w:rsidR="007C0859" w:rsidRDefault="007C0859" w:rsidP="00C24A54">
            <w:pPr>
              <w:rPr>
                <w:b/>
                <w:bCs/>
              </w:rPr>
            </w:pPr>
          </w:p>
          <w:p w:rsidR="00F033FA" w:rsidRPr="001833C1" w:rsidRDefault="00F06B40" w:rsidP="00C24A54">
            <w:pPr>
              <w:rPr>
                <w:b/>
                <w:bCs/>
              </w:rPr>
            </w:pPr>
            <w:r w:rsidRPr="00F06B40">
              <w:rPr>
                <w:b/>
                <w:bCs/>
              </w:rPr>
              <w:pict>
                <v:rect id="_x0000_i1025" style="width:200.15pt;height:1.6pt" o:hrpct="848" o:hralign="center" o:hrstd="t" o:hr="t" fillcolor="gray" stroked="f"/>
              </w:pict>
            </w:r>
          </w:p>
          <w:p w:rsidR="00F033FA" w:rsidRPr="001833C1" w:rsidRDefault="00F033FA" w:rsidP="00C24A54">
            <w:pPr>
              <w:jc w:val="center"/>
              <w:rPr>
                <w:bCs/>
              </w:rPr>
            </w:pPr>
            <w:r w:rsidRPr="001833C1">
              <w:rPr>
                <w:bCs/>
              </w:rPr>
              <w:t>Fakultní nemocnice Olomouc</w:t>
            </w:r>
          </w:p>
          <w:p w:rsidR="00F033FA" w:rsidRPr="001833C1" w:rsidRDefault="00F033FA" w:rsidP="00D64F4F">
            <w:pPr>
              <w:jc w:val="center"/>
              <w:rPr>
                <w:bCs/>
              </w:rPr>
            </w:pPr>
            <w:r w:rsidRPr="001833C1">
              <w:rPr>
                <w:bCs/>
              </w:rPr>
              <w:t>(</w:t>
            </w:r>
            <w:r w:rsidR="00D64F4F">
              <w:rPr>
                <w:bCs/>
              </w:rPr>
              <w:t>objednatel</w:t>
            </w:r>
            <w:r w:rsidRPr="001833C1">
              <w:rPr>
                <w:bCs/>
              </w:rPr>
              <w:t>)</w:t>
            </w:r>
          </w:p>
        </w:tc>
        <w:tc>
          <w:tcPr>
            <w:tcW w:w="4862" w:type="dxa"/>
            <w:vAlign w:val="bottom"/>
          </w:tcPr>
          <w:p w:rsidR="00F033FA" w:rsidRPr="001833C1" w:rsidRDefault="00F06B40" w:rsidP="00C24A54">
            <w:pPr>
              <w:jc w:val="center"/>
              <w:rPr>
                <w:b/>
                <w:bCs/>
              </w:rPr>
            </w:pPr>
            <w:r w:rsidRPr="00F06B40">
              <w:rPr>
                <w:b/>
                <w:bCs/>
              </w:rPr>
              <w:pict>
                <v:rect id="_x0000_i1026" style="width:0;height:1.5pt" o:hralign="center" o:hrstd="t" o:hr="t" fillcolor="gray" stroked="f"/>
              </w:pict>
            </w:r>
          </w:p>
          <w:p w:rsidR="00F033FA" w:rsidRDefault="00F033FA" w:rsidP="00C24A54">
            <w:pPr>
              <w:jc w:val="center"/>
            </w:pPr>
            <w:r>
              <w:t>…………………</w:t>
            </w:r>
          </w:p>
          <w:p w:rsidR="00F033FA" w:rsidRPr="00C22895" w:rsidRDefault="00F033FA" w:rsidP="00D64F4F">
            <w:pPr>
              <w:jc w:val="center"/>
            </w:pPr>
            <w:r>
              <w:t>(</w:t>
            </w:r>
            <w:r w:rsidR="00D64F4F">
              <w:t>poskytovatel)</w:t>
            </w:r>
          </w:p>
        </w:tc>
      </w:tr>
    </w:tbl>
    <w:p w:rsidR="00F033FA" w:rsidRDefault="00F033FA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F033FA" w:rsidRDefault="00F033FA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C24A54" w:rsidRDefault="00C24A54" w:rsidP="00CC52B4">
      <w:pPr>
        <w:tabs>
          <w:tab w:val="center" w:pos="4500"/>
        </w:tabs>
        <w:jc w:val="center"/>
      </w:pPr>
    </w:p>
    <w:sectPr w:rsidR="00C24A54" w:rsidSect="00C24A5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A2" w:rsidRDefault="00254BA2" w:rsidP="00AA0B4A">
      <w:r>
        <w:separator/>
      </w:r>
    </w:p>
  </w:endnote>
  <w:endnote w:type="continuationSeparator" w:id="0">
    <w:p w:rsidR="00254BA2" w:rsidRDefault="00254BA2" w:rsidP="00AA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8" w:rsidRDefault="00F06B40" w:rsidP="00C24A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5A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5A48" w:rsidRDefault="008D5A4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8" w:rsidRDefault="008D5A48" w:rsidP="00C24A54">
    <w:pPr>
      <w:pStyle w:val="Zpat"/>
      <w:framePr w:wrap="around" w:vAnchor="text" w:hAnchor="margin" w:xAlign="center" w:y="1"/>
      <w:rPr>
        <w:rStyle w:val="slostrnky"/>
      </w:rPr>
    </w:pPr>
  </w:p>
  <w:p w:rsidR="008D5A48" w:rsidRDefault="008D5A48">
    <w:pPr>
      <w:pStyle w:val="Zpat"/>
      <w:framePr w:wrap="around" w:vAnchor="text" w:hAnchor="margin" w:xAlign="center" w:y="1"/>
      <w:rPr>
        <w:rStyle w:val="slostrnky"/>
      </w:rPr>
    </w:pPr>
  </w:p>
  <w:p w:rsidR="008D5A48" w:rsidRDefault="008D5A48" w:rsidP="00C24A54">
    <w:pPr>
      <w:pStyle w:val="Zpat"/>
    </w:pPr>
    <w:r>
      <w:tab/>
      <w:t xml:space="preserve">- </w:t>
    </w:r>
    <w:r w:rsidR="00F06B40">
      <w:fldChar w:fldCharType="begin"/>
    </w:r>
    <w:r w:rsidR="003B604D">
      <w:instrText xml:space="preserve"> PAGE </w:instrText>
    </w:r>
    <w:r w:rsidR="00F06B40">
      <w:fldChar w:fldCharType="separate"/>
    </w:r>
    <w:r w:rsidR="00543828">
      <w:rPr>
        <w:noProof/>
      </w:rPr>
      <w:t>5</w:t>
    </w:r>
    <w:r w:rsidR="00F06B40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A2" w:rsidRDefault="00254BA2" w:rsidP="00AA0B4A">
      <w:r>
        <w:separator/>
      </w:r>
    </w:p>
  </w:footnote>
  <w:footnote w:type="continuationSeparator" w:id="0">
    <w:p w:rsidR="00254BA2" w:rsidRDefault="00254BA2" w:rsidP="00AA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8" w:rsidRDefault="008D5A48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8" w:rsidRPr="006A4E12" w:rsidRDefault="008D5A48" w:rsidP="00C24A5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5230495</wp:posOffset>
          </wp:positionH>
          <wp:positionV relativeFrom="line">
            <wp:posOffset>-292735</wp:posOffset>
          </wp:positionV>
          <wp:extent cx="1397000" cy="393700"/>
          <wp:effectExtent l="0" t="0" r="0" b="635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033FA"/>
    <w:rsid w:val="00002E5F"/>
    <w:rsid w:val="00005457"/>
    <w:rsid w:val="00016F31"/>
    <w:rsid w:val="00030E3E"/>
    <w:rsid w:val="0003518B"/>
    <w:rsid w:val="0003649A"/>
    <w:rsid w:val="000B6CF5"/>
    <w:rsid w:val="000D4C5D"/>
    <w:rsid w:val="000E3184"/>
    <w:rsid w:val="0013063D"/>
    <w:rsid w:val="00183115"/>
    <w:rsid w:val="00215F65"/>
    <w:rsid w:val="00254BA2"/>
    <w:rsid w:val="002635D4"/>
    <w:rsid w:val="002A2768"/>
    <w:rsid w:val="002F59BF"/>
    <w:rsid w:val="0033464D"/>
    <w:rsid w:val="003B604D"/>
    <w:rsid w:val="003E5918"/>
    <w:rsid w:val="00455987"/>
    <w:rsid w:val="00476FDA"/>
    <w:rsid w:val="00487BE7"/>
    <w:rsid w:val="004B4B0E"/>
    <w:rsid w:val="00512B98"/>
    <w:rsid w:val="00543828"/>
    <w:rsid w:val="00594CA3"/>
    <w:rsid w:val="005A42F1"/>
    <w:rsid w:val="00634582"/>
    <w:rsid w:val="00651D77"/>
    <w:rsid w:val="0066655F"/>
    <w:rsid w:val="006A48AB"/>
    <w:rsid w:val="007619D9"/>
    <w:rsid w:val="0079090A"/>
    <w:rsid w:val="007B6863"/>
    <w:rsid w:val="007C0859"/>
    <w:rsid w:val="00814FF8"/>
    <w:rsid w:val="00850C7C"/>
    <w:rsid w:val="00896EF1"/>
    <w:rsid w:val="008B1A6B"/>
    <w:rsid w:val="008D3805"/>
    <w:rsid w:val="008D5A48"/>
    <w:rsid w:val="0093321D"/>
    <w:rsid w:val="009545C2"/>
    <w:rsid w:val="00966FF5"/>
    <w:rsid w:val="009E145D"/>
    <w:rsid w:val="00A75214"/>
    <w:rsid w:val="00A946BA"/>
    <w:rsid w:val="00AA0B4A"/>
    <w:rsid w:val="00B37E3B"/>
    <w:rsid w:val="00B47369"/>
    <w:rsid w:val="00BB5F55"/>
    <w:rsid w:val="00BE0816"/>
    <w:rsid w:val="00C24A54"/>
    <w:rsid w:val="00C77222"/>
    <w:rsid w:val="00C7774E"/>
    <w:rsid w:val="00C940AC"/>
    <w:rsid w:val="00CC52B4"/>
    <w:rsid w:val="00CF7042"/>
    <w:rsid w:val="00D03901"/>
    <w:rsid w:val="00D64F4F"/>
    <w:rsid w:val="00D94143"/>
    <w:rsid w:val="00D97812"/>
    <w:rsid w:val="00DC3EFB"/>
    <w:rsid w:val="00E66F86"/>
    <w:rsid w:val="00E7583F"/>
    <w:rsid w:val="00EE34B4"/>
    <w:rsid w:val="00EF02CF"/>
    <w:rsid w:val="00EF70E7"/>
    <w:rsid w:val="00F033FA"/>
    <w:rsid w:val="00F06B40"/>
    <w:rsid w:val="00F303F1"/>
    <w:rsid w:val="00F96856"/>
    <w:rsid w:val="00FB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3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F033FA"/>
  </w:style>
  <w:style w:type="paragraph" w:styleId="Zhlav">
    <w:name w:val="header"/>
    <w:basedOn w:val="Normln"/>
    <w:link w:val="Zhlav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3FA"/>
    <w:pPr>
      <w:numPr>
        <w:ilvl w:val="1"/>
        <w:numId w:val="1"/>
      </w:numPr>
      <w:spacing w:before="60"/>
      <w:ind w:left="862"/>
      <w:jc w:val="both"/>
    </w:pPr>
    <w:rPr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183115"/>
    <w:pPr>
      <w:keepLines w:val="0"/>
      <w:spacing w:before="480" w:after="120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F033FA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183115"/>
    <w:rPr>
      <w:rFonts w:ascii="Calibri" w:eastAsia="Times New Roman" w:hAnsi="Calibri" w:cs="Times New Roman"/>
      <w:b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F033FA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033FA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F033FA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033FA"/>
    <w:pPr>
      <w:ind w:left="708"/>
    </w:pPr>
  </w:style>
  <w:style w:type="paragraph" w:styleId="Textkomente">
    <w:name w:val="annotation text"/>
    <w:basedOn w:val="Normln"/>
    <w:link w:val="TextkomenteChar"/>
    <w:unhideWhenUsed/>
    <w:rsid w:val="00F03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33FA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3063D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6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0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17BC1-1390-4D66-AB5B-71858831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63199</cp:lastModifiedBy>
  <cp:revision>4</cp:revision>
  <cp:lastPrinted>2014-08-08T07:46:00Z</cp:lastPrinted>
  <dcterms:created xsi:type="dcterms:W3CDTF">2016-05-19T08:27:00Z</dcterms:created>
  <dcterms:modified xsi:type="dcterms:W3CDTF">2016-05-20T08:02:00Z</dcterms:modified>
</cp:coreProperties>
</file>