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42F" w:rsidRDefault="00FD042F" w:rsidP="00FD042F">
      <w:pPr>
        <w:spacing w:after="0" w:line="240" w:lineRule="auto"/>
        <w:rPr>
          <w:rFonts w:ascii="Calibri" w:hAnsi="Calibri"/>
          <w:b/>
          <w:color w:val="706F6F"/>
          <w:sz w:val="25"/>
          <w:szCs w:val="25"/>
        </w:rPr>
      </w:pPr>
    </w:p>
    <w:p w:rsidR="00FD042F" w:rsidRDefault="00FD042F" w:rsidP="00FD042F">
      <w:pPr>
        <w:spacing w:after="0" w:line="240" w:lineRule="auto"/>
        <w:rPr>
          <w:rFonts w:ascii="Calibri" w:hAnsi="Calibri"/>
          <w:b/>
          <w:color w:val="706F6F"/>
          <w:sz w:val="25"/>
          <w:szCs w:val="25"/>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7"/>
        <w:gridCol w:w="2054"/>
      </w:tblGrid>
      <w:tr w:rsidR="005C147E" w:rsidTr="005C147E">
        <w:tc>
          <w:tcPr>
            <w:tcW w:w="6487" w:type="dxa"/>
          </w:tcPr>
          <w:p w:rsidR="005C147E" w:rsidRDefault="00040D05" w:rsidP="00FD042F">
            <w:pPr>
              <w:rPr>
                <w:rFonts w:ascii="Calibri" w:hAnsi="Calibri"/>
                <w:b/>
                <w:color w:val="706F6F"/>
                <w:sz w:val="25"/>
                <w:szCs w:val="25"/>
              </w:rPr>
            </w:pPr>
            <w:r>
              <w:rPr>
                <w:rFonts w:ascii="Calibri" w:hAnsi="Calibri"/>
                <w:b/>
                <w:color w:val="706F6F"/>
                <w:sz w:val="25"/>
                <w:szCs w:val="25"/>
              </w:rPr>
              <w:t>Transfuzní oddělení</w:t>
            </w:r>
          </w:p>
          <w:p w:rsidR="00040D05" w:rsidRDefault="00040D05" w:rsidP="00FD042F">
            <w:pPr>
              <w:rPr>
                <w:rFonts w:ascii="Calibri" w:hAnsi="Calibri"/>
                <w:b/>
                <w:color w:val="706F6F"/>
                <w:sz w:val="25"/>
                <w:szCs w:val="25"/>
              </w:rPr>
            </w:pPr>
          </w:p>
          <w:p w:rsidR="00040D05" w:rsidRDefault="00040D05" w:rsidP="00FD042F">
            <w:pPr>
              <w:rPr>
                <w:rFonts w:ascii="Calibri" w:hAnsi="Calibri"/>
                <w:b/>
                <w:color w:val="706F6F"/>
                <w:sz w:val="25"/>
                <w:szCs w:val="25"/>
              </w:rPr>
            </w:pPr>
          </w:p>
          <w:p w:rsidR="00A53E0A" w:rsidRDefault="00435E6A" w:rsidP="00A53E0A">
            <w:pPr>
              <w:rPr>
                <w:rFonts w:ascii="Calibri" w:hAnsi="Calibri"/>
                <w:b/>
                <w:color w:val="706F6F"/>
                <w:sz w:val="25"/>
                <w:szCs w:val="25"/>
              </w:rPr>
            </w:pPr>
            <w:r>
              <w:rPr>
                <w:rFonts w:ascii="Calibri" w:hAnsi="Calibri"/>
                <w:b/>
                <w:color w:val="706F6F"/>
                <w:sz w:val="25"/>
                <w:szCs w:val="25"/>
              </w:rPr>
              <w:t>Vážen</w:t>
            </w:r>
            <w:r w:rsidR="00231682">
              <w:rPr>
                <w:rFonts w:ascii="Calibri" w:hAnsi="Calibri"/>
                <w:b/>
                <w:color w:val="706F6F"/>
                <w:sz w:val="25"/>
                <w:szCs w:val="25"/>
              </w:rPr>
              <w:t>ý</w:t>
            </w:r>
            <w:r>
              <w:rPr>
                <w:rFonts w:ascii="Calibri" w:hAnsi="Calibri"/>
                <w:b/>
                <w:color w:val="706F6F"/>
                <w:sz w:val="25"/>
                <w:szCs w:val="25"/>
              </w:rPr>
              <w:t xml:space="preserve"> pan</w:t>
            </w:r>
          </w:p>
          <w:p w:rsidR="00C739B3" w:rsidRDefault="00231682" w:rsidP="00B35AED">
            <w:pPr>
              <w:rPr>
                <w:rFonts w:ascii="Calibri" w:hAnsi="Calibri"/>
                <w:b/>
                <w:color w:val="706F6F"/>
                <w:sz w:val="25"/>
                <w:szCs w:val="25"/>
              </w:rPr>
            </w:pPr>
            <w:r>
              <w:rPr>
                <w:rFonts w:ascii="Calibri" w:hAnsi="Calibri"/>
                <w:b/>
                <w:color w:val="706F6F"/>
                <w:sz w:val="25"/>
                <w:szCs w:val="25"/>
              </w:rPr>
              <w:t>Ing. Miroslav Rosulek</w:t>
            </w:r>
          </w:p>
          <w:p w:rsidR="00231682" w:rsidRDefault="00231682" w:rsidP="00B35AED">
            <w:pPr>
              <w:rPr>
                <w:rFonts w:ascii="Calibri" w:hAnsi="Calibri"/>
                <w:b/>
                <w:color w:val="706F6F"/>
                <w:sz w:val="25"/>
                <w:szCs w:val="25"/>
              </w:rPr>
            </w:pPr>
            <w:r>
              <w:rPr>
                <w:rFonts w:ascii="Calibri" w:hAnsi="Calibri"/>
                <w:b/>
                <w:color w:val="706F6F"/>
                <w:sz w:val="25"/>
                <w:szCs w:val="25"/>
              </w:rPr>
              <w:t xml:space="preserve">vedoucí Odd. biomedicínského inženýrství </w:t>
            </w:r>
          </w:p>
          <w:p w:rsidR="00C739B3" w:rsidRDefault="00231682" w:rsidP="00B35AED">
            <w:pPr>
              <w:rPr>
                <w:rFonts w:ascii="Calibri" w:hAnsi="Calibri"/>
                <w:b/>
                <w:color w:val="706F6F"/>
                <w:sz w:val="25"/>
                <w:szCs w:val="25"/>
              </w:rPr>
            </w:pPr>
            <w:r>
              <w:rPr>
                <w:rFonts w:ascii="Calibri" w:hAnsi="Calibri"/>
                <w:b/>
                <w:color w:val="706F6F"/>
                <w:sz w:val="25"/>
                <w:szCs w:val="25"/>
              </w:rPr>
              <w:t>FN Olomouc</w:t>
            </w:r>
          </w:p>
        </w:tc>
        <w:tc>
          <w:tcPr>
            <w:tcW w:w="2054" w:type="dxa"/>
          </w:tcPr>
          <w:p w:rsidR="005C147E" w:rsidRDefault="005C147E" w:rsidP="005C147E">
            <w:pPr>
              <w:pStyle w:val="Heading1"/>
              <w:spacing w:before="0"/>
              <w:ind w:left="0"/>
              <w:jc w:val="right"/>
              <w:rPr>
                <w:rFonts w:ascii="Calibri Light" w:hAnsi="Calibri Light"/>
                <w:b w:val="0"/>
                <w:color w:val="706F6F"/>
                <w:sz w:val="21"/>
                <w:szCs w:val="21"/>
                <w:lang w:val="cs-CZ"/>
              </w:rPr>
            </w:pPr>
            <w:r w:rsidRPr="00AF4F74">
              <w:rPr>
                <w:rFonts w:ascii="Calibri Light" w:hAnsi="Calibri Light"/>
                <w:b w:val="0"/>
                <w:color w:val="706F6F"/>
                <w:sz w:val="21"/>
                <w:szCs w:val="21"/>
                <w:lang w:val="cs-CZ"/>
              </w:rPr>
              <w:t>V Olomouci</w:t>
            </w:r>
          </w:p>
          <w:p w:rsidR="005C147E" w:rsidRDefault="00231682" w:rsidP="00435E6A">
            <w:pPr>
              <w:pStyle w:val="Heading1"/>
              <w:spacing w:before="0" w:after="2400"/>
              <w:ind w:left="0"/>
              <w:jc w:val="right"/>
              <w:rPr>
                <w:b w:val="0"/>
                <w:color w:val="706F6F"/>
              </w:rPr>
            </w:pPr>
            <w:r>
              <w:rPr>
                <w:rFonts w:ascii="Calibri Light" w:hAnsi="Calibri Light"/>
                <w:b w:val="0"/>
                <w:color w:val="706F6F"/>
                <w:sz w:val="21"/>
                <w:szCs w:val="21"/>
                <w:lang w:val="cs-CZ"/>
              </w:rPr>
              <w:t>10.12.2020</w:t>
            </w:r>
          </w:p>
        </w:tc>
      </w:tr>
    </w:tbl>
    <w:p w:rsidR="00334D5B" w:rsidRDefault="00334D5B" w:rsidP="00FD042F">
      <w:pPr>
        <w:spacing w:before="120" w:after="0" w:line="240" w:lineRule="auto"/>
        <w:rPr>
          <w:rFonts w:ascii="Calibri Light" w:hAnsi="Calibri Light" w:cs="Calibri Light"/>
          <w:color w:val="1D1D1B"/>
          <w:sz w:val="21"/>
          <w:szCs w:val="21"/>
        </w:rPr>
      </w:pPr>
    </w:p>
    <w:p w:rsidR="00334D5B" w:rsidRPr="00231682" w:rsidRDefault="00231682" w:rsidP="00FD042F">
      <w:pPr>
        <w:spacing w:before="120" w:after="0" w:line="240" w:lineRule="auto"/>
        <w:rPr>
          <w:rFonts w:cstheme="minorHAnsi"/>
          <w:b/>
          <w:color w:val="1D1D1B"/>
          <w:sz w:val="24"/>
          <w:szCs w:val="24"/>
        </w:rPr>
      </w:pPr>
      <w:r w:rsidRPr="00231682">
        <w:rPr>
          <w:rFonts w:cstheme="minorHAnsi"/>
          <w:b/>
          <w:color w:val="1D1D1B"/>
          <w:sz w:val="24"/>
          <w:szCs w:val="24"/>
        </w:rPr>
        <w:t>Transfuzní oddělení</w:t>
      </w:r>
    </w:p>
    <w:p w:rsidR="00231682" w:rsidRDefault="00231682" w:rsidP="00FD042F">
      <w:pPr>
        <w:spacing w:before="120" w:after="0" w:line="240" w:lineRule="auto"/>
        <w:rPr>
          <w:rFonts w:ascii="Calibri Light" w:hAnsi="Calibri Light" w:cs="Calibri Light"/>
          <w:color w:val="1D1D1B"/>
          <w:sz w:val="21"/>
          <w:szCs w:val="21"/>
        </w:rPr>
      </w:pPr>
    </w:p>
    <w:p w:rsidR="00231682" w:rsidRPr="00231682" w:rsidRDefault="00231682" w:rsidP="00231682">
      <w:pPr>
        <w:pStyle w:val="Bezmezer"/>
        <w:rPr>
          <w:rFonts w:cs="Calibri"/>
          <w:sz w:val="24"/>
          <w:szCs w:val="24"/>
        </w:rPr>
      </w:pPr>
      <w:r w:rsidRPr="00231682">
        <w:rPr>
          <w:rFonts w:cs="Calibri"/>
          <w:sz w:val="24"/>
          <w:szCs w:val="24"/>
        </w:rPr>
        <w:t>Transfuzní oddělení Fakultní nemocnice Olomouc (TO FNOL) je referenční laboratoří pro celý Olomoucký kraj a krizový</w:t>
      </w:r>
      <w:r>
        <w:rPr>
          <w:rFonts w:cs="Calibri"/>
          <w:sz w:val="24"/>
          <w:szCs w:val="24"/>
        </w:rPr>
        <w:t>m</w:t>
      </w:r>
      <w:r w:rsidRPr="00231682">
        <w:rPr>
          <w:rFonts w:cs="Calibri"/>
          <w:sz w:val="24"/>
          <w:szCs w:val="24"/>
        </w:rPr>
        <w:t xml:space="preserve"> transfuzním centrem pro Olomoucký a Zlínský kraj.</w:t>
      </w:r>
    </w:p>
    <w:p w:rsidR="00231682" w:rsidRPr="00231682" w:rsidRDefault="00231682" w:rsidP="00231682">
      <w:pPr>
        <w:pStyle w:val="Bezmezer"/>
        <w:rPr>
          <w:rFonts w:cs="Calibri"/>
          <w:sz w:val="24"/>
          <w:szCs w:val="24"/>
        </w:rPr>
      </w:pPr>
      <w:r w:rsidRPr="00231682">
        <w:rPr>
          <w:rFonts w:cs="Calibri"/>
          <w:sz w:val="24"/>
          <w:szCs w:val="24"/>
        </w:rPr>
        <w:t>Laboratoře  transfuzního oddělení se dělí na 9 podtypů (centrální příjem krevních vzorků, krevní banku, laboratoř testů slučitelnosti, prenatální laboratoř, speciální imunohematologickou laboratoř, imunohematologii dárců krve, laboratoř infekčních markerů, hematologickou, bakteriologickou a kontrolní laboratoř k vyšetřovaní transfuzních přípravků).</w:t>
      </w:r>
    </w:p>
    <w:p w:rsidR="00231682" w:rsidRPr="00231682" w:rsidRDefault="00231682" w:rsidP="00231682">
      <w:pPr>
        <w:pStyle w:val="Bezmezer"/>
        <w:rPr>
          <w:rFonts w:cs="Calibri"/>
          <w:sz w:val="24"/>
          <w:szCs w:val="24"/>
        </w:rPr>
      </w:pPr>
      <w:r w:rsidRPr="00231682">
        <w:rPr>
          <w:rFonts w:cs="Calibri"/>
          <w:sz w:val="24"/>
          <w:szCs w:val="24"/>
        </w:rPr>
        <w:t xml:space="preserve">Transfuzní oddělení muselo uvolnit před 6 lety část svých laboratorních prostor </w:t>
      </w:r>
      <w:r>
        <w:rPr>
          <w:rFonts w:cs="Calibri"/>
          <w:sz w:val="24"/>
          <w:szCs w:val="24"/>
        </w:rPr>
        <w:t>H</w:t>
      </w:r>
      <w:r w:rsidRPr="00231682">
        <w:rPr>
          <w:rFonts w:cs="Calibri"/>
          <w:sz w:val="24"/>
          <w:szCs w:val="24"/>
        </w:rPr>
        <w:t xml:space="preserve">emato-onkologické klinice s příslibem získání nové budovy do dvou let!  HOK  měla  možnost rozšířit kryobanku, separační jednotku, inspekční pokoje pro lékaře, ale naopak TO se dostala do prostorové krize, nesplňující ani základní zákonné normy. </w:t>
      </w:r>
    </w:p>
    <w:p w:rsidR="00231682" w:rsidRPr="00231682" w:rsidRDefault="00231682" w:rsidP="00231682">
      <w:pPr>
        <w:pStyle w:val="Bezmezer"/>
        <w:rPr>
          <w:rFonts w:cs="Calibri"/>
          <w:sz w:val="24"/>
          <w:szCs w:val="24"/>
        </w:rPr>
      </w:pPr>
    </w:p>
    <w:p w:rsidR="00231682" w:rsidRPr="00231682" w:rsidRDefault="00231682" w:rsidP="00231682">
      <w:pPr>
        <w:pStyle w:val="Bezmezer"/>
        <w:rPr>
          <w:rFonts w:cs="Calibri"/>
          <w:sz w:val="24"/>
          <w:szCs w:val="24"/>
        </w:rPr>
      </w:pPr>
      <w:r w:rsidRPr="00231682">
        <w:rPr>
          <w:rFonts w:cs="Calibri"/>
          <w:sz w:val="24"/>
          <w:szCs w:val="24"/>
        </w:rPr>
        <w:t>TO je jedinou laboratoří FNOL, která nemá  hygienickou  smyčku.</w:t>
      </w:r>
    </w:p>
    <w:p w:rsidR="00231682" w:rsidRPr="00231682" w:rsidRDefault="00231682" w:rsidP="00231682">
      <w:pPr>
        <w:pStyle w:val="Bezmezer"/>
        <w:rPr>
          <w:rFonts w:cs="Calibri"/>
          <w:sz w:val="24"/>
          <w:szCs w:val="24"/>
        </w:rPr>
      </w:pPr>
      <w:r w:rsidRPr="00231682">
        <w:rPr>
          <w:rFonts w:cs="Calibri"/>
          <w:sz w:val="24"/>
          <w:szCs w:val="24"/>
        </w:rPr>
        <w:t xml:space="preserve">Jednotlivé laboratoře jsou umístěny  v malých místnostech, proto nelze využít moderních  automatických přístrojových linek, při kterých by bylo vyšetření kvalitnější  a práce s krevním vzorkem by byla pro personál mnohem bezpečnější. </w:t>
      </w:r>
    </w:p>
    <w:p w:rsidR="00231682" w:rsidRPr="00231682" w:rsidRDefault="00231682" w:rsidP="00231682">
      <w:pPr>
        <w:pStyle w:val="Bezmezer"/>
        <w:rPr>
          <w:rFonts w:cs="Calibri"/>
          <w:sz w:val="24"/>
          <w:szCs w:val="24"/>
        </w:rPr>
      </w:pPr>
      <w:r w:rsidRPr="00231682">
        <w:rPr>
          <w:rFonts w:cs="Calibri"/>
          <w:sz w:val="24"/>
          <w:szCs w:val="24"/>
        </w:rPr>
        <w:t>Sklady laboratorního materiálů a archiv  laboratorních výsledků  jsou umístěny ve skříních na chodbě, které jsou zároveň únikovým prostorem.</w:t>
      </w:r>
    </w:p>
    <w:p w:rsidR="00231682" w:rsidRPr="00231682" w:rsidRDefault="00231682" w:rsidP="00231682">
      <w:pPr>
        <w:pStyle w:val="Bezmezer"/>
        <w:rPr>
          <w:rFonts w:cs="Calibri"/>
          <w:sz w:val="24"/>
          <w:szCs w:val="24"/>
        </w:rPr>
      </w:pPr>
    </w:p>
    <w:p w:rsidR="00231682" w:rsidRPr="00231682" w:rsidRDefault="00231682" w:rsidP="00231682">
      <w:pPr>
        <w:pStyle w:val="Bezmezer"/>
        <w:rPr>
          <w:rFonts w:cs="Calibri"/>
          <w:sz w:val="24"/>
          <w:szCs w:val="24"/>
        </w:rPr>
      </w:pPr>
      <w:r w:rsidRPr="00231682">
        <w:rPr>
          <w:rFonts w:cs="Calibri"/>
          <w:sz w:val="24"/>
          <w:szCs w:val="24"/>
        </w:rPr>
        <w:t>Strategie  rozvoje - návrh:</w:t>
      </w:r>
    </w:p>
    <w:p w:rsidR="00231682" w:rsidRPr="00231682" w:rsidRDefault="0090408D" w:rsidP="0090408D">
      <w:pPr>
        <w:pStyle w:val="Bezmezer"/>
        <w:rPr>
          <w:rFonts w:cs="Calibri"/>
          <w:b/>
          <w:sz w:val="24"/>
          <w:szCs w:val="24"/>
        </w:rPr>
      </w:pPr>
      <w:r>
        <w:rPr>
          <w:rFonts w:cs="Calibri"/>
          <w:b/>
          <w:sz w:val="24"/>
          <w:szCs w:val="24"/>
        </w:rPr>
        <w:t xml:space="preserve">1. </w:t>
      </w:r>
      <w:r w:rsidR="00231682" w:rsidRPr="00231682">
        <w:rPr>
          <w:rFonts w:cs="Calibri"/>
          <w:b/>
          <w:sz w:val="24"/>
          <w:szCs w:val="24"/>
        </w:rPr>
        <w:t>Dostavba terasy a tím rozšíření prostor TO</w:t>
      </w:r>
    </w:p>
    <w:p w:rsidR="00231682" w:rsidRPr="00231682" w:rsidRDefault="00231682" w:rsidP="00231682">
      <w:pPr>
        <w:pStyle w:val="Bezmezer"/>
        <w:numPr>
          <w:ilvl w:val="0"/>
          <w:numId w:val="1"/>
        </w:numPr>
        <w:rPr>
          <w:rFonts w:cs="Calibri"/>
          <w:sz w:val="24"/>
          <w:szCs w:val="24"/>
        </w:rPr>
      </w:pPr>
      <w:r w:rsidRPr="00231682">
        <w:rPr>
          <w:rFonts w:cs="Calibri"/>
          <w:sz w:val="24"/>
          <w:szCs w:val="24"/>
        </w:rPr>
        <w:t>Zvětšení laboratorních prostor a tím možnost  vzniku hygienické smyčky, skladu, archivu a nové laboratoře k vyšetření  krevních vzorků pomocí metody  NAT</w:t>
      </w:r>
      <w:r w:rsidRPr="00231682">
        <w:rPr>
          <w:rFonts w:cs="Calibri"/>
          <w:sz w:val="24"/>
          <w:szCs w:val="24"/>
          <w:shd w:val="clear" w:color="auto" w:fill="FFFFFF"/>
        </w:rPr>
        <w:t> (Nucleic Acid Test) a vznik místnosti pro sanitáře centrální  pochůzkové služby.</w:t>
      </w:r>
    </w:p>
    <w:p w:rsidR="00231682" w:rsidRPr="00231682" w:rsidRDefault="00231682" w:rsidP="00231682">
      <w:pPr>
        <w:pStyle w:val="Bezmezer"/>
        <w:numPr>
          <w:ilvl w:val="0"/>
          <w:numId w:val="1"/>
        </w:numPr>
        <w:rPr>
          <w:rFonts w:cs="Calibri"/>
          <w:sz w:val="24"/>
          <w:szCs w:val="24"/>
        </w:rPr>
      </w:pPr>
      <w:r w:rsidRPr="00231682">
        <w:rPr>
          <w:rFonts w:cs="Calibri"/>
          <w:sz w:val="24"/>
          <w:szCs w:val="24"/>
        </w:rPr>
        <w:t>Rekonstrukce stávajících prostor propojením některých laboratoří tak, aby bylo možné využít moderní přístrojové automatické linky.</w:t>
      </w:r>
    </w:p>
    <w:p w:rsidR="00231682" w:rsidRPr="00231682" w:rsidRDefault="00231682" w:rsidP="00231682">
      <w:pPr>
        <w:pStyle w:val="Bezmezer"/>
        <w:numPr>
          <w:ilvl w:val="0"/>
          <w:numId w:val="1"/>
        </w:numPr>
        <w:rPr>
          <w:rFonts w:cs="Calibri"/>
          <w:sz w:val="24"/>
          <w:szCs w:val="24"/>
        </w:rPr>
      </w:pPr>
      <w:r w:rsidRPr="00231682">
        <w:rPr>
          <w:rFonts w:cs="Calibri"/>
          <w:sz w:val="24"/>
          <w:szCs w:val="24"/>
        </w:rPr>
        <w:t>Rozšíření propojení odděl</w:t>
      </w:r>
      <w:r>
        <w:rPr>
          <w:rFonts w:cs="Calibri"/>
          <w:sz w:val="24"/>
          <w:szCs w:val="24"/>
        </w:rPr>
        <w:t>e</w:t>
      </w:r>
      <w:r w:rsidRPr="00231682">
        <w:rPr>
          <w:rFonts w:cs="Calibri"/>
          <w:sz w:val="24"/>
          <w:szCs w:val="24"/>
        </w:rPr>
        <w:t>ní potrubní poštou.</w:t>
      </w:r>
    </w:p>
    <w:p w:rsidR="00231682" w:rsidRPr="00231682" w:rsidRDefault="00231682" w:rsidP="00231682">
      <w:pPr>
        <w:pStyle w:val="Bezmezer"/>
        <w:rPr>
          <w:rFonts w:cs="Calibri"/>
          <w:sz w:val="24"/>
          <w:szCs w:val="24"/>
        </w:rPr>
      </w:pPr>
    </w:p>
    <w:p w:rsidR="00231682" w:rsidRDefault="00231682" w:rsidP="00231682">
      <w:pPr>
        <w:pStyle w:val="Bezmezer"/>
        <w:rPr>
          <w:rFonts w:cs="Calibri"/>
          <w:sz w:val="24"/>
          <w:szCs w:val="24"/>
        </w:rPr>
      </w:pPr>
    </w:p>
    <w:p w:rsidR="00231682" w:rsidRDefault="00231682" w:rsidP="00231682">
      <w:pPr>
        <w:pStyle w:val="Bezmezer"/>
        <w:rPr>
          <w:rFonts w:cs="Calibri"/>
          <w:sz w:val="24"/>
          <w:szCs w:val="24"/>
        </w:rPr>
      </w:pPr>
    </w:p>
    <w:p w:rsidR="00231682" w:rsidRDefault="00231682" w:rsidP="00231682">
      <w:pPr>
        <w:pStyle w:val="Bezmezer"/>
        <w:rPr>
          <w:rFonts w:cs="Calibri"/>
          <w:sz w:val="24"/>
          <w:szCs w:val="24"/>
        </w:rPr>
      </w:pPr>
    </w:p>
    <w:p w:rsidR="00231682" w:rsidRPr="00231682" w:rsidRDefault="00231682" w:rsidP="00231682">
      <w:pPr>
        <w:pStyle w:val="Bezmezer"/>
        <w:rPr>
          <w:rFonts w:cs="Calibri"/>
          <w:sz w:val="24"/>
          <w:szCs w:val="24"/>
        </w:rPr>
      </w:pPr>
    </w:p>
    <w:p w:rsidR="00231682" w:rsidRPr="00231682" w:rsidRDefault="00231682" w:rsidP="0090408D">
      <w:pPr>
        <w:pStyle w:val="Bezmezer"/>
        <w:rPr>
          <w:rFonts w:cs="Calibri"/>
          <w:b/>
          <w:sz w:val="24"/>
          <w:szCs w:val="24"/>
        </w:rPr>
      </w:pPr>
      <w:r w:rsidRPr="00931179">
        <w:rPr>
          <w:rFonts w:cs="Calibri"/>
          <w:b/>
          <w:sz w:val="24"/>
          <w:szCs w:val="24"/>
        </w:rPr>
        <w:t>2</w:t>
      </w:r>
      <w:r w:rsidRPr="00231682">
        <w:rPr>
          <w:rFonts w:cs="Calibri"/>
          <w:b/>
          <w:sz w:val="24"/>
          <w:szCs w:val="24"/>
        </w:rPr>
        <w:t xml:space="preserve">.  Přístrojová technika: </w:t>
      </w:r>
    </w:p>
    <w:p w:rsidR="00231682" w:rsidRPr="00231682" w:rsidRDefault="00231682" w:rsidP="00231682">
      <w:pPr>
        <w:pStyle w:val="Bezmezer"/>
        <w:rPr>
          <w:rFonts w:cs="Calibri"/>
          <w:sz w:val="24"/>
          <w:szCs w:val="24"/>
        </w:rPr>
      </w:pPr>
    </w:p>
    <w:p w:rsidR="00231682" w:rsidRPr="00231682" w:rsidRDefault="00931179" w:rsidP="00931179">
      <w:pPr>
        <w:pStyle w:val="Bezmezer"/>
        <w:rPr>
          <w:rFonts w:cs="Calibri"/>
          <w:b/>
          <w:sz w:val="24"/>
          <w:szCs w:val="24"/>
        </w:rPr>
      </w:pPr>
      <w:r>
        <w:rPr>
          <w:rFonts w:cs="Calibri"/>
          <w:b/>
          <w:sz w:val="24"/>
          <w:szCs w:val="24"/>
        </w:rPr>
        <w:t xml:space="preserve">a) </w:t>
      </w:r>
      <w:r w:rsidR="00231682" w:rsidRPr="00231682">
        <w:rPr>
          <w:rFonts w:cs="Calibri"/>
          <w:b/>
          <w:sz w:val="24"/>
          <w:szCs w:val="24"/>
        </w:rPr>
        <w:t>Laboratoř infekčních markerů – nová přístrojová technika</w:t>
      </w:r>
    </w:p>
    <w:p w:rsidR="00231682" w:rsidRPr="00231682" w:rsidRDefault="00231682" w:rsidP="00231682">
      <w:pPr>
        <w:pStyle w:val="Bezmezer"/>
        <w:rPr>
          <w:rFonts w:cs="Calibri"/>
          <w:b/>
          <w:sz w:val="24"/>
          <w:szCs w:val="24"/>
        </w:rPr>
      </w:pPr>
      <w:r w:rsidRPr="00231682">
        <w:rPr>
          <w:rFonts w:cs="Calibri"/>
          <w:b/>
          <w:sz w:val="24"/>
          <w:szCs w:val="24"/>
        </w:rPr>
        <w:t xml:space="preserve"> </w:t>
      </w:r>
    </w:p>
    <w:p w:rsidR="00231682" w:rsidRPr="00231682" w:rsidRDefault="00231682" w:rsidP="00231682">
      <w:pPr>
        <w:pStyle w:val="Bezmezer"/>
        <w:rPr>
          <w:rFonts w:cs="Calibri"/>
          <w:sz w:val="24"/>
          <w:szCs w:val="24"/>
        </w:rPr>
      </w:pPr>
      <w:r w:rsidRPr="00231682">
        <w:rPr>
          <w:rFonts w:cs="Calibri"/>
          <w:sz w:val="24"/>
          <w:szCs w:val="24"/>
        </w:rPr>
        <w:t>V laboratoři se provede ročně  kolem 150 tisíc analýz.  Stávající technika byla vyrobena v r. 2007 a 2010 (jde o dva analyzátory Architect od firmy Abbott).</w:t>
      </w:r>
    </w:p>
    <w:p w:rsidR="00231682" w:rsidRPr="00231682" w:rsidRDefault="00231682" w:rsidP="00231682">
      <w:pPr>
        <w:pStyle w:val="Bezmezer"/>
        <w:rPr>
          <w:rFonts w:cs="Calibri"/>
          <w:sz w:val="24"/>
          <w:szCs w:val="24"/>
        </w:rPr>
      </w:pPr>
    </w:p>
    <w:p w:rsidR="00231682" w:rsidRPr="00231682" w:rsidRDefault="00231682" w:rsidP="00231682">
      <w:pPr>
        <w:pStyle w:val="Bezmezer"/>
        <w:rPr>
          <w:rFonts w:cs="Calibri"/>
          <w:sz w:val="24"/>
          <w:szCs w:val="24"/>
          <w:u w:val="single"/>
        </w:rPr>
      </w:pPr>
      <w:r w:rsidRPr="00231682">
        <w:rPr>
          <w:rFonts w:cs="Calibri"/>
          <w:sz w:val="24"/>
          <w:szCs w:val="24"/>
          <w:u w:val="single"/>
        </w:rPr>
        <w:t>Dílčí cíl strategie:</w:t>
      </w:r>
    </w:p>
    <w:p w:rsidR="00231682" w:rsidRPr="00231682" w:rsidRDefault="00231682" w:rsidP="00231682">
      <w:pPr>
        <w:pStyle w:val="Bezmezer"/>
        <w:rPr>
          <w:rFonts w:cs="Calibri"/>
          <w:sz w:val="24"/>
          <w:szCs w:val="24"/>
        </w:rPr>
      </w:pPr>
      <w:r w:rsidRPr="00231682">
        <w:rPr>
          <w:rFonts w:cs="Calibri"/>
          <w:sz w:val="24"/>
          <w:szCs w:val="24"/>
        </w:rPr>
        <w:t xml:space="preserve">zakoupení dvou plných automatů na vyšetřování infekčních markerů pro dárce krve </w:t>
      </w:r>
      <w:r w:rsidR="00931179">
        <w:rPr>
          <w:rFonts w:cs="Calibri"/>
          <w:sz w:val="24"/>
          <w:szCs w:val="24"/>
        </w:rPr>
        <w:t xml:space="preserve">            </w:t>
      </w:r>
      <w:r w:rsidRPr="00231682">
        <w:rPr>
          <w:rFonts w:cs="Calibri"/>
          <w:sz w:val="24"/>
          <w:szCs w:val="24"/>
        </w:rPr>
        <w:t>a pacienty, včetně  techniky na zpracování krevních vzorků.</w:t>
      </w:r>
    </w:p>
    <w:p w:rsidR="00231682" w:rsidRPr="00231682" w:rsidRDefault="00231682" w:rsidP="00231682">
      <w:pPr>
        <w:pStyle w:val="Bezmezer"/>
        <w:rPr>
          <w:rFonts w:cs="Calibri"/>
          <w:sz w:val="24"/>
          <w:szCs w:val="24"/>
        </w:rPr>
      </w:pPr>
    </w:p>
    <w:p w:rsidR="00231682" w:rsidRPr="00231682" w:rsidRDefault="00231682" w:rsidP="00231682">
      <w:pPr>
        <w:pStyle w:val="Bezmezer"/>
        <w:rPr>
          <w:rFonts w:cs="Calibri"/>
          <w:sz w:val="24"/>
          <w:szCs w:val="24"/>
        </w:rPr>
      </w:pPr>
      <w:r w:rsidRPr="00231682">
        <w:rPr>
          <w:rFonts w:cs="Calibri"/>
          <w:sz w:val="24"/>
          <w:szCs w:val="24"/>
        </w:rPr>
        <w:t>Preanalytická linka GLP umožňující třídění vzorků, jejich odvíčkování, centrifugaci, transport do analytických imunochemických systémů Alinity i (2 ks) pro stanovení infekčních markerů a následné zavíčkování, včetně dodávky záložních zdrojů, úpravny vody a middleware AMS, tj. 2 analyzátory napojené do automatické linky.</w:t>
      </w:r>
    </w:p>
    <w:p w:rsidR="00231682" w:rsidRPr="00231682" w:rsidRDefault="00231682" w:rsidP="00231682">
      <w:pPr>
        <w:pStyle w:val="Bezmezer"/>
        <w:rPr>
          <w:rFonts w:cs="Calibri"/>
          <w:sz w:val="24"/>
          <w:szCs w:val="24"/>
        </w:rPr>
      </w:pPr>
    </w:p>
    <w:tbl>
      <w:tblPr>
        <w:tblW w:w="9402" w:type="dxa"/>
        <w:tblLook w:val="04A0"/>
      </w:tblPr>
      <w:tblGrid>
        <w:gridCol w:w="3591"/>
        <w:gridCol w:w="2896"/>
        <w:gridCol w:w="2915"/>
      </w:tblGrid>
      <w:tr w:rsidR="00231682" w:rsidRPr="00231682" w:rsidTr="000A5E0C">
        <w:trPr>
          <w:trHeight w:val="290"/>
        </w:trPr>
        <w:tc>
          <w:tcPr>
            <w:tcW w:w="3591" w:type="dxa"/>
            <w:tcBorders>
              <w:top w:val="single" w:sz="4" w:space="0" w:color="auto"/>
              <w:left w:val="single" w:sz="4" w:space="0" w:color="auto"/>
              <w:bottom w:val="single" w:sz="4" w:space="0" w:color="auto"/>
              <w:right w:val="single" w:sz="4" w:space="0" w:color="auto"/>
            </w:tcBorders>
            <w:shd w:val="clear" w:color="000000" w:fill="D9E1F2"/>
            <w:noWrap/>
            <w:vAlign w:val="bottom"/>
          </w:tcPr>
          <w:p w:rsidR="00231682" w:rsidRPr="00231682" w:rsidRDefault="00231682" w:rsidP="000A5E0C">
            <w:pPr>
              <w:pStyle w:val="Bezmezer"/>
              <w:rPr>
                <w:rFonts w:cs="Calibri"/>
                <w:sz w:val="24"/>
                <w:szCs w:val="24"/>
                <w:lang w:val="en-US"/>
              </w:rPr>
            </w:pPr>
            <w:r w:rsidRPr="00231682">
              <w:rPr>
                <w:rFonts w:cs="Calibri"/>
                <w:sz w:val="24"/>
                <w:szCs w:val="24"/>
                <w:lang w:val="en-US"/>
              </w:rPr>
              <w:t>Nabídka  firmy Abbott</w:t>
            </w:r>
          </w:p>
        </w:tc>
        <w:tc>
          <w:tcPr>
            <w:tcW w:w="2896" w:type="dxa"/>
            <w:tcBorders>
              <w:top w:val="single" w:sz="4" w:space="0" w:color="auto"/>
              <w:left w:val="nil"/>
              <w:bottom w:val="single" w:sz="4" w:space="0" w:color="auto"/>
              <w:right w:val="single" w:sz="4" w:space="0" w:color="auto"/>
            </w:tcBorders>
            <w:shd w:val="clear" w:color="000000" w:fill="D9E1F2"/>
            <w:noWrap/>
            <w:vAlign w:val="bottom"/>
            <w:hideMark/>
          </w:tcPr>
          <w:p w:rsidR="00231682" w:rsidRPr="00231682" w:rsidRDefault="00231682" w:rsidP="000A5E0C">
            <w:pPr>
              <w:pStyle w:val="Bezmezer"/>
              <w:rPr>
                <w:rFonts w:cs="Calibri"/>
                <w:sz w:val="24"/>
                <w:szCs w:val="24"/>
                <w:lang w:val="en-US"/>
              </w:rPr>
            </w:pPr>
            <w:r w:rsidRPr="00231682">
              <w:rPr>
                <w:rFonts w:cs="Calibri"/>
                <w:sz w:val="24"/>
                <w:szCs w:val="24"/>
                <w:lang w:val="en-US"/>
              </w:rPr>
              <w:t>Celková cena v Kč bez DPH</w:t>
            </w:r>
          </w:p>
        </w:tc>
        <w:tc>
          <w:tcPr>
            <w:tcW w:w="2915" w:type="dxa"/>
            <w:tcBorders>
              <w:top w:val="single" w:sz="4" w:space="0" w:color="auto"/>
              <w:left w:val="nil"/>
              <w:bottom w:val="single" w:sz="4" w:space="0" w:color="auto"/>
              <w:right w:val="single" w:sz="4" w:space="0" w:color="auto"/>
            </w:tcBorders>
            <w:shd w:val="clear" w:color="000000" w:fill="D9E1F2"/>
            <w:noWrap/>
            <w:vAlign w:val="bottom"/>
            <w:hideMark/>
          </w:tcPr>
          <w:p w:rsidR="00231682" w:rsidRPr="00231682" w:rsidRDefault="00231682" w:rsidP="000A5E0C">
            <w:pPr>
              <w:pStyle w:val="Bezmezer"/>
              <w:rPr>
                <w:rFonts w:cs="Calibri"/>
                <w:sz w:val="24"/>
                <w:szCs w:val="24"/>
                <w:lang w:val="en-US"/>
              </w:rPr>
            </w:pPr>
            <w:r w:rsidRPr="00231682">
              <w:rPr>
                <w:rFonts w:cs="Calibri"/>
                <w:sz w:val="24"/>
                <w:szCs w:val="24"/>
                <w:lang w:val="en-US"/>
              </w:rPr>
              <w:t>Celková cena v Kč s DPH</w:t>
            </w:r>
          </w:p>
        </w:tc>
      </w:tr>
      <w:tr w:rsidR="00231682" w:rsidRPr="00231682" w:rsidTr="000A5E0C">
        <w:trPr>
          <w:trHeight w:val="290"/>
        </w:trPr>
        <w:tc>
          <w:tcPr>
            <w:tcW w:w="3591" w:type="dxa"/>
            <w:tcBorders>
              <w:top w:val="nil"/>
              <w:left w:val="single" w:sz="4" w:space="0" w:color="auto"/>
              <w:bottom w:val="single" w:sz="4" w:space="0" w:color="auto"/>
              <w:right w:val="single" w:sz="4" w:space="0" w:color="auto"/>
            </w:tcBorders>
            <w:shd w:val="clear" w:color="auto" w:fill="auto"/>
            <w:noWrap/>
            <w:vAlign w:val="bottom"/>
          </w:tcPr>
          <w:p w:rsidR="00231682" w:rsidRPr="00231682" w:rsidRDefault="00231682" w:rsidP="000A5E0C">
            <w:pPr>
              <w:pStyle w:val="Bezmezer"/>
              <w:rPr>
                <w:rFonts w:cs="Calibri"/>
                <w:sz w:val="24"/>
                <w:szCs w:val="24"/>
                <w:lang w:val="en-US"/>
              </w:rPr>
            </w:pPr>
            <w:r w:rsidRPr="00231682">
              <w:rPr>
                <w:rFonts w:cs="Calibri"/>
                <w:sz w:val="24"/>
                <w:szCs w:val="24"/>
                <w:lang w:val="en-US"/>
              </w:rPr>
              <w:t>2 analyzátory v lince</w:t>
            </w:r>
          </w:p>
        </w:tc>
        <w:tc>
          <w:tcPr>
            <w:tcW w:w="2896" w:type="dxa"/>
            <w:tcBorders>
              <w:top w:val="nil"/>
              <w:left w:val="nil"/>
              <w:bottom w:val="single" w:sz="4" w:space="0" w:color="auto"/>
              <w:right w:val="single" w:sz="4" w:space="0" w:color="auto"/>
            </w:tcBorders>
            <w:shd w:val="clear" w:color="auto" w:fill="auto"/>
            <w:noWrap/>
            <w:vAlign w:val="bottom"/>
            <w:hideMark/>
          </w:tcPr>
          <w:p w:rsidR="00231682" w:rsidRPr="00231682" w:rsidRDefault="00231682" w:rsidP="000A5E0C">
            <w:pPr>
              <w:pStyle w:val="Bezmezer"/>
              <w:rPr>
                <w:rFonts w:cs="Calibri"/>
                <w:sz w:val="24"/>
                <w:szCs w:val="24"/>
                <w:lang w:val="en-US"/>
              </w:rPr>
            </w:pPr>
            <w:r w:rsidRPr="00231682">
              <w:rPr>
                <w:rFonts w:cs="Calibri"/>
                <w:sz w:val="24"/>
                <w:szCs w:val="24"/>
                <w:lang w:val="en-US"/>
              </w:rPr>
              <w:t xml:space="preserve">                  23 500 000,00 Kč </w:t>
            </w:r>
          </w:p>
        </w:tc>
        <w:tc>
          <w:tcPr>
            <w:tcW w:w="2915" w:type="dxa"/>
            <w:tcBorders>
              <w:top w:val="nil"/>
              <w:left w:val="nil"/>
              <w:bottom w:val="single" w:sz="4" w:space="0" w:color="auto"/>
              <w:right w:val="single" w:sz="4" w:space="0" w:color="auto"/>
            </w:tcBorders>
            <w:shd w:val="clear" w:color="auto" w:fill="auto"/>
            <w:noWrap/>
            <w:vAlign w:val="bottom"/>
            <w:hideMark/>
          </w:tcPr>
          <w:p w:rsidR="00231682" w:rsidRPr="00231682" w:rsidRDefault="00231682" w:rsidP="000A5E0C">
            <w:pPr>
              <w:pStyle w:val="Bezmezer"/>
              <w:rPr>
                <w:rFonts w:cs="Calibri"/>
                <w:sz w:val="24"/>
                <w:szCs w:val="24"/>
                <w:lang w:val="en-US"/>
              </w:rPr>
            </w:pPr>
            <w:r w:rsidRPr="00231682">
              <w:rPr>
                <w:rFonts w:cs="Calibri"/>
                <w:sz w:val="24"/>
                <w:szCs w:val="24"/>
                <w:lang w:val="en-US"/>
              </w:rPr>
              <w:t xml:space="preserve">                  28 435 000,00 Kč </w:t>
            </w:r>
          </w:p>
        </w:tc>
      </w:tr>
    </w:tbl>
    <w:p w:rsidR="00231682" w:rsidRPr="00231682" w:rsidRDefault="00231682" w:rsidP="00231682">
      <w:pPr>
        <w:pStyle w:val="Bezmezer"/>
        <w:rPr>
          <w:rFonts w:cs="Calibri"/>
          <w:sz w:val="24"/>
          <w:szCs w:val="24"/>
        </w:rPr>
      </w:pPr>
    </w:p>
    <w:p w:rsidR="00231682" w:rsidRPr="00231682" w:rsidRDefault="00231682" w:rsidP="00231682">
      <w:pPr>
        <w:pStyle w:val="Bezmezer"/>
        <w:rPr>
          <w:rFonts w:cs="Calibri"/>
          <w:sz w:val="24"/>
          <w:szCs w:val="24"/>
        </w:rPr>
      </w:pPr>
    </w:p>
    <w:p w:rsidR="00231682" w:rsidRPr="00231682" w:rsidRDefault="00931179" w:rsidP="00231682">
      <w:pPr>
        <w:pStyle w:val="Bezmezer"/>
        <w:rPr>
          <w:rFonts w:cs="Calibri"/>
          <w:b/>
          <w:sz w:val="24"/>
          <w:szCs w:val="24"/>
        </w:rPr>
      </w:pPr>
      <w:r>
        <w:rPr>
          <w:rFonts w:cs="Calibri"/>
          <w:b/>
          <w:sz w:val="24"/>
          <w:szCs w:val="24"/>
        </w:rPr>
        <w:t>b)</w:t>
      </w:r>
      <w:r w:rsidR="00231682" w:rsidRPr="00231682">
        <w:rPr>
          <w:rFonts w:cs="Calibri"/>
          <w:b/>
          <w:sz w:val="24"/>
          <w:szCs w:val="24"/>
        </w:rPr>
        <w:t xml:space="preserve"> Vznik nové laboratoře k vyšetřování krevních vzorků od dárců krve i pacientů metodou přímé detekce virové RNA (DNA)</w:t>
      </w:r>
    </w:p>
    <w:p w:rsidR="00231682" w:rsidRPr="00231682" w:rsidRDefault="00231682" w:rsidP="00231682">
      <w:pPr>
        <w:pStyle w:val="Bezmezer"/>
        <w:rPr>
          <w:rFonts w:cs="Calibri"/>
          <w:b/>
          <w:sz w:val="24"/>
          <w:szCs w:val="24"/>
        </w:rPr>
      </w:pPr>
    </w:p>
    <w:p w:rsidR="00231682" w:rsidRPr="00231682" w:rsidRDefault="00231682" w:rsidP="00231682">
      <w:pPr>
        <w:pStyle w:val="Bezmezer"/>
        <w:rPr>
          <w:rFonts w:cs="Calibri"/>
          <w:sz w:val="24"/>
          <w:szCs w:val="24"/>
          <w:shd w:val="clear" w:color="auto" w:fill="FFFFFF"/>
        </w:rPr>
      </w:pPr>
      <w:r w:rsidRPr="00231682">
        <w:rPr>
          <w:rFonts w:cs="Calibri"/>
          <w:b/>
          <w:sz w:val="24"/>
          <w:szCs w:val="24"/>
          <w:shd w:val="clear" w:color="auto" w:fill="FFFFFF"/>
        </w:rPr>
        <w:t>Zdůvodnění vzniku laboratoře</w:t>
      </w:r>
      <w:r w:rsidRPr="00231682">
        <w:rPr>
          <w:rFonts w:cs="Calibri"/>
          <w:sz w:val="24"/>
          <w:szCs w:val="24"/>
          <w:shd w:val="clear" w:color="auto" w:fill="FFFFFF"/>
        </w:rPr>
        <w:t>:</w:t>
      </w:r>
    </w:p>
    <w:p w:rsidR="00231682" w:rsidRPr="00231682" w:rsidRDefault="00231682" w:rsidP="00231682">
      <w:pPr>
        <w:pStyle w:val="Bezmezer"/>
        <w:rPr>
          <w:rFonts w:cs="Calibri"/>
          <w:sz w:val="24"/>
          <w:szCs w:val="24"/>
        </w:rPr>
      </w:pPr>
      <w:r w:rsidRPr="00231682">
        <w:rPr>
          <w:rFonts w:cs="Calibri"/>
          <w:sz w:val="24"/>
          <w:szCs w:val="24"/>
        </w:rPr>
        <w:t xml:space="preserve">Riziko přenosu infekce transfuzí je reálné. </w:t>
      </w:r>
      <w:r w:rsidRPr="00231682">
        <w:rPr>
          <w:rFonts w:cs="Calibri"/>
          <w:sz w:val="24"/>
          <w:szCs w:val="24"/>
          <w:shd w:val="clear" w:color="auto" w:fill="FFFFFF"/>
        </w:rPr>
        <w:t xml:space="preserve">Metoda NAT umožňuje detekovat nákazu </w:t>
      </w:r>
      <w:r w:rsidR="00931179">
        <w:rPr>
          <w:rFonts w:cs="Calibri"/>
          <w:sz w:val="24"/>
          <w:szCs w:val="24"/>
          <w:shd w:val="clear" w:color="auto" w:fill="FFFFFF"/>
        </w:rPr>
        <w:t xml:space="preserve">         </w:t>
      </w:r>
      <w:r w:rsidRPr="00231682">
        <w:rPr>
          <w:rFonts w:cs="Calibri"/>
          <w:sz w:val="24"/>
          <w:szCs w:val="24"/>
          <w:shd w:val="clear" w:color="auto" w:fill="FFFFFF"/>
        </w:rPr>
        <w:t xml:space="preserve">v prokazatelně nejkratším intervalu po infikování (užitím metody dojde v případě infekce  HIV a HBV ke zkrácení diagnostického okna o týdny, v případě HCV dokonce </w:t>
      </w:r>
      <w:r w:rsidR="00931179">
        <w:rPr>
          <w:rFonts w:cs="Calibri"/>
          <w:sz w:val="24"/>
          <w:szCs w:val="24"/>
          <w:shd w:val="clear" w:color="auto" w:fill="FFFFFF"/>
        </w:rPr>
        <w:t xml:space="preserve"> </w:t>
      </w:r>
      <w:r w:rsidRPr="00231682">
        <w:rPr>
          <w:rFonts w:cs="Calibri"/>
          <w:sz w:val="24"/>
          <w:szCs w:val="24"/>
          <w:shd w:val="clear" w:color="auto" w:fill="FFFFFF"/>
        </w:rPr>
        <w:t xml:space="preserve">o měsíce). Zavedením NAT tedy nepochybně dojde ke snížení rizika přenosu infekcí HCV, HIV a HBV. </w:t>
      </w:r>
    </w:p>
    <w:p w:rsidR="00231682" w:rsidRPr="00231682" w:rsidRDefault="00231682" w:rsidP="00231682">
      <w:pPr>
        <w:pStyle w:val="Bezmezer"/>
        <w:rPr>
          <w:rFonts w:cs="Calibri"/>
          <w:sz w:val="24"/>
          <w:szCs w:val="24"/>
          <w:shd w:val="clear" w:color="auto" w:fill="FFFFFF"/>
        </w:rPr>
      </w:pPr>
      <w:r w:rsidRPr="00231682">
        <w:rPr>
          <w:rFonts w:cs="Calibri"/>
          <w:sz w:val="24"/>
          <w:szCs w:val="24"/>
          <w:shd w:val="clear" w:color="auto" w:fill="FFFFFF"/>
        </w:rPr>
        <w:t xml:space="preserve">Jde o metodu výhledově použitelnou i pro další „hrozící“ infekce (např. infekce VHE, WNV, Parvovirus B19, HAV ev. další).  </w:t>
      </w:r>
    </w:p>
    <w:p w:rsidR="00231682" w:rsidRPr="00231682" w:rsidRDefault="00231682" w:rsidP="00231682">
      <w:pPr>
        <w:pStyle w:val="Bezmezer"/>
        <w:rPr>
          <w:rFonts w:cs="Calibri"/>
          <w:sz w:val="24"/>
          <w:szCs w:val="24"/>
        </w:rPr>
      </w:pPr>
      <w:r w:rsidRPr="00231682">
        <w:rPr>
          <w:rFonts w:cs="Calibri"/>
          <w:sz w:val="24"/>
          <w:szCs w:val="24"/>
          <w:shd w:val="clear" w:color="auto" w:fill="FFFFFF"/>
        </w:rPr>
        <w:t>Na přítomnost všech výše zmíněných infekčních agens je běžně testována plazma určená k frakcionaci.</w:t>
      </w:r>
    </w:p>
    <w:p w:rsidR="00231682" w:rsidRPr="00231682" w:rsidRDefault="00231682" w:rsidP="00231682">
      <w:pPr>
        <w:pStyle w:val="Bezmezer"/>
        <w:rPr>
          <w:rFonts w:cs="Calibri"/>
          <w:sz w:val="24"/>
          <w:szCs w:val="24"/>
        </w:rPr>
      </w:pPr>
      <w:r w:rsidRPr="00231682">
        <w:rPr>
          <w:rFonts w:cs="Calibri"/>
          <w:sz w:val="24"/>
          <w:szCs w:val="24"/>
          <w:shd w:val="clear" w:color="auto" w:fill="FFFFFF"/>
        </w:rPr>
        <w:t xml:space="preserve">Klinická pracoviště transfuzní přípravky vyšetřené NAT technologií dnes již standardně  </w:t>
      </w:r>
      <w:r w:rsidR="00931179">
        <w:rPr>
          <w:rFonts w:cs="Calibri"/>
          <w:sz w:val="24"/>
          <w:szCs w:val="24"/>
          <w:shd w:val="clear" w:color="auto" w:fill="FFFFFF"/>
        </w:rPr>
        <w:t>p</w:t>
      </w:r>
      <w:r w:rsidRPr="00231682">
        <w:rPr>
          <w:rFonts w:cs="Calibri"/>
          <w:sz w:val="24"/>
          <w:szCs w:val="24"/>
          <w:shd w:val="clear" w:color="auto" w:fill="FFFFFF"/>
        </w:rPr>
        <w:t>ožadují.</w:t>
      </w:r>
    </w:p>
    <w:p w:rsidR="00231682" w:rsidRPr="00231682" w:rsidRDefault="00231682" w:rsidP="00231682">
      <w:pPr>
        <w:pStyle w:val="Bezmezer"/>
        <w:rPr>
          <w:rFonts w:cs="Calibri"/>
          <w:sz w:val="24"/>
          <w:szCs w:val="24"/>
        </w:rPr>
      </w:pPr>
      <w:r w:rsidRPr="00231682">
        <w:rPr>
          <w:rFonts w:cs="Calibri"/>
          <w:sz w:val="24"/>
          <w:szCs w:val="24"/>
          <w:shd w:val="clear" w:color="auto" w:fill="FFFFFF"/>
        </w:rPr>
        <w:t>Zavedením vyšetřování metodou NAT  dojde k  harmonizaci postupů při vyšetřování dárců krve a jejích složek s většinou vyspělých zemí na světě.</w:t>
      </w:r>
    </w:p>
    <w:p w:rsidR="00931179" w:rsidRDefault="00231682" w:rsidP="00231682">
      <w:pPr>
        <w:pStyle w:val="Bezmezer"/>
        <w:rPr>
          <w:rFonts w:cs="Calibri"/>
          <w:sz w:val="24"/>
          <w:szCs w:val="24"/>
          <w:shd w:val="clear" w:color="auto" w:fill="FFFFFF"/>
        </w:rPr>
      </w:pPr>
      <w:r w:rsidRPr="00231682">
        <w:rPr>
          <w:rFonts w:cs="Calibri"/>
          <w:sz w:val="24"/>
          <w:szCs w:val="24"/>
          <w:shd w:val="clear" w:color="auto" w:fill="FFFFFF"/>
        </w:rPr>
        <w:t xml:space="preserve">Vyšetření NAT u dárců krve již využívají v rámci krizových transfuzních center ČR: </w:t>
      </w:r>
    </w:p>
    <w:p w:rsidR="00231682" w:rsidRPr="00231682" w:rsidRDefault="00231682" w:rsidP="00231682">
      <w:pPr>
        <w:pStyle w:val="Bezmezer"/>
        <w:rPr>
          <w:rFonts w:cs="Calibri"/>
          <w:sz w:val="24"/>
          <w:szCs w:val="24"/>
        </w:rPr>
      </w:pPr>
      <w:r w:rsidRPr="00231682">
        <w:rPr>
          <w:rFonts w:cs="Calibri"/>
          <w:sz w:val="24"/>
          <w:szCs w:val="24"/>
          <w:shd w:val="clear" w:color="auto" w:fill="FFFFFF"/>
        </w:rPr>
        <w:t>FN Brno, ÚVN Praha, FN Královské Vinohrady , VFN Praha.</w:t>
      </w:r>
    </w:p>
    <w:p w:rsidR="00231682" w:rsidRDefault="00231682" w:rsidP="00231682">
      <w:pPr>
        <w:pStyle w:val="Bezmezer"/>
        <w:rPr>
          <w:rFonts w:cs="Calibri"/>
          <w:sz w:val="24"/>
          <w:szCs w:val="24"/>
        </w:rPr>
      </w:pPr>
      <w:r w:rsidRPr="00231682">
        <w:rPr>
          <w:rFonts w:cs="Calibri"/>
          <w:sz w:val="24"/>
          <w:szCs w:val="24"/>
        </w:rPr>
        <w:br/>
        <w:t>Dílčí cíl strategie: zakoupení dvou plných automatů k vyšetřování krevních vzorků metodou NAT, včetně  techniky na zpracování  a poolování krevních vzorků.</w:t>
      </w:r>
    </w:p>
    <w:p w:rsidR="00931179" w:rsidRDefault="00931179" w:rsidP="00231682">
      <w:pPr>
        <w:pStyle w:val="Bezmezer"/>
        <w:rPr>
          <w:rFonts w:cs="Calibri"/>
          <w:sz w:val="24"/>
          <w:szCs w:val="24"/>
        </w:rPr>
      </w:pPr>
    </w:p>
    <w:p w:rsidR="00931179" w:rsidRDefault="00931179" w:rsidP="00231682">
      <w:pPr>
        <w:pStyle w:val="Bezmezer"/>
        <w:rPr>
          <w:rFonts w:cs="Calibri"/>
          <w:sz w:val="24"/>
          <w:szCs w:val="24"/>
        </w:rPr>
      </w:pPr>
    </w:p>
    <w:p w:rsidR="00931179" w:rsidRDefault="00931179" w:rsidP="00231682">
      <w:pPr>
        <w:pStyle w:val="Bezmezer"/>
        <w:rPr>
          <w:rFonts w:cs="Calibri"/>
          <w:sz w:val="24"/>
          <w:szCs w:val="24"/>
        </w:rPr>
      </w:pPr>
    </w:p>
    <w:p w:rsidR="00931179" w:rsidRPr="00231682" w:rsidRDefault="00931179" w:rsidP="00231682">
      <w:pPr>
        <w:pStyle w:val="Bezmezer"/>
        <w:rPr>
          <w:rFonts w:cs="Calibri"/>
          <w:sz w:val="24"/>
          <w:szCs w:val="24"/>
        </w:rPr>
      </w:pPr>
    </w:p>
    <w:p w:rsidR="00231682" w:rsidRPr="00231682" w:rsidRDefault="00231682" w:rsidP="00231682">
      <w:pPr>
        <w:pStyle w:val="Bezmezer"/>
        <w:rPr>
          <w:rFonts w:cs="Calibri"/>
          <w:sz w:val="24"/>
          <w:szCs w:val="24"/>
        </w:rPr>
      </w:pPr>
    </w:p>
    <w:p w:rsidR="00231682" w:rsidRPr="00231682" w:rsidRDefault="00231682" w:rsidP="00231682">
      <w:pPr>
        <w:pStyle w:val="Bezmezer"/>
        <w:rPr>
          <w:rFonts w:cs="Calibri"/>
          <w:sz w:val="24"/>
          <w:szCs w:val="24"/>
        </w:rPr>
      </w:pPr>
      <w:r w:rsidRPr="00231682">
        <w:rPr>
          <w:rFonts w:cs="Calibri"/>
          <w:sz w:val="24"/>
          <w:szCs w:val="24"/>
        </w:rPr>
        <w:t>Automat Procleix Panther umožňuje testovat HCV, HBV, HIV1, HIV2, HAV, HEV, ParvoB19, Dengue, Zika, Babesia, WNV, SARS CoV2</w:t>
      </w:r>
      <w:r w:rsidR="00931179">
        <w:rPr>
          <w:rFonts w:cs="Calibri"/>
          <w:sz w:val="24"/>
          <w:szCs w:val="24"/>
        </w:rPr>
        <w:t>,</w:t>
      </w:r>
      <w:r w:rsidRPr="00231682">
        <w:rPr>
          <w:rFonts w:cs="Calibri"/>
          <w:sz w:val="24"/>
          <w:szCs w:val="24"/>
        </w:rPr>
        <w:t xml:space="preserve"> a to buď jako jednotlivý vzorek</w:t>
      </w:r>
      <w:r w:rsidR="00931179">
        <w:rPr>
          <w:rFonts w:cs="Calibri"/>
          <w:sz w:val="24"/>
          <w:szCs w:val="24"/>
        </w:rPr>
        <w:t>,</w:t>
      </w:r>
      <w:r w:rsidRPr="00231682">
        <w:rPr>
          <w:rFonts w:cs="Calibri"/>
          <w:sz w:val="24"/>
          <w:szCs w:val="24"/>
        </w:rPr>
        <w:t xml:space="preserve"> nebo směsný ve velikosti poolu 4, 8, 16, 96.</w:t>
      </w:r>
    </w:p>
    <w:p w:rsidR="00231682" w:rsidRPr="00231682" w:rsidRDefault="00231682" w:rsidP="00231682">
      <w:pPr>
        <w:pStyle w:val="Bezmezer"/>
        <w:rPr>
          <w:rFonts w:cs="Calibri"/>
          <w:sz w:val="24"/>
          <w:szCs w:val="24"/>
        </w:rPr>
      </w:pPr>
      <w:r w:rsidRPr="00231682">
        <w:rPr>
          <w:rFonts w:cs="Calibri"/>
          <w:sz w:val="24"/>
          <w:szCs w:val="24"/>
        </w:rPr>
        <w:t> Systém zahrnuje následující položky:</w:t>
      </w:r>
    </w:p>
    <w:p w:rsidR="00231682" w:rsidRPr="00231682" w:rsidRDefault="00231682" w:rsidP="00231682">
      <w:pPr>
        <w:pStyle w:val="Bezmezer"/>
        <w:rPr>
          <w:rFonts w:cs="Calibri"/>
          <w:sz w:val="24"/>
          <w:szCs w:val="24"/>
        </w:rPr>
      </w:pPr>
      <w:r w:rsidRPr="00231682">
        <w:rPr>
          <w:rFonts w:cs="Calibri"/>
          <w:sz w:val="24"/>
          <w:szCs w:val="24"/>
        </w:rPr>
        <w:t xml:space="preserve">2x </w:t>
      </w:r>
      <w:r w:rsidR="00931179">
        <w:rPr>
          <w:rFonts w:cs="Calibri"/>
          <w:sz w:val="24"/>
          <w:szCs w:val="24"/>
        </w:rPr>
        <w:t>a</w:t>
      </w:r>
      <w:r w:rsidRPr="00231682">
        <w:rPr>
          <w:rFonts w:cs="Calibri"/>
          <w:sz w:val="24"/>
          <w:szCs w:val="24"/>
        </w:rPr>
        <w:t>nalyzátor Procleix Panther</w:t>
      </w:r>
      <w:r w:rsidR="00931179">
        <w:rPr>
          <w:rFonts w:cs="Calibri"/>
          <w:sz w:val="24"/>
          <w:szCs w:val="24"/>
        </w:rPr>
        <w:t>,</w:t>
      </w:r>
    </w:p>
    <w:p w:rsidR="00231682" w:rsidRPr="00231682" w:rsidRDefault="00231682" w:rsidP="00231682">
      <w:pPr>
        <w:pStyle w:val="Bezmezer"/>
        <w:rPr>
          <w:rFonts w:cs="Calibri"/>
          <w:sz w:val="24"/>
          <w:szCs w:val="24"/>
        </w:rPr>
      </w:pPr>
      <w:r w:rsidRPr="00231682">
        <w:rPr>
          <w:rFonts w:cs="Calibri"/>
          <w:sz w:val="24"/>
          <w:szCs w:val="24"/>
        </w:rPr>
        <w:t>1x Pooler pro přípravu směsných vzorků Xpress</w:t>
      </w:r>
    </w:p>
    <w:p w:rsidR="00231682" w:rsidRPr="00231682" w:rsidRDefault="00231682" w:rsidP="00231682">
      <w:pPr>
        <w:pStyle w:val="Bezmezer"/>
        <w:rPr>
          <w:rFonts w:cs="Calibri"/>
          <w:sz w:val="24"/>
          <w:szCs w:val="24"/>
        </w:rPr>
      </w:pPr>
      <w:r w:rsidRPr="00231682">
        <w:rPr>
          <w:rFonts w:cs="Calibri"/>
          <w:sz w:val="24"/>
          <w:szCs w:val="24"/>
        </w:rPr>
        <w:t xml:space="preserve">1x </w:t>
      </w:r>
      <w:r w:rsidR="00931179">
        <w:rPr>
          <w:rFonts w:cs="Calibri"/>
          <w:sz w:val="24"/>
          <w:szCs w:val="24"/>
        </w:rPr>
        <w:t>s</w:t>
      </w:r>
      <w:r w:rsidRPr="00231682">
        <w:rPr>
          <w:rFonts w:cs="Calibri"/>
          <w:sz w:val="24"/>
          <w:szCs w:val="24"/>
        </w:rPr>
        <w:t>oftware pro správu výsledku NAT Manager v aktuální verzi PC</w:t>
      </w:r>
    </w:p>
    <w:p w:rsidR="00231682" w:rsidRPr="00231682" w:rsidRDefault="00231682" w:rsidP="00231682">
      <w:pPr>
        <w:pStyle w:val="Bezmezer"/>
        <w:rPr>
          <w:rFonts w:cs="Calibri"/>
          <w:sz w:val="24"/>
          <w:szCs w:val="24"/>
        </w:rPr>
      </w:pPr>
    </w:p>
    <w:p w:rsidR="00231682" w:rsidRPr="00231682" w:rsidRDefault="00231682" w:rsidP="00231682">
      <w:pPr>
        <w:pStyle w:val="Bezmezer"/>
        <w:rPr>
          <w:rFonts w:cs="Calibri"/>
          <w:sz w:val="24"/>
          <w:szCs w:val="24"/>
        </w:rPr>
      </w:pPr>
      <w:r w:rsidRPr="00231682">
        <w:rPr>
          <w:rFonts w:cs="Calibri"/>
          <w:sz w:val="24"/>
          <w:szCs w:val="24"/>
        </w:rPr>
        <w:t>Cena nabídky činí 660 000 EUR bez DPH.</w:t>
      </w:r>
    </w:p>
    <w:p w:rsidR="00231682" w:rsidRPr="00231682" w:rsidRDefault="00231682" w:rsidP="00231682">
      <w:pPr>
        <w:rPr>
          <w:rFonts w:cs="Calibri"/>
          <w:sz w:val="27"/>
          <w:szCs w:val="27"/>
        </w:rPr>
      </w:pPr>
    </w:p>
    <w:p w:rsidR="00231682" w:rsidRPr="00231682" w:rsidRDefault="00231682" w:rsidP="00231682">
      <w:pPr>
        <w:pStyle w:val="Default"/>
        <w:rPr>
          <w:rFonts w:ascii="Calibri" w:hAnsi="Calibri" w:cs="Calibri"/>
          <w:b/>
          <w:color w:val="auto"/>
        </w:rPr>
      </w:pPr>
      <w:bookmarkStart w:id="0" w:name="_GoBack"/>
      <w:bookmarkEnd w:id="0"/>
      <w:r w:rsidRPr="00231682">
        <w:rPr>
          <w:rFonts w:ascii="Calibri" w:hAnsi="Calibri" w:cs="Calibri"/>
          <w:b/>
          <w:color w:val="auto"/>
        </w:rPr>
        <w:t>Závěr:</w:t>
      </w:r>
    </w:p>
    <w:p w:rsidR="00231682" w:rsidRPr="00231682" w:rsidRDefault="00231682" w:rsidP="00231682">
      <w:pPr>
        <w:pStyle w:val="Default"/>
        <w:rPr>
          <w:color w:val="auto"/>
        </w:rPr>
      </w:pPr>
      <w:r w:rsidRPr="00231682">
        <w:rPr>
          <w:rFonts w:ascii="Calibri" w:hAnsi="Calibri" w:cs="Calibri"/>
          <w:color w:val="auto"/>
        </w:rPr>
        <w:t>Realizace zmíněných strategických kroků je vysoce aktuální ze dvou důvodů: umožní jednak  TO FNOL  dosáhnout platných standardů a úrovně špičkových pracovišť krizových center ČR a především významně zdokonalí výrobu dárcovské plazmy nezbytné v léčbě závažných covidových  infekcí.</w:t>
      </w:r>
    </w:p>
    <w:p w:rsidR="00435E6A" w:rsidRPr="00231682" w:rsidRDefault="00435E6A" w:rsidP="00FD042F">
      <w:pPr>
        <w:spacing w:before="120" w:after="0" w:line="240" w:lineRule="auto"/>
        <w:rPr>
          <w:rFonts w:cstheme="minorHAnsi"/>
          <w:sz w:val="25"/>
          <w:szCs w:val="25"/>
        </w:rPr>
      </w:pPr>
    </w:p>
    <w:p w:rsidR="00C739B3" w:rsidRDefault="00C739B3" w:rsidP="00FD042F">
      <w:pPr>
        <w:spacing w:before="120" w:after="0" w:line="240" w:lineRule="auto"/>
        <w:rPr>
          <w:rFonts w:cstheme="minorHAnsi"/>
          <w:color w:val="1D1D1B"/>
          <w:sz w:val="25"/>
          <w:szCs w:val="25"/>
        </w:rPr>
      </w:pPr>
    </w:p>
    <w:p w:rsidR="00FD042F" w:rsidRPr="00A53E0A" w:rsidRDefault="00FD042F" w:rsidP="00FD042F">
      <w:pPr>
        <w:spacing w:before="120" w:after="0" w:line="240" w:lineRule="auto"/>
        <w:rPr>
          <w:rFonts w:cstheme="minorHAnsi"/>
          <w:color w:val="1D1D1B"/>
          <w:sz w:val="25"/>
          <w:szCs w:val="25"/>
        </w:rPr>
      </w:pPr>
      <w:r w:rsidRPr="00A53E0A">
        <w:rPr>
          <w:rFonts w:cstheme="minorHAnsi"/>
          <w:color w:val="1D1D1B"/>
          <w:sz w:val="25"/>
          <w:szCs w:val="25"/>
        </w:rPr>
        <w:t>S pozdravem</w:t>
      </w:r>
    </w:p>
    <w:p w:rsidR="00FD042F" w:rsidRPr="00A53E0A" w:rsidRDefault="00FD042F" w:rsidP="00FD042F">
      <w:pPr>
        <w:spacing w:before="120" w:after="0" w:line="240" w:lineRule="auto"/>
        <w:rPr>
          <w:rFonts w:cstheme="minorHAnsi"/>
          <w:color w:val="1D1D1B"/>
          <w:sz w:val="25"/>
          <w:szCs w:val="25"/>
        </w:rPr>
      </w:pPr>
    </w:p>
    <w:p w:rsidR="00435E6A" w:rsidRDefault="00435E6A" w:rsidP="00FD042F">
      <w:pPr>
        <w:spacing w:before="120" w:after="0" w:line="240" w:lineRule="auto"/>
        <w:rPr>
          <w:rFonts w:cstheme="minorHAnsi"/>
          <w:sz w:val="25"/>
          <w:szCs w:val="25"/>
          <w:lang w:val="en-US"/>
        </w:rPr>
      </w:pPr>
    </w:p>
    <w:p w:rsidR="00435E6A" w:rsidRPr="00A53E0A" w:rsidRDefault="00435E6A" w:rsidP="00FD042F">
      <w:pPr>
        <w:spacing w:before="120" w:after="0" w:line="240" w:lineRule="auto"/>
        <w:rPr>
          <w:rFonts w:cstheme="minorHAnsi"/>
          <w:sz w:val="25"/>
          <w:szCs w:val="25"/>
          <w:lang w:val="en-US"/>
        </w:rPr>
      </w:pPr>
    </w:p>
    <w:p w:rsidR="00FD042F" w:rsidRPr="00A53E0A" w:rsidRDefault="0090408D" w:rsidP="00FD042F">
      <w:pPr>
        <w:spacing w:before="120" w:after="0" w:line="240" w:lineRule="auto"/>
        <w:rPr>
          <w:rFonts w:cstheme="minorHAnsi"/>
          <w:sz w:val="25"/>
          <w:szCs w:val="25"/>
        </w:rPr>
      </w:pPr>
      <w:r>
        <w:rPr>
          <w:rFonts w:cstheme="minorHAnsi"/>
          <w:sz w:val="25"/>
          <w:szCs w:val="25"/>
        </w:rPr>
        <w:t>prim. MUDr. Dana Galuszková, Ph.D., MBA</w:t>
      </w:r>
    </w:p>
    <w:p w:rsidR="00FD042F" w:rsidRPr="0090408D" w:rsidRDefault="0090408D" w:rsidP="00FD042F">
      <w:pPr>
        <w:spacing w:after="0" w:line="240" w:lineRule="auto"/>
        <w:rPr>
          <w:rFonts w:cstheme="minorHAnsi"/>
          <w:sz w:val="25"/>
          <w:szCs w:val="25"/>
          <w:lang w:val="en-US"/>
        </w:rPr>
      </w:pPr>
      <w:r w:rsidRPr="0090408D">
        <w:rPr>
          <w:rFonts w:cstheme="minorHAnsi"/>
          <w:sz w:val="25"/>
          <w:szCs w:val="25"/>
        </w:rPr>
        <w:t>primářka</w:t>
      </w:r>
      <w:r w:rsidR="00040D05" w:rsidRPr="0090408D">
        <w:rPr>
          <w:rFonts w:cstheme="minorHAnsi"/>
          <w:sz w:val="25"/>
          <w:szCs w:val="25"/>
        </w:rPr>
        <w:t xml:space="preserve"> Transfuzního oddělení</w:t>
      </w:r>
      <w:r w:rsidR="00FD042F" w:rsidRPr="0090408D">
        <w:rPr>
          <w:rFonts w:cstheme="minorHAnsi"/>
          <w:sz w:val="25"/>
          <w:szCs w:val="25"/>
        </w:rPr>
        <w:t xml:space="preserve"> Fakultní nemocnice Olomouc</w:t>
      </w:r>
      <w:r w:rsidR="00FD042F" w:rsidRPr="0090408D">
        <w:rPr>
          <w:rFonts w:cstheme="minorHAnsi"/>
          <w:sz w:val="25"/>
          <w:szCs w:val="25"/>
          <w:lang w:val="en-US"/>
        </w:rPr>
        <w:t xml:space="preserve"> </w:t>
      </w:r>
    </w:p>
    <w:p w:rsidR="00334D5B" w:rsidRPr="00A53E0A" w:rsidRDefault="00334D5B" w:rsidP="00FD042F">
      <w:pPr>
        <w:spacing w:after="0" w:line="240" w:lineRule="auto"/>
        <w:rPr>
          <w:rFonts w:cstheme="minorHAnsi"/>
          <w:sz w:val="25"/>
          <w:szCs w:val="25"/>
          <w:lang w:val="en-US"/>
        </w:rPr>
      </w:pPr>
    </w:p>
    <w:p w:rsidR="00334D5B" w:rsidRPr="00A53E0A" w:rsidRDefault="00334D5B" w:rsidP="00FD042F">
      <w:pPr>
        <w:spacing w:after="0" w:line="240" w:lineRule="auto"/>
        <w:rPr>
          <w:rFonts w:cstheme="minorHAnsi"/>
          <w:sz w:val="25"/>
          <w:szCs w:val="25"/>
          <w:lang w:val="en-US"/>
        </w:rPr>
      </w:pPr>
    </w:p>
    <w:p w:rsidR="00334D5B" w:rsidRPr="00A53E0A" w:rsidRDefault="00334D5B" w:rsidP="00FD042F">
      <w:pPr>
        <w:spacing w:after="0" w:line="240" w:lineRule="auto"/>
        <w:rPr>
          <w:rFonts w:cstheme="minorHAnsi"/>
          <w:sz w:val="25"/>
          <w:szCs w:val="25"/>
          <w:lang w:val="en-US"/>
        </w:rPr>
      </w:pPr>
    </w:p>
    <w:p w:rsidR="00334D5B" w:rsidRPr="00A53E0A" w:rsidRDefault="00334D5B" w:rsidP="00FD042F">
      <w:pPr>
        <w:spacing w:after="0" w:line="240" w:lineRule="auto"/>
        <w:rPr>
          <w:rFonts w:cstheme="minorHAnsi"/>
          <w:sz w:val="25"/>
          <w:szCs w:val="25"/>
          <w:lang w:val="en-US"/>
        </w:rPr>
      </w:pPr>
    </w:p>
    <w:sectPr w:rsidR="00334D5B" w:rsidRPr="00A53E0A" w:rsidSect="00FD042F">
      <w:headerReference w:type="default" r:id="rId7"/>
      <w:footerReference w:type="default" r:id="rId8"/>
      <w:pgSz w:w="11906" w:h="16838"/>
      <w:pgMar w:top="1418" w:right="1418" w:bottom="1418" w:left="208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6B2" w:rsidRDefault="000956B2" w:rsidP="00FD042F">
      <w:pPr>
        <w:spacing w:after="0" w:line="240" w:lineRule="auto"/>
      </w:pPr>
      <w:r>
        <w:separator/>
      </w:r>
    </w:p>
  </w:endnote>
  <w:endnote w:type="continuationSeparator" w:id="0">
    <w:p w:rsidR="000956B2" w:rsidRDefault="000956B2" w:rsidP="00FD04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2F" w:rsidRPr="006C5BA2" w:rsidRDefault="008743DE" w:rsidP="00FD042F">
    <w:pPr>
      <w:tabs>
        <w:tab w:val="left" w:pos="2268"/>
        <w:tab w:val="left" w:pos="4678"/>
        <w:tab w:val="left" w:pos="7088"/>
      </w:tabs>
      <w:spacing w:after="0" w:line="240" w:lineRule="auto"/>
      <w:rPr>
        <w:rFonts w:ascii="Calibri" w:hAnsi="Calibri"/>
        <w:color w:val="1D1D1B"/>
        <w:sz w:val="15"/>
      </w:rPr>
    </w:pPr>
    <w:r w:rsidRPr="008743DE">
      <w:rPr>
        <w:rFonts w:ascii="Calibri" w:hAnsi="Calibri"/>
        <w:noProof/>
        <w:color w:val="706F6F"/>
        <w:lang w:eastAsia="cs-CZ"/>
      </w:rPr>
      <w:pict>
        <v:line id="_x0000_s2051" style="position:absolute;z-index:251663360;mso-position-horizontal-relative:page" from="17.85pt,-215.8pt" to="31.85pt,-215.8pt" strokecolor="#5ca6c0" strokeweight=".16792mm">
          <w10:wrap anchorx="page"/>
          <w10:anchorlock/>
        </v:line>
      </w:pict>
    </w:r>
    <w:r w:rsidRPr="008743DE">
      <w:rPr>
        <w:rFonts w:ascii="Calibri" w:hAnsi="Calibri"/>
        <w:noProof/>
        <w:color w:val="706F6F"/>
        <w:lang w:eastAsia="cs-CZ"/>
      </w:rPr>
      <w:pict>
        <v:line id="_x0000_s2050" style="position:absolute;z-index:251662336;mso-position-horizontal-relative:page" from="17.85pt,-497.45pt" to="31.85pt,-497.45pt" strokecolor="#5ca6c0" strokeweight=".16792mm">
          <w10:wrap anchorx="page"/>
          <w10:anchorlock/>
        </v:line>
      </w:pict>
    </w:r>
    <w:r w:rsidRPr="008743DE">
      <w:rPr>
        <w:rFonts w:ascii="Calibri" w:hAnsi="Calibri"/>
        <w:color w:val="706F6F"/>
        <w:lang w:eastAsia="cs-CZ"/>
      </w:rPr>
      <w:pict>
        <v:line id="_x0000_s2049" style="position:absolute;z-index:251661312;mso-wrap-distance-left:0;mso-wrap-distance-right:0;mso-position-horizontal-relative:page" from="104.05pt,-4.95pt" to="515.65pt,-4.95pt" strokecolor="#5ca6c0" strokeweight=".77717mm">
          <w10:wrap type="topAndBottom" anchorx="page"/>
        </v:line>
      </w:pict>
    </w:r>
    <w:r w:rsidR="00FD042F" w:rsidRPr="006C5BA2">
      <w:rPr>
        <w:rFonts w:ascii="Calibri" w:hAnsi="Calibri"/>
        <w:color w:val="706F6F"/>
        <w:sz w:val="15"/>
      </w:rPr>
      <w:t>I. P. Pavlova 185/6</w:t>
    </w:r>
    <w:r w:rsidR="00FD042F" w:rsidRPr="006C5BA2">
      <w:rPr>
        <w:rFonts w:ascii="Calibri" w:hAnsi="Calibri"/>
        <w:color w:val="1D1D1B"/>
        <w:sz w:val="15"/>
      </w:rPr>
      <w:t xml:space="preserve"> </w:t>
    </w:r>
    <w:r w:rsidR="00FD042F" w:rsidRPr="006C5BA2">
      <w:rPr>
        <w:rFonts w:ascii="Calibri" w:hAnsi="Calibri"/>
        <w:color w:val="1D1D1B"/>
        <w:sz w:val="15"/>
      </w:rPr>
      <w:tab/>
    </w:r>
    <w:r w:rsidR="00FD042F" w:rsidRPr="006C5BA2">
      <w:rPr>
        <w:rFonts w:ascii="Calibri" w:hAnsi="Calibri"/>
        <w:b/>
        <w:color w:val="5CA6C0"/>
        <w:sz w:val="15"/>
      </w:rPr>
      <w:t xml:space="preserve">fax: </w:t>
    </w:r>
    <w:r w:rsidR="00FD042F" w:rsidRPr="006C5BA2">
      <w:rPr>
        <w:rFonts w:ascii="Calibri" w:hAnsi="Calibri"/>
        <w:color w:val="706F6F"/>
        <w:sz w:val="15"/>
      </w:rPr>
      <w:t>+420 585 413 841</w:t>
    </w:r>
    <w:r w:rsidR="00FD042F" w:rsidRPr="006C5BA2">
      <w:rPr>
        <w:rFonts w:ascii="Calibri" w:hAnsi="Calibri"/>
        <w:color w:val="1D1D1B"/>
        <w:sz w:val="15"/>
      </w:rPr>
      <w:tab/>
    </w:r>
    <w:r w:rsidR="00FD042F" w:rsidRPr="006C5BA2">
      <w:rPr>
        <w:rFonts w:ascii="Calibri" w:hAnsi="Calibri"/>
        <w:b/>
        <w:color w:val="5CA6C0"/>
        <w:sz w:val="15"/>
      </w:rPr>
      <w:t>Bankovní spojení:</w:t>
    </w:r>
    <w:r w:rsidR="00FD042F" w:rsidRPr="006C5BA2">
      <w:rPr>
        <w:rFonts w:ascii="Calibri" w:hAnsi="Calibri"/>
        <w:b/>
        <w:color w:val="5CA6C0"/>
        <w:sz w:val="15"/>
      </w:rPr>
      <w:tab/>
      <w:t xml:space="preserve">IČ: </w:t>
    </w:r>
    <w:r w:rsidR="00FD042F" w:rsidRPr="006C5BA2">
      <w:rPr>
        <w:rFonts w:ascii="Calibri" w:hAnsi="Calibri"/>
        <w:color w:val="706F6F"/>
        <w:sz w:val="15"/>
      </w:rPr>
      <w:t>00098892</w:t>
    </w:r>
  </w:p>
  <w:p w:rsidR="00FD042F" w:rsidRPr="006C5BA2" w:rsidRDefault="00FD042F" w:rsidP="00FD042F">
    <w:pPr>
      <w:tabs>
        <w:tab w:val="left" w:pos="2268"/>
        <w:tab w:val="left" w:pos="4678"/>
        <w:tab w:val="left" w:pos="7088"/>
      </w:tabs>
      <w:spacing w:after="0" w:line="240" w:lineRule="auto"/>
      <w:rPr>
        <w:rFonts w:ascii="Calibri" w:hAnsi="Calibri"/>
        <w:color w:val="1D1D1B"/>
        <w:sz w:val="15"/>
      </w:rPr>
    </w:pPr>
    <w:r w:rsidRPr="006C5BA2">
      <w:rPr>
        <w:rFonts w:ascii="Calibri" w:hAnsi="Calibri"/>
        <w:color w:val="706F6F"/>
        <w:sz w:val="15"/>
      </w:rPr>
      <w:t>779 00 Olomouc</w:t>
    </w:r>
    <w:r w:rsidRPr="006C5BA2">
      <w:rPr>
        <w:rFonts w:ascii="Calibri" w:hAnsi="Calibri"/>
        <w:color w:val="1D1D1B"/>
        <w:sz w:val="15"/>
      </w:rPr>
      <w:tab/>
    </w:r>
    <w:r w:rsidRPr="006C5BA2">
      <w:rPr>
        <w:rFonts w:ascii="Calibri" w:hAnsi="Calibri"/>
        <w:b/>
        <w:color w:val="5CA6C0"/>
        <w:sz w:val="15"/>
      </w:rPr>
      <w:t xml:space="preserve">e-mail: </w:t>
    </w:r>
    <w:hyperlink r:id="rId1">
      <w:r w:rsidRPr="006C5BA2">
        <w:rPr>
          <w:rFonts w:ascii="Calibri" w:hAnsi="Calibri"/>
          <w:color w:val="706F6F"/>
          <w:sz w:val="15"/>
        </w:rPr>
        <w:t>info@fnol.cz</w:t>
      </w:r>
    </w:hyperlink>
    <w:r w:rsidRPr="006C5BA2">
      <w:rPr>
        <w:rFonts w:ascii="Calibri" w:hAnsi="Calibri"/>
      </w:rPr>
      <w:tab/>
    </w:r>
    <w:r w:rsidRPr="006C5BA2">
      <w:rPr>
        <w:rFonts w:ascii="Calibri" w:hAnsi="Calibri"/>
        <w:color w:val="706F6F"/>
        <w:sz w:val="15"/>
      </w:rPr>
      <w:t>Česká národní banka</w:t>
    </w:r>
    <w:r w:rsidRPr="006C5BA2">
      <w:rPr>
        <w:rFonts w:ascii="Calibri" w:hAnsi="Calibri"/>
        <w:color w:val="1D1D1B"/>
        <w:sz w:val="15"/>
      </w:rPr>
      <w:tab/>
    </w:r>
    <w:r w:rsidRPr="006C5BA2">
      <w:rPr>
        <w:rFonts w:ascii="Calibri" w:hAnsi="Calibri"/>
        <w:b/>
        <w:color w:val="5CA6C0"/>
        <w:sz w:val="15"/>
      </w:rPr>
      <w:t xml:space="preserve">DIČ: </w:t>
    </w:r>
    <w:r w:rsidRPr="006C5BA2">
      <w:rPr>
        <w:rFonts w:ascii="Calibri" w:hAnsi="Calibri"/>
        <w:color w:val="706F6F"/>
        <w:sz w:val="15"/>
      </w:rPr>
      <w:t>CZ00098892</w:t>
    </w:r>
  </w:p>
  <w:p w:rsidR="00FD042F" w:rsidRPr="00FD042F" w:rsidRDefault="00FD042F" w:rsidP="00FD042F">
    <w:pPr>
      <w:tabs>
        <w:tab w:val="left" w:pos="2268"/>
        <w:tab w:val="left" w:pos="4678"/>
        <w:tab w:val="left" w:pos="7088"/>
      </w:tabs>
      <w:spacing w:after="0" w:line="240" w:lineRule="auto"/>
      <w:rPr>
        <w:rFonts w:ascii="Calibri" w:hAnsi="Calibri"/>
        <w:color w:val="706F6F"/>
      </w:rPr>
    </w:pPr>
    <w:r w:rsidRPr="006C5BA2">
      <w:rPr>
        <w:rFonts w:ascii="Calibri" w:hAnsi="Calibri"/>
        <w:b/>
        <w:color w:val="5CA6C0"/>
        <w:sz w:val="15"/>
      </w:rPr>
      <w:t xml:space="preserve">tel: </w:t>
    </w:r>
    <w:r w:rsidRPr="006C5BA2">
      <w:rPr>
        <w:rFonts w:ascii="Calibri" w:hAnsi="Calibri"/>
        <w:color w:val="706F6F"/>
        <w:sz w:val="15"/>
      </w:rPr>
      <w:t>+420 588 441 111</w:t>
    </w:r>
    <w:r w:rsidRPr="006C5BA2">
      <w:rPr>
        <w:rFonts w:ascii="Calibri" w:hAnsi="Calibri"/>
        <w:color w:val="706F6F"/>
        <w:sz w:val="15"/>
      </w:rPr>
      <w:tab/>
      <w:t>www.fnol.cz</w:t>
    </w:r>
    <w:r w:rsidRPr="006C5BA2">
      <w:rPr>
        <w:rFonts w:ascii="Calibri" w:hAnsi="Calibri"/>
        <w:color w:val="706F6F"/>
        <w:sz w:val="15"/>
      </w:rPr>
      <w:tab/>
      <w:t>č.ú. 36334811/0710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6B2" w:rsidRDefault="000956B2" w:rsidP="00FD042F">
      <w:pPr>
        <w:spacing w:after="0" w:line="240" w:lineRule="auto"/>
      </w:pPr>
      <w:r>
        <w:separator/>
      </w:r>
    </w:p>
  </w:footnote>
  <w:footnote w:type="continuationSeparator" w:id="0">
    <w:p w:rsidR="000956B2" w:rsidRDefault="000956B2" w:rsidP="00FD04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42F" w:rsidRDefault="00FD042F">
    <w:pPr>
      <w:pStyle w:val="Zhlav"/>
    </w:pPr>
  </w:p>
  <w:p w:rsidR="00FD042F" w:rsidRDefault="00FD042F">
    <w:pPr>
      <w:pStyle w:val="Zhlav"/>
    </w:pPr>
    <w:r>
      <w:rPr>
        <w:noProof/>
        <w:lang w:eastAsia="cs-CZ"/>
      </w:rPr>
      <w:drawing>
        <wp:anchor distT="0" distB="0" distL="114300" distR="114300" simplePos="0" relativeHeight="251659264" behindDoc="1" locked="0" layoutInCell="1" allowOverlap="1">
          <wp:simplePos x="0" y="0"/>
          <wp:positionH relativeFrom="column">
            <wp:posOffset>-551180</wp:posOffset>
          </wp:positionH>
          <wp:positionV relativeFrom="paragraph">
            <wp:posOffset>22860</wp:posOffset>
          </wp:positionV>
          <wp:extent cx="1851025" cy="512445"/>
          <wp:effectExtent l="19050" t="0" r="0" b="0"/>
          <wp:wrapTight wrapText="bothSides">
            <wp:wrapPolygon edited="0">
              <wp:start x="1334" y="803"/>
              <wp:lineTo x="-222" y="4818"/>
              <wp:lineTo x="-222" y="7227"/>
              <wp:lineTo x="667" y="13651"/>
              <wp:lineTo x="2223" y="20877"/>
              <wp:lineTo x="2445" y="20877"/>
              <wp:lineTo x="13560" y="20877"/>
              <wp:lineTo x="15339" y="20877"/>
              <wp:lineTo x="21341" y="15257"/>
              <wp:lineTo x="21341" y="13651"/>
              <wp:lineTo x="21563" y="8833"/>
              <wp:lineTo x="5113" y="803"/>
              <wp:lineTo x="1334" y="803"/>
            </wp:wrapPolygon>
          </wp:wrapTight>
          <wp:docPr id="1" name="Obrázek 1" descr="C:\Users\64827\AppData\Local\Microsoft\Windows\INetCache\Content.Word\FNOL_logo_pozitiv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4827\AppData\Local\Microsoft\Windows\INetCache\Content.Word\FNOL_logo_pozitiv_CMYK.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51025" cy="51244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566C7"/>
    <w:multiLevelType w:val="hybridMultilevel"/>
    <w:tmpl w:val="86AA8AB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AE4737E"/>
    <w:multiLevelType w:val="hybridMultilevel"/>
    <w:tmpl w:val="FEBAD10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6FAA0E5D"/>
    <w:multiLevelType w:val="hybridMultilevel"/>
    <w:tmpl w:val="AEA2F9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D042F"/>
    <w:rsid w:val="00040D05"/>
    <w:rsid w:val="00064E9B"/>
    <w:rsid w:val="000956B2"/>
    <w:rsid w:val="0013471D"/>
    <w:rsid w:val="00157388"/>
    <w:rsid w:val="001B5834"/>
    <w:rsid w:val="001F6262"/>
    <w:rsid w:val="00231682"/>
    <w:rsid w:val="002326CE"/>
    <w:rsid w:val="002402A6"/>
    <w:rsid w:val="00286B88"/>
    <w:rsid w:val="00304CDE"/>
    <w:rsid w:val="00334D5B"/>
    <w:rsid w:val="003D12AC"/>
    <w:rsid w:val="00435E6A"/>
    <w:rsid w:val="0045471D"/>
    <w:rsid w:val="004B68DC"/>
    <w:rsid w:val="00501F08"/>
    <w:rsid w:val="005C147E"/>
    <w:rsid w:val="00640801"/>
    <w:rsid w:val="006A42D7"/>
    <w:rsid w:val="006B359D"/>
    <w:rsid w:val="006F36CE"/>
    <w:rsid w:val="0071591E"/>
    <w:rsid w:val="00826B1C"/>
    <w:rsid w:val="008743DE"/>
    <w:rsid w:val="008D0B57"/>
    <w:rsid w:val="0090408D"/>
    <w:rsid w:val="00931179"/>
    <w:rsid w:val="00944134"/>
    <w:rsid w:val="00A44717"/>
    <w:rsid w:val="00A53E0A"/>
    <w:rsid w:val="00AC7273"/>
    <w:rsid w:val="00B35AED"/>
    <w:rsid w:val="00BC751D"/>
    <w:rsid w:val="00BF5044"/>
    <w:rsid w:val="00C739B3"/>
    <w:rsid w:val="00C75EC9"/>
    <w:rsid w:val="00CB5559"/>
    <w:rsid w:val="00D82C42"/>
    <w:rsid w:val="00EB09EB"/>
    <w:rsid w:val="00EF18D7"/>
    <w:rsid w:val="00F246F9"/>
    <w:rsid w:val="00F5543D"/>
    <w:rsid w:val="00FD042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3471D"/>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D042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D042F"/>
  </w:style>
  <w:style w:type="paragraph" w:styleId="Zpat">
    <w:name w:val="footer"/>
    <w:basedOn w:val="Normln"/>
    <w:link w:val="ZpatChar"/>
    <w:uiPriority w:val="99"/>
    <w:unhideWhenUsed/>
    <w:rsid w:val="00FD042F"/>
    <w:pPr>
      <w:tabs>
        <w:tab w:val="center" w:pos="4536"/>
        <w:tab w:val="right" w:pos="9072"/>
      </w:tabs>
      <w:spacing w:after="0" w:line="240" w:lineRule="auto"/>
    </w:pPr>
  </w:style>
  <w:style w:type="character" w:customStyle="1" w:styleId="ZpatChar">
    <w:name w:val="Zápatí Char"/>
    <w:basedOn w:val="Standardnpsmoodstavce"/>
    <w:link w:val="Zpat"/>
    <w:uiPriority w:val="99"/>
    <w:rsid w:val="00FD042F"/>
  </w:style>
  <w:style w:type="paragraph" w:styleId="Textbubliny">
    <w:name w:val="Balloon Text"/>
    <w:basedOn w:val="Normln"/>
    <w:link w:val="TextbublinyChar"/>
    <w:uiPriority w:val="99"/>
    <w:semiHidden/>
    <w:unhideWhenUsed/>
    <w:rsid w:val="00FD04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D042F"/>
    <w:rPr>
      <w:rFonts w:ascii="Tahoma" w:hAnsi="Tahoma" w:cs="Tahoma"/>
      <w:sz w:val="16"/>
      <w:szCs w:val="16"/>
    </w:rPr>
  </w:style>
  <w:style w:type="table" w:styleId="Mkatabulky">
    <w:name w:val="Table Grid"/>
    <w:basedOn w:val="Normlntabulka"/>
    <w:uiPriority w:val="59"/>
    <w:rsid w:val="005C1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Normln"/>
    <w:uiPriority w:val="1"/>
    <w:qFormat/>
    <w:rsid w:val="005C147E"/>
    <w:pPr>
      <w:widowControl w:val="0"/>
      <w:autoSpaceDE w:val="0"/>
      <w:autoSpaceDN w:val="0"/>
      <w:spacing w:before="50" w:after="0" w:line="240" w:lineRule="auto"/>
      <w:ind w:left="2085"/>
      <w:outlineLvl w:val="1"/>
    </w:pPr>
    <w:rPr>
      <w:rFonts w:ascii="Calibri" w:eastAsia="Calibri" w:hAnsi="Calibri" w:cs="Calibri"/>
      <w:b/>
      <w:bCs/>
      <w:sz w:val="25"/>
      <w:szCs w:val="25"/>
      <w:lang w:val="en-US"/>
    </w:rPr>
  </w:style>
  <w:style w:type="paragraph" w:customStyle="1" w:styleId="Default">
    <w:name w:val="Default"/>
    <w:rsid w:val="00231682"/>
    <w:pPr>
      <w:autoSpaceDE w:val="0"/>
      <w:autoSpaceDN w:val="0"/>
      <w:adjustRightInd w:val="0"/>
      <w:spacing w:after="0" w:line="240" w:lineRule="auto"/>
    </w:pPr>
    <w:rPr>
      <w:rFonts w:ascii="Arial" w:eastAsia="Times New Roman" w:hAnsi="Arial" w:cs="Arial"/>
      <w:color w:val="000000"/>
      <w:sz w:val="24"/>
      <w:szCs w:val="24"/>
    </w:rPr>
  </w:style>
  <w:style w:type="paragraph" w:styleId="Bezmezer">
    <w:name w:val="No Spacing"/>
    <w:uiPriority w:val="1"/>
    <w:qFormat/>
    <w:rsid w:val="00231682"/>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fnol.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717</Words>
  <Characters>4232</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4940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60968</dc:creator>
  <cp:lastModifiedBy>user</cp:lastModifiedBy>
  <cp:revision>2</cp:revision>
  <cp:lastPrinted>2019-11-14T11:00:00Z</cp:lastPrinted>
  <dcterms:created xsi:type="dcterms:W3CDTF">2020-12-10T07:37:00Z</dcterms:created>
  <dcterms:modified xsi:type="dcterms:W3CDTF">2020-12-10T07:37:00Z</dcterms:modified>
</cp:coreProperties>
</file>