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3AA0" w:rsidRDefault="00523AA0" w:rsidP="00523AA0">
      <w:pPr>
        <w:pStyle w:val="Nadpis1"/>
        <w:jc w:val="center"/>
        <w:rPr>
          <w:sz w:val="96"/>
          <w:szCs w:val="96"/>
        </w:rPr>
      </w:pPr>
    </w:p>
    <w:p w:rsidR="00523AA0" w:rsidRPr="00512010" w:rsidRDefault="00523AA0" w:rsidP="00523AA0">
      <w:pPr>
        <w:pStyle w:val="Nadpis1"/>
        <w:jc w:val="center"/>
        <w:rPr>
          <w:b/>
          <w:sz w:val="104"/>
          <w:szCs w:val="104"/>
        </w:rPr>
      </w:pPr>
      <w:proofErr w:type="spellStart"/>
      <w:r w:rsidRPr="00512010">
        <w:rPr>
          <w:b/>
          <w:sz w:val="104"/>
          <w:szCs w:val="104"/>
        </w:rPr>
        <w:t>Corporate</w:t>
      </w:r>
      <w:proofErr w:type="spellEnd"/>
      <w:r w:rsidRPr="00512010">
        <w:rPr>
          <w:b/>
          <w:sz w:val="104"/>
          <w:szCs w:val="104"/>
        </w:rPr>
        <w:t xml:space="preserve"> </w:t>
      </w:r>
      <w:proofErr w:type="spellStart"/>
      <w:r w:rsidRPr="00512010">
        <w:rPr>
          <w:b/>
          <w:sz w:val="104"/>
          <w:szCs w:val="104"/>
        </w:rPr>
        <w:t>Financial</w:t>
      </w:r>
      <w:proofErr w:type="spellEnd"/>
      <w:r w:rsidRPr="00512010">
        <w:rPr>
          <w:b/>
          <w:sz w:val="104"/>
          <w:szCs w:val="104"/>
        </w:rPr>
        <w:t xml:space="preserve"> Management (CFM) </w:t>
      </w:r>
    </w:p>
    <w:p w:rsidR="00523AA0" w:rsidRPr="00512010" w:rsidRDefault="00523AA0" w:rsidP="00523AA0">
      <w:pPr>
        <w:pStyle w:val="Nadpis1"/>
        <w:jc w:val="center"/>
        <w:rPr>
          <w:sz w:val="64"/>
          <w:szCs w:val="64"/>
        </w:rPr>
      </w:pPr>
      <w:r w:rsidRPr="00512010">
        <w:rPr>
          <w:i/>
          <w:sz w:val="64"/>
          <w:szCs w:val="64"/>
        </w:rPr>
        <w:t>gen. 2</w:t>
      </w:r>
    </w:p>
    <w:p w:rsidR="00523AA0" w:rsidRDefault="00523AA0" w:rsidP="00523AA0"/>
    <w:p w:rsidR="00523AA0" w:rsidRDefault="00523AA0" w:rsidP="00523AA0">
      <w:pPr>
        <w:jc w:val="center"/>
      </w:pPr>
    </w:p>
    <w:p w:rsidR="00523AA0" w:rsidRDefault="00523AA0" w:rsidP="00523AA0">
      <w:pPr>
        <w:jc w:val="center"/>
      </w:pPr>
    </w:p>
    <w:p w:rsidR="00523AA0" w:rsidRDefault="00523AA0" w:rsidP="00523AA0">
      <w:pPr>
        <w:jc w:val="center"/>
      </w:pPr>
    </w:p>
    <w:p w:rsidR="00523AA0" w:rsidRDefault="00523AA0" w:rsidP="00523AA0">
      <w:pPr>
        <w:jc w:val="center"/>
        <w:rPr>
          <w:rFonts w:asciiTheme="majorHAnsi" w:eastAsiaTheme="majorEastAsia" w:hAnsiTheme="majorHAnsi" w:cstheme="majorBidi"/>
          <w:color w:val="2E74B5" w:themeColor="accent1" w:themeShade="BF"/>
          <w:sz w:val="72"/>
          <w:szCs w:val="72"/>
        </w:rPr>
      </w:pPr>
      <w:r w:rsidRPr="00523AA0">
        <w:rPr>
          <w:rFonts w:asciiTheme="majorHAnsi" w:eastAsiaTheme="majorEastAsia" w:hAnsiTheme="majorHAnsi" w:cstheme="majorBidi"/>
          <w:color w:val="2E74B5" w:themeColor="accent1" w:themeShade="BF"/>
          <w:sz w:val="72"/>
          <w:szCs w:val="72"/>
        </w:rPr>
        <w:t>Uživatelský manuál</w:t>
      </w:r>
    </w:p>
    <w:p w:rsidR="00523AA0" w:rsidRDefault="00523AA0" w:rsidP="00523AA0">
      <w:pPr>
        <w:jc w:val="center"/>
        <w:rPr>
          <w:rFonts w:asciiTheme="majorHAnsi" w:eastAsiaTheme="majorEastAsia" w:hAnsiTheme="majorHAnsi" w:cstheme="majorBidi"/>
          <w:color w:val="2E74B5" w:themeColor="accent1" w:themeShade="BF"/>
          <w:sz w:val="72"/>
          <w:szCs w:val="72"/>
        </w:rPr>
      </w:pPr>
    </w:p>
    <w:p w:rsidR="00523AA0" w:rsidRPr="00523AA0" w:rsidRDefault="00523AA0" w:rsidP="00523AA0">
      <w:pPr>
        <w:jc w:val="center"/>
        <w:rPr>
          <w:rFonts w:asciiTheme="majorHAnsi" w:eastAsiaTheme="majorEastAsia" w:hAnsiTheme="majorHAnsi" w:cstheme="majorBidi"/>
          <w:color w:val="2E74B5" w:themeColor="accent1" w:themeShade="BF"/>
          <w:sz w:val="72"/>
          <w:szCs w:val="72"/>
        </w:rPr>
      </w:pPr>
      <w:r>
        <w:rPr>
          <w:rFonts w:asciiTheme="majorHAnsi" w:eastAsiaTheme="majorEastAsia" w:hAnsiTheme="majorHAnsi" w:cstheme="majorBidi"/>
          <w:noProof/>
          <w:color w:val="2E74B5" w:themeColor="accent1" w:themeShade="BF"/>
          <w:sz w:val="72"/>
          <w:szCs w:val="72"/>
        </w:rPr>
        <w:drawing>
          <wp:anchor distT="0" distB="0" distL="114300" distR="114300" simplePos="0" relativeHeight="251658240" behindDoc="1" locked="0" layoutInCell="1" allowOverlap="1">
            <wp:simplePos x="0" y="0"/>
            <wp:positionH relativeFrom="margin">
              <wp:align>left</wp:align>
            </wp:positionH>
            <wp:positionV relativeFrom="paragraph">
              <wp:posOffset>933450</wp:posOffset>
            </wp:positionV>
            <wp:extent cx="1668145" cy="704850"/>
            <wp:effectExtent l="0" t="0" r="8255" b="0"/>
            <wp:wrapTight wrapText="bothSides">
              <wp:wrapPolygon edited="0">
                <wp:start x="0" y="0"/>
                <wp:lineTo x="0" y="21016"/>
                <wp:lineTo x="21460" y="21016"/>
                <wp:lineTo x="21460" y="0"/>
                <wp:lineTo x="0" y="0"/>
              </wp:wrapPolygon>
            </wp:wrapTight>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814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noProof/>
          <w:color w:val="2E74B5" w:themeColor="accent1" w:themeShade="BF"/>
          <w:sz w:val="72"/>
          <w:szCs w:val="72"/>
        </w:rPr>
        <w:drawing>
          <wp:anchor distT="0" distB="0" distL="114300" distR="114300" simplePos="0" relativeHeight="251659264" behindDoc="1" locked="0" layoutInCell="1" allowOverlap="1">
            <wp:simplePos x="0" y="0"/>
            <wp:positionH relativeFrom="margin">
              <wp:align>right</wp:align>
            </wp:positionH>
            <wp:positionV relativeFrom="paragraph">
              <wp:posOffset>942340</wp:posOffset>
            </wp:positionV>
            <wp:extent cx="1689735" cy="679450"/>
            <wp:effectExtent l="0" t="0" r="5715" b="6350"/>
            <wp:wrapTight wrapText="bothSides">
              <wp:wrapPolygon edited="0">
                <wp:start x="0" y="0"/>
                <wp:lineTo x="0" y="21196"/>
                <wp:lineTo x="21430" y="21196"/>
                <wp:lineTo x="21430" y="0"/>
                <wp:lineTo x="0" y="0"/>
              </wp:wrapPolygon>
            </wp:wrapTight>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9735" cy="67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3AA0" w:rsidRDefault="00523AA0" w:rsidP="00D10213">
      <w:pPr>
        <w:pStyle w:val="Nadpis1"/>
      </w:pPr>
    </w:p>
    <w:p w:rsidR="00523AA0" w:rsidRDefault="00523AA0" w:rsidP="00D10213">
      <w:pPr>
        <w:pStyle w:val="Nadpis1"/>
      </w:pPr>
    </w:p>
    <w:p w:rsidR="00523AA0" w:rsidRDefault="00523AA0" w:rsidP="00D10213">
      <w:pPr>
        <w:pStyle w:val="Nadpis1"/>
      </w:pPr>
    </w:p>
    <w:p w:rsidR="00523AA0" w:rsidRDefault="00523AA0" w:rsidP="00D10213">
      <w:pPr>
        <w:pStyle w:val="Nadpis1"/>
      </w:pPr>
    </w:p>
    <w:p w:rsidR="00512010" w:rsidRDefault="00512010">
      <w:pPr>
        <w:rPr>
          <w:rFonts w:asciiTheme="majorHAnsi" w:eastAsiaTheme="majorEastAsia" w:hAnsiTheme="majorHAnsi" w:cstheme="majorBidi"/>
          <w:color w:val="2E74B5" w:themeColor="accent1" w:themeShade="BF"/>
          <w:sz w:val="32"/>
          <w:szCs w:val="32"/>
        </w:rPr>
      </w:pPr>
      <w:r>
        <w:br w:type="page"/>
      </w:r>
    </w:p>
    <w:p w:rsidR="00D10213" w:rsidRDefault="00D10213" w:rsidP="00D10213">
      <w:pPr>
        <w:pStyle w:val="Nadpis1"/>
      </w:pPr>
      <w:r>
        <w:lastRenderedPageBreak/>
        <w:t>Aplikace CFM</w:t>
      </w:r>
    </w:p>
    <w:p w:rsidR="00D54BB5" w:rsidRDefault="00D54BB5">
      <w:r>
        <w:t>Po spuštění aplikace se zobrazí následující obrazovka</w:t>
      </w:r>
    </w:p>
    <w:p w:rsidR="00D54BB5" w:rsidRDefault="00B32101">
      <w:r>
        <w:rPr>
          <w:noProof/>
        </w:rPr>
        <w:drawing>
          <wp:inline distT="0" distB="0" distL="0" distR="0">
            <wp:extent cx="5254018" cy="2765425"/>
            <wp:effectExtent l="0" t="0" r="381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127" cy="2772325"/>
                    </a:xfrm>
                    <a:prstGeom prst="rect">
                      <a:avLst/>
                    </a:prstGeom>
                    <a:noFill/>
                    <a:ln>
                      <a:noFill/>
                    </a:ln>
                  </pic:spPr>
                </pic:pic>
              </a:graphicData>
            </a:graphic>
          </wp:inline>
        </w:drawing>
      </w:r>
    </w:p>
    <w:p w:rsidR="00412B0D" w:rsidRDefault="00412B0D" w:rsidP="009F241E">
      <w:pPr>
        <w:pStyle w:val="Nadpis1"/>
      </w:pPr>
      <w:r>
        <w:t>Hlavní menu a otevírání reportů</w:t>
      </w:r>
    </w:p>
    <w:p w:rsidR="00412B0D" w:rsidRDefault="00412B0D">
      <w:r>
        <w:t xml:space="preserve">Po klepnutí na tlačítko </w:t>
      </w:r>
      <w:r>
        <w:rPr>
          <w:b/>
        </w:rPr>
        <w:t>Menu</w:t>
      </w:r>
      <w:r>
        <w:t xml:space="preserve"> se zobrazí nejprve nabídka jednotlivých oblastí (modulů). Z ní je pak možné se rozpadnout přes kategorie panelů až na nabídku konkrétních reportů. </w:t>
      </w:r>
    </w:p>
    <w:p w:rsidR="00AF1F9A" w:rsidRDefault="00B32101" w:rsidP="00AF1F9A">
      <w:pPr>
        <w:spacing w:after="120"/>
      </w:pPr>
      <w:r>
        <w:rPr>
          <w:noProof/>
        </w:rPr>
        <w:drawing>
          <wp:inline distT="0" distB="0" distL="0" distR="0">
            <wp:extent cx="5746750" cy="3422650"/>
            <wp:effectExtent l="0" t="0" r="6350" b="635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6750" cy="3422650"/>
                    </a:xfrm>
                    <a:prstGeom prst="rect">
                      <a:avLst/>
                    </a:prstGeom>
                    <a:noFill/>
                    <a:ln>
                      <a:noFill/>
                    </a:ln>
                  </pic:spPr>
                </pic:pic>
              </a:graphicData>
            </a:graphic>
          </wp:inline>
        </w:drawing>
      </w:r>
    </w:p>
    <w:p w:rsidR="00AF1F9A" w:rsidRPr="00AF1F9A" w:rsidRDefault="00AF1F9A">
      <w:pPr>
        <w:rPr>
          <w:i/>
        </w:rPr>
      </w:pPr>
      <w:r w:rsidRPr="00AF1F9A">
        <w:rPr>
          <w:i/>
        </w:rPr>
        <w:t>pozn.: menu se u každé</w:t>
      </w:r>
      <w:r>
        <w:rPr>
          <w:i/>
        </w:rPr>
        <w:t>ho zákazníka společnosti SEFIMA</w:t>
      </w:r>
      <w:r w:rsidRPr="00AF1F9A">
        <w:rPr>
          <w:i/>
        </w:rPr>
        <w:t xml:space="preserve"> může lišit, a to dle oblastí a strukt</w:t>
      </w:r>
      <w:r>
        <w:rPr>
          <w:i/>
        </w:rPr>
        <w:t>u</w:t>
      </w:r>
      <w:r w:rsidRPr="00AF1F9A">
        <w:rPr>
          <w:i/>
        </w:rPr>
        <w:t>ry, jak bylo v daném př</w:t>
      </w:r>
      <w:r>
        <w:rPr>
          <w:i/>
        </w:rPr>
        <w:t>íp</w:t>
      </w:r>
      <w:r w:rsidRPr="00AF1F9A">
        <w:rPr>
          <w:i/>
        </w:rPr>
        <w:t>adě navrženo</w:t>
      </w:r>
      <w:r>
        <w:rPr>
          <w:i/>
        </w:rPr>
        <w:t>.</w:t>
      </w:r>
    </w:p>
    <w:p w:rsidR="00412B0D" w:rsidRDefault="00412B0D">
      <w:r>
        <w:t xml:space="preserve">Klepnutím na vybraný report (např. </w:t>
      </w:r>
      <w:r w:rsidR="00B32101">
        <w:t>Meziroční indexy</w:t>
      </w:r>
      <w:r>
        <w:t>) se report otevře. Všimněte si, že struktura menu, modulů a reportů zůstala „rozbalená“ na liště, kde se menu nachází.</w:t>
      </w:r>
    </w:p>
    <w:p w:rsidR="00512010" w:rsidRDefault="00512010">
      <w:r>
        <w:rPr>
          <w:noProof/>
        </w:rPr>
        <w:drawing>
          <wp:inline distT="0" distB="0" distL="0" distR="0">
            <wp:extent cx="5753100" cy="403860"/>
            <wp:effectExtent l="0" t="0" r="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403860"/>
                    </a:xfrm>
                    <a:prstGeom prst="rect">
                      <a:avLst/>
                    </a:prstGeom>
                    <a:noFill/>
                    <a:ln>
                      <a:noFill/>
                    </a:ln>
                  </pic:spPr>
                </pic:pic>
              </a:graphicData>
            </a:graphic>
          </wp:inline>
        </w:drawing>
      </w:r>
    </w:p>
    <w:p w:rsidR="00512010" w:rsidRDefault="00512010">
      <w:r>
        <w:t>Otevřené panely naleznete hned pod lištou Hlavního menu, panelů lze mít otevřených více současně a přepínat se mezi nimi.</w:t>
      </w:r>
    </w:p>
    <w:p w:rsidR="0046514A" w:rsidRDefault="00B32101">
      <w:r>
        <w:rPr>
          <w:noProof/>
        </w:rPr>
        <w:drawing>
          <wp:inline distT="0" distB="0" distL="0" distR="0">
            <wp:extent cx="5753100" cy="2362200"/>
            <wp:effectExtent l="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2362200"/>
                    </a:xfrm>
                    <a:prstGeom prst="rect">
                      <a:avLst/>
                    </a:prstGeom>
                    <a:noFill/>
                    <a:ln>
                      <a:noFill/>
                    </a:ln>
                  </pic:spPr>
                </pic:pic>
              </a:graphicData>
            </a:graphic>
          </wp:inline>
        </w:drawing>
      </w:r>
    </w:p>
    <w:p w:rsidR="00512010" w:rsidRDefault="00512010"/>
    <w:p w:rsidR="0046514A" w:rsidRDefault="0046514A" w:rsidP="009F241E">
      <w:pPr>
        <w:pStyle w:val="Nadpis1"/>
      </w:pPr>
      <w:r>
        <w:t>Karta Nastavení</w:t>
      </w:r>
    </w:p>
    <w:p w:rsidR="00412B0D" w:rsidRDefault="00B32101">
      <w:r>
        <w:rPr>
          <w:noProof/>
        </w:rPr>
        <w:drawing>
          <wp:inline distT="0" distB="0" distL="0" distR="0">
            <wp:extent cx="5753100" cy="2222500"/>
            <wp:effectExtent l="0" t="0" r="0" b="635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222500"/>
                    </a:xfrm>
                    <a:prstGeom prst="rect">
                      <a:avLst/>
                    </a:prstGeom>
                    <a:noFill/>
                    <a:ln>
                      <a:noFill/>
                    </a:ln>
                  </pic:spPr>
                </pic:pic>
              </a:graphicData>
            </a:graphic>
          </wp:inline>
        </w:drawing>
      </w:r>
    </w:p>
    <w:p w:rsidR="0046514A" w:rsidRDefault="0046514A" w:rsidP="009F241E">
      <w:pPr>
        <w:pStyle w:val="Nadpis1"/>
      </w:pPr>
      <w:r>
        <w:t>Tlačítková lišta karty CFM</w:t>
      </w:r>
    </w:p>
    <w:p w:rsidR="0046514A" w:rsidRDefault="0046514A">
      <w:r>
        <w:t xml:space="preserve">Po otevření libovolného reportu se v horní </w:t>
      </w:r>
      <w:r w:rsidR="002B5767">
        <w:t>části zobrazí „záložka“ reportu a pod ní</w:t>
      </w:r>
      <w:r>
        <w:t xml:space="preserve"> </w:t>
      </w:r>
      <w:r w:rsidR="00583542">
        <w:t>pás karet (podobný jako v MS Excel)</w:t>
      </w:r>
      <w:r w:rsidR="001054BE">
        <w:t xml:space="preserve"> s kartou CFM, která slouží k ovládání reportu.</w:t>
      </w:r>
      <w:r w:rsidR="007832D4">
        <w:t xml:space="preserve"> </w:t>
      </w:r>
    </w:p>
    <w:p w:rsidR="002B5767" w:rsidRDefault="00C445BD">
      <w:r>
        <w:rPr>
          <w:noProof/>
          <w:lang w:eastAsia="cs-CZ"/>
        </w:rPr>
        <w:drawing>
          <wp:inline distT="0" distB="0" distL="0" distR="0" wp14:anchorId="520D64E1" wp14:editId="1D4AAFD8">
            <wp:extent cx="5760720" cy="836930"/>
            <wp:effectExtent l="0" t="0" r="0" b="127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836930"/>
                    </a:xfrm>
                    <a:prstGeom prst="rect">
                      <a:avLst/>
                    </a:prstGeom>
                  </pic:spPr>
                </pic:pic>
              </a:graphicData>
            </a:graphic>
          </wp:inline>
        </w:drawing>
      </w:r>
    </w:p>
    <w:p w:rsidR="00C445BD" w:rsidRDefault="00C445BD" w:rsidP="002B5767">
      <w:pPr>
        <w:pStyle w:val="Odstavecseseznamem"/>
        <w:numPr>
          <w:ilvl w:val="0"/>
          <w:numId w:val="1"/>
        </w:numPr>
      </w:pPr>
      <w:bookmarkStart w:id="0" w:name="_Hlk535579569"/>
      <w:r w:rsidRPr="000A7F13">
        <w:rPr>
          <w:b/>
        </w:rPr>
        <w:t>Záložka reportu</w:t>
      </w:r>
      <w:r>
        <w:br/>
        <w:t xml:space="preserve">V řádku se zobrazují </w:t>
      </w:r>
      <w:r w:rsidR="000A7F13">
        <w:t xml:space="preserve">všechny otevřené reporty, mezi kterými se lze přepínat. Křížkem lze report zavřít. </w:t>
      </w:r>
    </w:p>
    <w:p w:rsidR="002B5767" w:rsidRDefault="00C445BD" w:rsidP="00D40F76">
      <w:pPr>
        <w:pStyle w:val="Odstavecseseznamem"/>
        <w:numPr>
          <w:ilvl w:val="0"/>
          <w:numId w:val="1"/>
        </w:numPr>
      </w:pPr>
      <w:r w:rsidRPr="000A7F13">
        <w:rPr>
          <w:b/>
        </w:rPr>
        <w:t>Vložit pohled</w:t>
      </w:r>
      <w:r w:rsidR="000A7F13">
        <w:br/>
      </w:r>
      <w:r w:rsidR="00D40F76">
        <w:t xml:space="preserve">Umožňuje vložit vlastní pohled na data v databázi. Před vložením pohledu je vhodné otevřít nový, prázdný sešit. </w:t>
      </w:r>
    </w:p>
    <w:p w:rsidR="00C445BD" w:rsidRDefault="00C445BD" w:rsidP="002B5767">
      <w:pPr>
        <w:pStyle w:val="Odstavecseseznamem"/>
        <w:numPr>
          <w:ilvl w:val="0"/>
          <w:numId w:val="1"/>
        </w:numPr>
      </w:pPr>
      <w:r w:rsidRPr="000A7F13">
        <w:rPr>
          <w:b/>
        </w:rPr>
        <w:t>Uložit snímek jako</w:t>
      </w:r>
      <w:r w:rsidR="00D40F76">
        <w:br/>
        <w:t>Umožňuje uložit report jako excelový soubor, PDF nebo jako webovou stránku.</w:t>
      </w:r>
    </w:p>
    <w:p w:rsidR="00C445BD" w:rsidRDefault="00C445BD" w:rsidP="002B5767">
      <w:pPr>
        <w:pStyle w:val="Odstavecseseznamem"/>
        <w:numPr>
          <w:ilvl w:val="0"/>
          <w:numId w:val="1"/>
        </w:numPr>
      </w:pPr>
      <w:r w:rsidRPr="000A7F13">
        <w:rPr>
          <w:b/>
        </w:rPr>
        <w:t>Odebrat nulové</w:t>
      </w:r>
      <w:r w:rsidR="00D40F76">
        <w:br/>
        <w:t xml:space="preserve">Při rozbalování řádků (funkce </w:t>
      </w:r>
      <w:proofErr w:type="spellStart"/>
      <w:r w:rsidR="00D40F76">
        <w:t>drill-down</w:t>
      </w:r>
      <w:proofErr w:type="spellEnd"/>
      <w:r w:rsidR="00D40F76">
        <w:t>) budou odebrány řádky, které jsou pro všechny sloupce nulové.</w:t>
      </w:r>
    </w:p>
    <w:p w:rsidR="00C445BD" w:rsidRDefault="00C445BD" w:rsidP="002B5767">
      <w:pPr>
        <w:pStyle w:val="Odstavecseseznamem"/>
        <w:numPr>
          <w:ilvl w:val="0"/>
          <w:numId w:val="1"/>
        </w:numPr>
      </w:pPr>
      <w:r w:rsidRPr="000A7F13">
        <w:rPr>
          <w:b/>
        </w:rPr>
        <w:t>Na základní úroveň</w:t>
      </w:r>
      <w:r w:rsidR="00D40F76">
        <w:br/>
        <w:t>Při rozbalování řádků dojde k rozbalení až na nejnižší úroveň v rámci struktury dimenze.</w:t>
      </w:r>
    </w:p>
    <w:p w:rsidR="00C445BD" w:rsidRDefault="00C445BD" w:rsidP="002B5767">
      <w:pPr>
        <w:pStyle w:val="Odstavecseseznamem"/>
        <w:numPr>
          <w:ilvl w:val="0"/>
          <w:numId w:val="1"/>
        </w:numPr>
      </w:pPr>
      <w:r w:rsidRPr="000A7F13">
        <w:rPr>
          <w:b/>
        </w:rPr>
        <w:t>Zobrazit rodiče</w:t>
      </w:r>
      <w:r w:rsidR="00D40F76">
        <w:br/>
        <w:t>Pokud je zaškrtnuté políčko „Na základní úroveň“, umožní nastavit zobrazení rodičů (mezistupňů) v rámci struktury dimenze. Jinak se zobrazí pouze základní prvky dané dimenze.</w:t>
      </w:r>
    </w:p>
    <w:p w:rsidR="00C445BD" w:rsidRDefault="00C445BD" w:rsidP="002B5767">
      <w:pPr>
        <w:pStyle w:val="Odstavecseseznamem"/>
        <w:numPr>
          <w:ilvl w:val="0"/>
          <w:numId w:val="1"/>
        </w:numPr>
      </w:pPr>
      <w:r w:rsidRPr="000A7F13">
        <w:rPr>
          <w:b/>
        </w:rPr>
        <w:t>Seřadit</w:t>
      </w:r>
      <w:r w:rsidR="007B33B9">
        <w:br/>
        <w:t xml:space="preserve">Umožňuje nastavit řazení řádků při jejich rozbalování. </w:t>
      </w:r>
    </w:p>
    <w:p w:rsidR="00C445BD" w:rsidRDefault="00C445BD" w:rsidP="002B5767">
      <w:pPr>
        <w:pStyle w:val="Odstavecseseznamem"/>
        <w:numPr>
          <w:ilvl w:val="0"/>
          <w:numId w:val="1"/>
        </w:numPr>
      </w:pPr>
      <w:r w:rsidRPr="000A7F13">
        <w:t>možnost přepnutí řazení</w:t>
      </w:r>
      <w:r w:rsidRPr="000A7F13">
        <w:rPr>
          <w:b/>
        </w:rPr>
        <w:t xml:space="preserve"> dle kódu </w:t>
      </w:r>
      <w:r w:rsidRPr="000A7F13">
        <w:t>nebo</w:t>
      </w:r>
      <w:r w:rsidRPr="000A7F13">
        <w:rPr>
          <w:b/>
        </w:rPr>
        <w:t xml:space="preserve"> dle </w:t>
      </w:r>
      <w:proofErr w:type="spellStart"/>
      <w:r w:rsidRPr="000A7F13">
        <w:rPr>
          <w:b/>
        </w:rPr>
        <w:t>atribuce</w:t>
      </w:r>
      <w:proofErr w:type="spellEnd"/>
    </w:p>
    <w:p w:rsidR="00C445BD" w:rsidRDefault="00C445BD" w:rsidP="00C445BD">
      <w:pPr>
        <w:pStyle w:val="Odstavecseseznamem"/>
        <w:numPr>
          <w:ilvl w:val="0"/>
          <w:numId w:val="1"/>
        </w:numPr>
      </w:pPr>
      <w:r>
        <w:t xml:space="preserve">možnost přepnutí řazení </w:t>
      </w:r>
      <w:r w:rsidRPr="000A7F13">
        <w:rPr>
          <w:b/>
        </w:rPr>
        <w:t>vzestupně</w:t>
      </w:r>
      <w:r>
        <w:t xml:space="preserve"> nebo </w:t>
      </w:r>
      <w:r w:rsidRPr="000A7F13">
        <w:rPr>
          <w:b/>
        </w:rPr>
        <w:t>sestupně</w:t>
      </w:r>
    </w:p>
    <w:p w:rsidR="00C445BD" w:rsidRDefault="00C445BD" w:rsidP="00C445BD">
      <w:pPr>
        <w:pStyle w:val="Odstavecseseznamem"/>
        <w:numPr>
          <w:ilvl w:val="0"/>
          <w:numId w:val="1"/>
        </w:numPr>
      </w:pPr>
      <w:r w:rsidRPr="000A7F13">
        <w:rPr>
          <w:b/>
        </w:rPr>
        <w:t>Odebrat nulové</w:t>
      </w:r>
      <w:r w:rsidR="000A7F13">
        <w:br/>
      </w:r>
      <w:r w:rsidR="007B33B9">
        <w:t xml:space="preserve">Při rozbalování sloupců (funkce </w:t>
      </w:r>
      <w:proofErr w:type="spellStart"/>
      <w:r w:rsidR="007B33B9">
        <w:t>drill-down</w:t>
      </w:r>
      <w:proofErr w:type="spellEnd"/>
      <w:r w:rsidR="007B33B9">
        <w:t>) budou odebrány sloupce, které jsou pro všechny řádky nulové.</w:t>
      </w:r>
    </w:p>
    <w:p w:rsidR="00C445BD" w:rsidRDefault="00C445BD" w:rsidP="00C445BD">
      <w:pPr>
        <w:pStyle w:val="Odstavecseseznamem"/>
        <w:numPr>
          <w:ilvl w:val="0"/>
          <w:numId w:val="1"/>
        </w:numPr>
      </w:pPr>
      <w:r w:rsidRPr="000A7F13">
        <w:rPr>
          <w:b/>
        </w:rPr>
        <w:t>Na základní úroveň</w:t>
      </w:r>
      <w:r w:rsidR="000A7F13">
        <w:br/>
      </w:r>
      <w:r w:rsidR="007B33B9">
        <w:t>Při rozbalování sloupců dojde k rozbalení až na nejnižší úroveň v rámci struktury dimenze.</w:t>
      </w:r>
    </w:p>
    <w:p w:rsidR="00C445BD" w:rsidRDefault="00C445BD" w:rsidP="00C445BD">
      <w:pPr>
        <w:pStyle w:val="Odstavecseseznamem"/>
        <w:numPr>
          <w:ilvl w:val="0"/>
          <w:numId w:val="1"/>
        </w:numPr>
      </w:pPr>
      <w:r w:rsidRPr="000A7F13">
        <w:rPr>
          <w:b/>
        </w:rPr>
        <w:t>Zobrazit rodiče</w:t>
      </w:r>
      <w:r w:rsidR="000A7F13">
        <w:br/>
      </w:r>
      <w:r w:rsidR="007B33B9">
        <w:t>Pokud je zaškrtnuté políčko „Na základní úroveň“, umožní nastavit zobrazení rodičů (mezistupňů) v rámci struktury dimenze. Jinak se zobrazí pouze základní prvky dané dimenze.</w:t>
      </w:r>
    </w:p>
    <w:p w:rsidR="00C445BD" w:rsidRDefault="00C445BD" w:rsidP="00C445BD">
      <w:pPr>
        <w:pStyle w:val="Odstavecseseznamem"/>
        <w:numPr>
          <w:ilvl w:val="0"/>
          <w:numId w:val="1"/>
        </w:numPr>
      </w:pPr>
      <w:r w:rsidRPr="000A7F13">
        <w:rPr>
          <w:b/>
        </w:rPr>
        <w:t>Seřadit</w:t>
      </w:r>
      <w:r w:rsidR="000A7F13">
        <w:br/>
      </w:r>
      <w:r w:rsidR="007B33B9">
        <w:t>Umožňuje nastavit řazení sloupců při jejich rozbalování.</w:t>
      </w:r>
    </w:p>
    <w:p w:rsidR="00C445BD" w:rsidRDefault="00C445BD" w:rsidP="00C445BD">
      <w:pPr>
        <w:pStyle w:val="Odstavecseseznamem"/>
        <w:numPr>
          <w:ilvl w:val="0"/>
          <w:numId w:val="1"/>
        </w:numPr>
      </w:pPr>
      <w:r>
        <w:t xml:space="preserve">možnost přepnutí řazení </w:t>
      </w:r>
      <w:r w:rsidRPr="000A7F13">
        <w:rPr>
          <w:b/>
        </w:rPr>
        <w:t>dle kódu</w:t>
      </w:r>
      <w:r>
        <w:t xml:space="preserve"> nebo </w:t>
      </w:r>
      <w:r w:rsidRPr="000A7F13">
        <w:rPr>
          <w:b/>
        </w:rPr>
        <w:t xml:space="preserve">dle </w:t>
      </w:r>
      <w:proofErr w:type="spellStart"/>
      <w:r w:rsidRPr="000A7F13">
        <w:rPr>
          <w:b/>
        </w:rPr>
        <w:t>atribuce</w:t>
      </w:r>
      <w:proofErr w:type="spellEnd"/>
    </w:p>
    <w:p w:rsidR="00C445BD" w:rsidRDefault="00C445BD" w:rsidP="00C445BD">
      <w:pPr>
        <w:pStyle w:val="Odstavecseseznamem"/>
        <w:numPr>
          <w:ilvl w:val="0"/>
          <w:numId w:val="1"/>
        </w:numPr>
      </w:pPr>
      <w:r>
        <w:t xml:space="preserve">možnost přepnutí řazení </w:t>
      </w:r>
      <w:r w:rsidRPr="000A7F13">
        <w:rPr>
          <w:b/>
        </w:rPr>
        <w:t>vzestupně</w:t>
      </w:r>
      <w:r>
        <w:t xml:space="preserve"> nebo </w:t>
      </w:r>
      <w:r w:rsidRPr="000A7F13">
        <w:rPr>
          <w:b/>
        </w:rPr>
        <w:t>sestupně</w:t>
      </w:r>
    </w:p>
    <w:p w:rsidR="00C445BD" w:rsidRDefault="00C445BD" w:rsidP="002B5767">
      <w:pPr>
        <w:pStyle w:val="Odstavecseseznamem"/>
        <w:numPr>
          <w:ilvl w:val="0"/>
          <w:numId w:val="1"/>
        </w:numPr>
      </w:pPr>
      <w:r w:rsidRPr="000A7F13">
        <w:rPr>
          <w:b/>
        </w:rPr>
        <w:t>Řádky – přidat pr</w:t>
      </w:r>
      <w:r w:rsidR="000A7F13" w:rsidRPr="000A7F13">
        <w:rPr>
          <w:b/>
        </w:rPr>
        <w:t>v</w:t>
      </w:r>
      <w:r w:rsidRPr="000A7F13">
        <w:rPr>
          <w:b/>
        </w:rPr>
        <w:t>ky</w:t>
      </w:r>
      <w:r w:rsidR="0098743E">
        <w:br/>
        <w:t>Umožňuje přidat nový řádek s vybraným prvkem dimenze.</w:t>
      </w:r>
    </w:p>
    <w:p w:rsidR="00C445BD" w:rsidRDefault="00C445BD" w:rsidP="002B5767">
      <w:pPr>
        <w:pStyle w:val="Odstavecseseznamem"/>
        <w:numPr>
          <w:ilvl w:val="0"/>
          <w:numId w:val="1"/>
        </w:numPr>
      </w:pPr>
      <w:r w:rsidRPr="000A7F13">
        <w:rPr>
          <w:b/>
        </w:rPr>
        <w:t>Sloupce – přidat prvky</w:t>
      </w:r>
      <w:r w:rsidR="000A7F13">
        <w:br/>
      </w:r>
      <w:r w:rsidR="0098743E">
        <w:t>Umožňuje přidat nový sloupec s vybraným prvkem dimenze.</w:t>
      </w:r>
    </w:p>
    <w:p w:rsidR="00C445BD" w:rsidRDefault="00C445BD" w:rsidP="002B5767">
      <w:pPr>
        <w:pStyle w:val="Odstavecseseznamem"/>
        <w:numPr>
          <w:ilvl w:val="0"/>
          <w:numId w:val="1"/>
        </w:numPr>
      </w:pPr>
      <w:r w:rsidRPr="000A7F13">
        <w:rPr>
          <w:b/>
        </w:rPr>
        <w:t>Smazat řádky</w:t>
      </w:r>
      <w:r w:rsidR="0098743E">
        <w:br/>
        <w:t>Smaže řádek aktivní buňky.</w:t>
      </w:r>
    </w:p>
    <w:p w:rsidR="00C445BD" w:rsidRDefault="00C445BD" w:rsidP="002B5767">
      <w:pPr>
        <w:pStyle w:val="Odstavecseseznamem"/>
        <w:numPr>
          <w:ilvl w:val="0"/>
          <w:numId w:val="1"/>
        </w:numPr>
      </w:pPr>
      <w:r w:rsidRPr="000A7F13">
        <w:rPr>
          <w:b/>
        </w:rPr>
        <w:t>Smazat sloupce</w:t>
      </w:r>
      <w:r w:rsidR="0098743E">
        <w:br/>
        <w:t>Smaže sloupec aktivní buňky</w:t>
      </w:r>
    </w:p>
    <w:p w:rsidR="00C445BD" w:rsidRDefault="00C445BD" w:rsidP="002B5767">
      <w:pPr>
        <w:pStyle w:val="Odstavecseseznamem"/>
        <w:numPr>
          <w:ilvl w:val="0"/>
          <w:numId w:val="1"/>
        </w:numPr>
      </w:pPr>
      <w:r w:rsidRPr="000A7F13">
        <w:rPr>
          <w:b/>
        </w:rPr>
        <w:t xml:space="preserve">Formát </w:t>
      </w:r>
      <w:proofErr w:type="spellStart"/>
      <w:r w:rsidRPr="000A7F13">
        <w:rPr>
          <w:b/>
        </w:rPr>
        <w:t>atribuce</w:t>
      </w:r>
      <w:proofErr w:type="spellEnd"/>
      <w:r w:rsidR="0098743E">
        <w:br/>
        <w:t xml:space="preserve">Umožňuje přepínat mezi formátem zobrazení prvků (kódy, </w:t>
      </w:r>
      <w:proofErr w:type="spellStart"/>
      <w:r w:rsidR="0098743E">
        <w:t>atribuce</w:t>
      </w:r>
      <w:proofErr w:type="spellEnd"/>
      <w:r w:rsidR="0098743E">
        <w:t>).</w:t>
      </w:r>
    </w:p>
    <w:p w:rsidR="0098743E" w:rsidRDefault="00C445BD" w:rsidP="0098743E">
      <w:pPr>
        <w:pStyle w:val="Odstavecseseznamem"/>
        <w:numPr>
          <w:ilvl w:val="0"/>
          <w:numId w:val="1"/>
        </w:numPr>
      </w:pPr>
      <w:r w:rsidRPr="000A7F13">
        <w:rPr>
          <w:b/>
        </w:rPr>
        <w:t>Zarovnat</w:t>
      </w:r>
      <w:r w:rsidR="0098743E">
        <w:br/>
        <w:t>Pokud se hodnota či text nevejde díky své šířce do buňky, roztáhne vybrané sloupce tak, aby byl</w:t>
      </w:r>
      <w:r w:rsidR="00BC2EB6">
        <w:t xml:space="preserve"> celý</w:t>
      </w:r>
      <w:r w:rsidR="0098743E">
        <w:t xml:space="preserve"> obsah buňky viditelný.</w:t>
      </w:r>
    </w:p>
    <w:bookmarkEnd w:id="0"/>
    <w:p w:rsidR="0098743E" w:rsidRDefault="0098743E" w:rsidP="0098743E">
      <w:pPr>
        <w:pStyle w:val="Nadpis1"/>
      </w:pPr>
      <w:r>
        <w:t>Výběr z dimenze</w:t>
      </w:r>
    </w:p>
    <w:p w:rsidR="00512010" w:rsidRDefault="00512010" w:rsidP="00512010">
      <w:r w:rsidRPr="0098743E">
        <w:t xml:space="preserve">Na </w:t>
      </w:r>
      <w:r>
        <w:t>většině reportů</w:t>
      </w:r>
      <w:r w:rsidRPr="0098743E">
        <w:t xml:space="preserve"> se zobrazují výběrová tlačítka</w:t>
      </w:r>
      <w:r>
        <w:t xml:space="preserve"> (výběrové dimenze)</w:t>
      </w:r>
      <w:r w:rsidRPr="0098743E">
        <w:t>, která slouží pro výběr konkrétních prvků z dané dimenze.</w:t>
      </w:r>
      <w:r>
        <w:t xml:space="preserve"> </w:t>
      </w:r>
    </w:p>
    <w:p w:rsidR="0098743E" w:rsidRDefault="0098743E" w:rsidP="0098743E">
      <w:r>
        <w:br/>
      </w:r>
      <w:r w:rsidR="00B32101">
        <w:rPr>
          <w:noProof/>
        </w:rPr>
        <w:drawing>
          <wp:inline distT="0" distB="0" distL="0" distR="0">
            <wp:extent cx="5758180" cy="424180"/>
            <wp:effectExtent l="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8180" cy="424180"/>
                    </a:xfrm>
                    <a:prstGeom prst="rect">
                      <a:avLst/>
                    </a:prstGeom>
                    <a:noFill/>
                    <a:ln>
                      <a:noFill/>
                    </a:ln>
                  </pic:spPr>
                </pic:pic>
              </a:graphicData>
            </a:graphic>
          </wp:inline>
        </w:drawing>
      </w:r>
    </w:p>
    <w:p w:rsidR="0098743E" w:rsidRDefault="0098743E" w:rsidP="0098743E">
      <w:r>
        <w:t>Po poklepání na tlačítko se zobrazí dialogové okno (zde pro příklad volba verze).</w:t>
      </w:r>
      <w:r>
        <w:br/>
      </w:r>
      <w:r>
        <w:rPr>
          <w:noProof/>
          <w:lang w:eastAsia="cs-CZ"/>
        </w:rPr>
        <w:drawing>
          <wp:inline distT="0" distB="0" distL="0" distR="0" wp14:anchorId="2255FC66" wp14:editId="1583DE8E">
            <wp:extent cx="3543223" cy="4274820"/>
            <wp:effectExtent l="0" t="0" r="63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49550" cy="4282453"/>
                    </a:xfrm>
                    <a:prstGeom prst="rect">
                      <a:avLst/>
                    </a:prstGeom>
                  </pic:spPr>
                </pic:pic>
              </a:graphicData>
            </a:graphic>
          </wp:inline>
        </w:drawing>
      </w:r>
    </w:p>
    <w:p w:rsidR="00E30A21" w:rsidRDefault="00E30A21" w:rsidP="005C663F">
      <w:pPr>
        <w:pStyle w:val="Nadpis2"/>
      </w:pPr>
      <w:r>
        <w:t>Změna velikosti okna</w:t>
      </w:r>
    </w:p>
    <w:p w:rsidR="0098743E" w:rsidRDefault="00E30A21" w:rsidP="00E30A21">
      <w:r>
        <w:t xml:space="preserve">Chycením a tažením za pravý dolní roh dialogového okna </w:t>
      </w:r>
      <w:r w:rsidR="005C663F">
        <w:rPr>
          <w:noProof/>
          <w:lang w:eastAsia="cs-CZ"/>
        </w:rPr>
        <w:drawing>
          <wp:inline distT="0" distB="0" distL="0" distR="0" wp14:anchorId="2C70A6AE" wp14:editId="791C14A2">
            <wp:extent cx="133350" cy="123825"/>
            <wp:effectExtent l="0" t="0" r="0"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3350" cy="123825"/>
                    </a:xfrm>
                    <a:prstGeom prst="rect">
                      <a:avLst/>
                    </a:prstGeom>
                  </pic:spPr>
                </pic:pic>
              </a:graphicData>
            </a:graphic>
          </wp:inline>
        </w:drawing>
      </w:r>
      <w:r>
        <w:t xml:space="preserve"> je možné velikost okna měnit.</w:t>
      </w:r>
    </w:p>
    <w:p w:rsidR="005C663F" w:rsidRDefault="005C663F" w:rsidP="008B6A90">
      <w:pPr>
        <w:pStyle w:val="Nadpis2"/>
      </w:pPr>
      <w:r>
        <w:t>Řazení a filtrování v rámci výběrového okna</w:t>
      </w:r>
    </w:p>
    <w:p w:rsidR="005C663F" w:rsidRDefault="005C663F" w:rsidP="00E30A21">
      <w:r>
        <w:t xml:space="preserve">Pomocí záhlaví </w:t>
      </w:r>
      <w:r w:rsidR="008B6A90">
        <w:t xml:space="preserve">lze řadit a filtrovat prvky dané dimenze. Klepnutím pravým tlačítkem myši do záhlaví zobrazíte kontextové menu, kde pak můžete vybrat jednu z možností řazení, filtrování a další funkce. </w:t>
      </w:r>
      <w:r w:rsidR="008B6A90">
        <w:br/>
      </w:r>
      <w:r w:rsidR="008B6A90">
        <w:rPr>
          <w:noProof/>
          <w:lang w:eastAsia="cs-CZ"/>
        </w:rPr>
        <w:drawing>
          <wp:inline distT="0" distB="0" distL="0" distR="0" wp14:anchorId="513A8823" wp14:editId="18F1931C">
            <wp:extent cx="3539350" cy="4267200"/>
            <wp:effectExtent l="0" t="0" r="444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1632" cy="4269952"/>
                    </a:xfrm>
                    <a:prstGeom prst="rect">
                      <a:avLst/>
                    </a:prstGeom>
                  </pic:spPr>
                </pic:pic>
              </a:graphicData>
            </a:graphic>
          </wp:inline>
        </w:drawing>
      </w:r>
    </w:p>
    <w:p w:rsidR="008B6A90" w:rsidRPr="00415018" w:rsidRDefault="00A51031" w:rsidP="00E30A21">
      <w:pPr>
        <w:rPr>
          <w:b/>
        </w:rPr>
      </w:pPr>
      <w:r w:rsidRPr="00415018">
        <w:rPr>
          <w:b/>
        </w:rPr>
        <w:t>Nastavení výchozích prvků</w:t>
      </w:r>
    </w:p>
    <w:p w:rsidR="00B01EF7" w:rsidRDefault="00B01EF7" w:rsidP="00E30A21">
      <w:r>
        <w:t xml:space="preserve">V každé dimenzi je možné nastavit tzv. výchozí prvek. Všechny reporty se pak budou otevírat tak, aby při prvotním otevření byl předvolený právě nastavený výchozí prvek. </w:t>
      </w:r>
    </w:p>
    <w:p w:rsidR="00B01EF7" w:rsidRDefault="00B01EF7" w:rsidP="00E30A21">
      <w:r>
        <w:t xml:space="preserve">V dialogovém okně klepněte pravým tlačítkem na libovolný prvek a zvolte možnost „Nastavit jako výchozí prvek“. </w:t>
      </w:r>
      <w:r>
        <w:br/>
      </w:r>
      <w:r w:rsidR="00415018">
        <w:rPr>
          <w:noProof/>
        </w:rPr>
        <w:drawing>
          <wp:inline distT="0" distB="0" distL="0" distR="0">
            <wp:extent cx="5753100" cy="2019300"/>
            <wp:effectExtent l="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2019300"/>
                    </a:xfrm>
                    <a:prstGeom prst="rect">
                      <a:avLst/>
                    </a:prstGeom>
                    <a:noFill/>
                    <a:ln>
                      <a:noFill/>
                    </a:ln>
                  </pic:spPr>
                </pic:pic>
              </a:graphicData>
            </a:graphic>
          </wp:inline>
        </w:drawing>
      </w:r>
    </w:p>
    <w:p w:rsidR="00B01EF7" w:rsidRDefault="00B01EF7" w:rsidP="00E30A21">
      <w:r>
        <w:t xml:space="preserve">Všimněte si, že takto nastavený prvek bude mít u ikony kódu prvku malou hvězdičku. </w:t>
      </w:r>
      <w:r w:rsidR="00241978">
        <w:br/>
      </w:r>
      <w:r w:rsidR="00415018">
        <w:rPr>
          <w:noProof/>
        </w:rPr>
        <w:drawing>
          <wp:inline distT="0" distB="0" distL="0" distR="0">
            <wp:extent cx="5760720" cy="1706880"/>
            <wp:effectExtent l="0" t="0" r="0" b="762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706880"/>
                    </a:xfrm>
                    <a:prstGeom prst="rect">
                      <a:avLst/>
                    </a:prstGeom>
                    <a:noFill/>
                    <a:ln>
                      <a:noFill/>
                    </a:ln>
                  </pic:spPr>
                </pic:pic>
              </a:graphicData>
            </a:graphic>
          </wp:inline>
        </w:drawing>
      </w:r>
    </w:p>
    <w:p w:rsidR="00607E5C" w:rsidRDefault="00607E5C" w:rsidP="0019482C">
      <w:pPr>
        <w:pStyle w:val="Nadpis1"/>
      </w:pPr>
      <w:r>
        <w:t>Rotace dimenzí</w:t>
      </w:r>
    </w:p>
    <w:p w:rsidR="00607E5C" w:rsidRDefault="00607E5C" w:rsidP="00607E5C">
      <w:r>
        <w:t xml:space="preserve">Umožňuje výměnu (prohození) dimenze zobrazené v řádcích </w:t>
      </w:r>
      <w:r w:rsidR="008B18B8">
        <w:t>reportu</w:t>
      </w:r>
      <w:r>
        <w:t xml:space="preserve"> (např. </w:t>
      </w:r>
      <w:r w:rsidR="00F056D1">
        <w:t>Výnosy celkem</w:t>
      </w:r>
      <w:r>
        <w:t xml:space="preserve">) s vybranými dimenzemi v hlavičce. Z řádků datové oblasti je do hlavičky umístěn prvek, ze kterého byla funkce rotace dimenzí vyvolána. Naproti tomu do řádků datové oblasti je umístěn původně vybraný prvek v hlavičce panelu. </w:t>
      </w:r>
    </w:p>
    <w:p w:rsidR="00B04075" w:rsidRDefault="00B04075" w:rsidP="00607E5C"/>
    <w:p w:rsidR="0091621D" w:rsidRDefault="00607E5C" w:rsidP="00607E5C">
      <w:r>
        <w:t xml:space="preserve">Rotace se provede klepnutím pravým tlačítkem myši na </w:t>
      </w:r>
      <w:proofErr w:type="spellStart"/>
      <w:r>
        <w:t>atribuci</w:t>
      </w:r>
      <w:proofErr w:type="spellEnd"/>
      <w:r>
        <w:t xml:space="preserve"> (název) prvku v řádcích datové oblasti. V zobrazené nabídce je zapotřebí vybrat</w:t>
      </w:r>
      <w:r w:rsidR="0019482C">
        <w:t xml:space="preserve"> položku Rotace dimenze</w:t>
      </w:r>
      <w:r>
        <w:t xml:space="preserve"> a dále konkrétní dimenzi, se kterou chci vybraný prvek rotovat (například Středisko).</w:t>
      </w:r>
    </w:p>
    <w:p w:rsidR="00607E5C" w:rsidRPr="0098743E" w:rsidRDefault="0019482C" w:rsidP="00607E5C">
      <w:r>
        <w:br/>
      </w:r>
      <w:r w:rsidR="0091621D">
        <w:rPr>
          <w:noProof/>
        </w:rPr>
        <w:drawing>
          <wp:inline distT="0" distB="0" distL="0" distR="0">
            <wp:extent cx="5753100" cy="3759200"/>
            <wp:effectExtent l="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3759200"/>
                    </a:xfrm>
                    <a:prstGeom prst="rect">
                      <a:avLst/>
                    </a:prstGeom>
                    <a:noFill/>
                    <a:ln>
                      <a:noFill/>
                    </a:ln>
                  </pic:spPr>
                </pic:pic>
              </a:graphicData>
            </a:graphic>
          </wp:inline>
        </w:drawing>
      </w:r>
    </w:p>
    <w:p w:rsidR="00AF1F9A" w:rsidRDefault="00AF1F9A" w:rsidP="00925417">
      <w:pPr>
        <w:pStyle w:val="Nadpis1"/>
      </w:pPr>
    </w:p>
    <w:p w:rsidR="001054BE" w:rsidRDefault="00925417" w:rsidP="00925417">
      <w:pPr>
        <w:pStyle w:val="Nadpis1"/>
      </w:pPr>
      <w:r>
        <w:t>Detail hodnoty</w:t>
      </w:r>
    </w:p>
    <w:p w:rsidR="00925417" w:rsidRDefault="00925417" w:rsidP="00925417">
      <w:r>
        <w:t xml:space="preserve">Na reportech je možné zobrazit detail vybrané položky – tzv. „přispěvatelé položky“. Zobrazení se provede klepnutím pravým tlačítkem myši na patřičném panelu na vybranou hodnotu a ze zobrazené nabídky pomocí volby Detail hodnoty. </w:t>
      </w:r>
      <w:r>
        <w:br/>
      </w:r>
      <w:r w:rsidR="0091621D">
        <w:rPr>
          <w:noProof/>
        </w:rPr>
        <w:drawing>
          <wp:inline distT="0" distB="0" distL="0" distR="0">
            <wp:extent cx="5758815" cy="2558415"/>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8815" cy="2558415"/>
                    </a:xfrm>
                    <a:prstGeom prst="rect">
                      <a:avLst/>
                    </a:prstGeom>
                    <a:noFill/>
                    <a:ln>
                      <a:noFill/>
                    </a:ln>
                  </pic:spPr>
                </pic:pic>
              </a:graphicData>
            </a:graphic>
          </wp:inline>
        </w:drawing>
      </w:r>
    </w:p>
    <w:p w:rsidR="00925417" w:rsidRDefault="00512010" w:rsidP="00925417">
      <w:r>
        <w:t>Detailem hodnoty</w:t>
      </w:r>
      <w:r w:rsidR="00925417">
        <w:t xml:space="preserve"> se otevře nový sešit, kde je možné data dané hodnoty (ze které byl detail vyvolaný) uspořádat a třídit pomocí kontingenční tabulky</w:t>
      </w:r>
      <w:r>
        <w:t xml:space="preserve"> (první list samotná data, druhý list kontingenční tabulka)</w:t>
      </w:r>
      <w:r w:rsidR="00925417">
        <w:t>.</w:t>
      </w:r>
      <w:r w:rsidR="00925417">
        <w:br/>
      </w:r>
      <w:r>
        <w:rPr>
          <w:noProof/>
        </w:rPr>
        <w:drawing>
          <wp:inline distT="0" distB="0" distL="0" distR="0">
            <wp:extent cx="4267200" cy="3984916"/>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7881" cy="3994891"/>
                    </a:xfrm>
                    <a:prstGeom prst="rect">
                      <a:avLst/>
                    </a:prstGeom>
                    <a:noFill/>
                    <a:ln>
                      <a:noFill/>
                    </a:ln>
                  </pic:spPr>
                </pic:pic>
              </a:graphicData>
            </a:graphic>
          </wp:inline>
        </w:drawing>
      </w:r>
    </w:p>
    <w:p w:rsidR="008543AE" w:rsidRDefault="008543AE" w:rsidP="008543AE">
      <w:pPr>
        <w:pStyle w:val="Nadpis1"/>
      </w:pPr>
      <w:r>
        <w:t>Funkce vložit pohled</w:t>
      </w:r>
    </w:p>
    <w:p w:rsidR="008543AE" w:rsidRDefault="008543AE" w:rsidP="008543AE">
      <w:r>
        <w:t>Standardní funkcí systému CFM je možnost vytváření pohledů (reportů) nad databází a jejími kostkami. Stejným způsobem jsou vytvořeny i jednotlivé panely obsažen</w:t>
      </w:r>
      <w:r w:rsidR="0010213F">
        <w:t>é</w:t>
      </w:r>
      <w:r>
        <w:t xml:space="preserve"> v m</w:t>
      </w:r>
      <w:r w:rsidR="0010213F">
        <w:t>e</w:t>
      </w:r>
      <w:r>
        <w:t>nu aplikace CFM. Pro vytvoření vlastního pohledu/pohledů je nezbytné mít povědomí o tom, co obsahují jednotlivé kostky a jejich dimenze.</w:t>
      </w:r>
    </w:p>
    <w:p w:rsidR="008543AE" w:rsidRDefault="008543AE" w:rsidP="008543AE">
      <w:pPr>
        <w:rPr>
          <w:rFonts w:asciiTheme="majorHAnsi" w:eastAsiaTheme="majorEastAsia" w:hAnsiTheme="majorHAnsi" w:cstheme="majorBidi"/>
          <w:color w:val="2E74B5" w:themeColor="accent1" w:themeShade="BF"/>
          <w:sz w:val="26"/>
          <w:szCs w:val="26"/>
        </w:rPr>
      </w:pPr>
      <w:r w:rsidRPr="008543AE">
        <w:rPr>
          <w:rFonts w:asciiTheme="majorHAnsi" w:eastAsiaTheme="majorEastAsia" w:hAnsiTheme="majorHAnsi" w:cstheme="majorBidi"/>
          <w:color w:val="2E74B5" w:themeColor="accent1" w:themeShade="BF"/>
          <w:sz w:val="26"/>
          <w:szCs w:val="26"/>
        </w:rPr>
        <w:t>Konfigurace datového řezu</w:t>
      </w:r>
    </w:p>
    <w:p w:rsidR="008543AE" w:rsidRPr="008543AE" w:rsidRDefault="008543AE" w:rsidP="008543AE">
      <w:r>
        <w:t>Otevřete nový sešit (1.), klikněte na tlačítko vložit pohled (2.), v zobrazeném okně vyberte databázi (3.), vyberte datovou kostku (4.</w:t>
      </w:r>
      <w:r w:rsidR="00F350C2">
        <w:t>)</w:t>
      </w:r>
    </w:p>
    <w:p w:rsidR="008543AE" w:rsidRDefault="008543AE" w:rsidP="008543AE">
      <w:pP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noProof/>
          <w:color w:val="2E74B5" w:themeColor="accent1" w:themeShade="BF"/>
          <w:sz w:val="26"/>
          <w:szCs w:val="26"/>
        </w:rPr>
        <w:drawing>
          <wp:inline distT="0" distB="0" distL="0" distR="0">
            <wp:extent cx="5341620" cy="2851222"/>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49931" cy="2855658"/>
                    </a:xfrm>
                    <a:prstGeom prst="rect">
                      <a:avLst/>
                    </a:prstGeom>
                    <a:noFill/>
                    <a:ln>
                      <a:noFill/>
                    </a:ln>
                  </pic:spPr>
                </pic:pic>
              </a:graphicData>
            </a:graphic>
          </wp:inline>
        </w:drawing>
      </w:r>
    </w:p>
    <w:p w:rsidR="00F350C2" w:rsidRDefault="00F350C2" w:rsidP="008543AE">
      <w:pPr>
        <w:rPr>
          <w:rFonts w:asciiTheme="majorHAnsi" w:eastAsiaTheme="majorEastAsia" w:hAnsiTheme="majorHAnsi" w:cstheme="majorBidi"/>
          <w:color w:val="2E74B5" w:themeColor="accent1" w:themeShade="BF"/>
          <w:sz w:val="26"/>
          <w:szCs w:val="26"/>
        </w:rPr>
      </w:pPr>
    </w:p>
    <w:p w:rsidR="00F350C2" w:rsidRDefault="00F350C2" w:rsidP="008543AE">
      <w:pPr>
        <w:rPr>
          <w:rFonts w:asciiTheme="majorHAnsi" w:eastAsiaTheme="majorEastAsia" w:hAnsiTheme="majorHAnsi" w:cstheme="majorBidi"/>
          <w:color w:val="2E74B5" w:themeColor="accent1" w:themeShade="BF"/>
          <w:sz w:val="26"/>
          <w:szCs w:val="26"/>
        </w:rPr>
      </w:pPr>
    </w:p>
    <w:p w:rsidR="00F350C2" w:rsidRDefault="00F350C2" w:rsidP="008543AE">
      <w:pPr>
        <w:rPr>
          <w:rFonts w:asciiTheme="majorHAnsi" w:eastAsiaTheme="majorEastAsia" w:hAnsiTheme="majorHAnsi" w:cstheme="majorBidi"/>
          <w:color w:val="2E74B5" w:themeColor="accent1" w:themeShade="BF"/>
          <w:sz w:val="26"/>
          <w:szCs w:val="26"/>
        </w:rPr>
      </w:pPr>
    </w:p>
    <w:p w:rsidR="00F350C2" w:rsidRDefault="00F350C2" w:rsidP="008543AE">
      <w:pPr>
        <w:rPr>
          <w:rFonts w:asciiTheme="majorHAnsi" w:eastAsiaTheme="majorEastAsia" w:hAnsiTheme="majorHAnsi" w:cstheme="majorBidi"/>
          <w:color w:val="2E74B5" w:themeColor="accent1" w:themeShade="BF"/>
          <w:sz w:val="26"/>
          <w:szCs w:val="26"/>
        </w:rPr>
      </w:pPr>
    </w:p>
    <w:p w:rsidR="00F350C2" w:rsidRDefault="00F350C2" w:rsidP="008543AE">
      <w:pPr>
        <w:rPr>
          <w:rFonts w:asciiTheme="majorHAnsi" w:eastAsiaTheme="majorEastAsia" w:hAnsiTheme="majorHAnsi" w:cstheme="majorBidi"/>
          <w:color w:val="2E74B5" w:themeColor="accent1" w:themeShade="BF"/>
          <w:sz w:val="26"/>
          <w:szCs w:val="26"/>
        </w:rPr>
      </w:pPr>
    </w:p>
    <w:p w:rsidR="00F350C2" w:rsidRDefault="00F350C2" w:rsidP="008543AE">
      <w:pPr>
        <w:rPr>
          <w:rFonts w:asciiTheme="majorHAnsi" w:eastAsiaTheme="majorEastAsia" w:hAnsiTheme="majorHAnsi" w:cstheme="majorBidi"/>
          <w:color w:val="2E74B5" w:themeColor="accent1" w:themeShade="BF"/>
          <w:sz w:val="26"/>
          <w:szCs w:val="26"/>
        </w:rPr>
      </w:pPr>
    </w:p>
    <w:p w:rsidR="00F350C2" w:rsidRDefault="00F350C2" w:rsidP="008543AE">
      <w:pPr>
        <w:rPr>
          <w:rFonts w:asciiTheme="majorHAnsi" w:eastAsiaTheme="majorEastAsia" w:hAnsiTheme="majorHAnsi" w:cstheme="majorBidi"/>
          <w:color w:val="2E74B5" w:themeColor="accent1" w:themeShade="BF"/>
          <w:sz w:val="26"/>
          <w:szCs w:val="26"/>
        </w:rPr>
      </w:pPr>
    </w:p>
    <w:p w:rsidR="00F350C2" w:rsidRDefault="00F350C2" w:rsidP="008543AE">
      <w:pPr>
        <w:rPr>
          <w:rFonts w:asciiTheme="majorHAnsi" w:eastAsiaTheme="majorEastAsia" w:hAnsiTheme="majorHAnsi" w:cstheme="majorBidi"/>
          <w:color w:val="2E74B5" w:themeColor="accent1" w:themeShade="BF"/>
          <w:sz w:val="26"/>
          <w:szCs w:val="26"/>
        </w:rPr>
      </w:pPr>
    </w:p>
    <w:p w:rsidR="00F350C2" w:rsidRDefault="00F350C2" w:rsidP="008543AE">
      <w:pPr>
        <w:rPr>
          <w:rFonts w:asciiTheme="majorHAnsi" w:eastAsiaTheme="majorEastAsia" w:hAnsiTheme="majorHAnsi" w:cstheme="majorBidi"/>
          <w:color w:val="2E74B5" w:themeColor="accent1" w:themeShade="BF"/>
          <w:sz w:val="26"/>
          <w:szCs w:val="26"/>
        </w:rPr>
      </w:pPr>
    </w:p>
    <w:p w:rsidR="00F350C2" w:rsidRDefault="00F350C2" w:rsidP="008543AE">
      <w:pPr>
        <w:rPr>
          <w:rFonts w:asciiTheme="majorHAnsi" w:eastAsiaTheme="majorEastAsia" w:hAnsiTheme="majorHAnsi" w:cstheme="majorBidi"/>
          <w:color w:val="2E74B5" w:themeColor="accent1" w:themeShade="BF"/>
          <w:sz w:val="26"/>
          <w:szCs w:val="26"/>
        </w:rPr>
      </w:pPr>
    </w:p>
    <w:p w:rsidR="00F350C2" w:rsidRDefault="00F350C2" w:rsidP="008543AE">
      <w:pPr>
        <w:rPr>
          <w:rFonts w:asciiTheme="majorHAnsi" w:eastAsiaTheme="majorEastAsia" w:hAnsiTheme="majorHAnsi" w:cstheme="majorBidi"/>
          <w:color w:val="2E74B5" w:themeColor="accent1" w:themeShade="BF"/>
          <w:sz w:val="26"/>
          <w:szCs w:val="26"/>
        </w:rPr>
      </w:pPr>
    </w:p>
    <w:p w:rsidR="00F350C2" w:rsidRDefault="00F350C2" w:rsidP="008543AE">
      <w:pPr>
        <w:rPr>
          <w:rFonts w:asciiTheme="majorHAnsi" w:eastAsiaTheme="majorEastAsia" w:hAnsiTheme="majorHAnsi" w:cstheme="majorBidi"/>
          <w:color w:val="2E74B5" w:themeColor="accent1" w:themeShade="BF"/>
          <w:sz w:val="26"/>
          <w:szCs w:val="26"/>
        </w:rPr>
      </w:pPr>
    </w:p>
    <w:p w:rsidR="00F350C2" w:rsidRPr="00F350C2" w:rsidRDefault="00F350C2" w:rsidP="008543AE">
      <w:r w:rsidRPr="00F350C2">
        <w:t xml:space="preserve">1. </w:t>
      </w:r>
      <w:r>
        <w:t xml:space="preserve">seznam jednotlivých dimenzí </w:t>
      </w:r>
      <w:r w:rsidR="0010213F">
        <w:t xml:space="preserve">zvolené </w:t>
      </w:r>
      <w:r>
        <w:t>datové kostky, 2. přetažením dimenze/dimenzí definujte co bude v řádcích pohledu, 3. přetažením dimenze/dimenzí definujte co bude ve sloupcích pohledu, 4. při zaškrtnutí kompletně vyčistí list a vloží nový pohled, při odškrtnutí list nečistí a vloží pohled do aktuální podoby sešitu (lze využít více datových řezů v rámci jednoho sešitu),</w:t>
      </w:r>
      <w:r w:rsidR="00E05F0E">
        <w:t xml:space="preserve"> pohled je vkládán od buňky ve které „stojím“ směrem doprava a dolů,</w:t>
      </w:r>
      <w:r>
        <w:t xml:space="preserve"> 5. při zaškrtnutí bude dimenze v řádcích nebo sloupcích pohledu výběrová (na dvojklik </w:t>
      </w:r>
      <w:r w:rsidR="0082571C">
        <w:t xml:space="preserve">z ní lze vybírat), při odškrtnutí je dimenze na dvojklik rozbalována/zabalována = </w:t>
      </w:r>
      <w:r w:rsidR="00E05F0E">
        <w:t xml:space="preserve">funkce </w:t>
      </w:r>
      <w:proofErr w:type="spellStart"/>
      <w:r w:rsidR="0082571C">
        <w:t>drill-down</w:t>
      </w:r>
      <w:proofErr w:type="spellEnd"/>
      <w:r w:rsidR="0082571C">
        <w:t xml:space="preserve">, 6. při zaškrtnutí se </w:t>
      </w:r>
      <w:r w:rsidR="00E05F0E">
        <w:t xml:space="preserve">šířka sloupce zarovnává v závislosti na délce textu dimenze v řádcích, 7. vloží pohled, 8. zavře formulář bez vložení pohledu </w:t>
      </w:r>
    </w:p>
    <w:p w:rsidR="00F350C2" w:rsidRDefault="00F350C2" w:rsidP="008543AE">
      <w:pP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noProof/>
          <w:color w:val="2E74B5" w:themeColor="accent1" w:themeShade="BF"/>
          <w:sz w:val="26"/>
          <w:szCs w:val="26"/>
        </w:rPr>
        <w:drawing>
          <wp:inline distT="0" distB="0" distL="0" distR="0">
            <wp:extent cx="3036905" cy="337566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3130" cy="3393695"/>
                    </a:xfrm>
                    <a:prstGeom prst="rect">
                      <a:avLst/>
                    </a:prstGeom>
                    <a:noFill/>
                    <a:ln>
                      <a:noFill/>
                    </a:ln>
                  </pic:spPr>
                </pic:pic>
              </a:graphicData>
            </a:graphic>
          </wp:inline>
        </w:drawing>
      </w:r>
    </w:p>
    <w:p w:rsidR="00E05F0E" w:rsidRPr="00E05F0E" w:rsidRDefault="00E05F0E" w:rsidP="00E05F0E">
      <w:r w:rsidRPr="00E05F0E">
        <w:t xml:space="preserve">1. </w:t>
      </w:r>
      <w:r>
        <w:t xml:space="preserve">šipkou lze aktivovat </w:t>
      </w:r>
      <w:r w:rsidR="0010213F">
        <w:t xml:space="preserve">užší </w:t>
      </w:r>
      <w:r>
        <w:t xml:space="preserve">výběr prvků z dimenze v řádcích nebo sloupcích, 2. dvojklikem na „Výběr prvku“ je zobrazen formulář, z něhož lze pomocí zaškrtnutí (3.) vybírat položky, které budou </w:t>
      </w:r>
      <w:r w:rsidR="00FC2F67">
        <w:t xml:space="preserve">v rámci dimenze zobrazeny v pohledu, 4. </w:t>
      </w:r>
      <w:proofErr w:type="gramStart"/>
      <w:r w:rsidR="00FC2F67">
        <w:t>definuje</w:t>
      </w:r>
      <w:proofErr w:type="gramEnd"/>
      <w:r w:rsidR="00FC2F67">
        <w:t xml:space="preserve"> jak bude obsah dimenze v pohledu zobrazován (</w:t>
      </w:r>
      <w:proofErr w:type="spellStart"/>
      <w:r w:rsidR="00FC2F67">
        <w:t>atribuce</w:t>
      </w:r>
      <w:proofErr w:type="spellEnd"/>
      <w:r w:rsidR="00FC2F67">
        <w:t xml:space="preserve">, kód + </w:t>
      </w:r>
      <w:proofErr w:type="spellStart"/>
      <w:r w:rsidR="00FC2F67">
        <w:t>atribuce</w:t>
      </w:r>
      <w:proofErr w:type="spellEnd"/>
      <w:r w:rsidR="00FC2F67">
        <w:t>, …), 5. uloží konfiguraci dimenze pro vkládaný pohled, 6. zruší konfiguraci dimenze.</w:t>
      </w:r>
    </w:p>
    <w:p w:rsidR="00E05F0E" w:rsidRDefault="0010213F" w:rsidP="00E05F0E">
      <w:pPr>
        <w:autoSpaceDE w:val="0"/>
        <w:autoSpaceDN w:val="0"/>
        <w:adjustRightInd w:val="0"/>
        <w:spacing w:after="0" w:line="240" w:lineRule="auto"/>
        <w:rPr>
          <w:rFonts w:ascii="Calibri" w:hAnsi="Calibri" w:cs="Calibri"/>
          <w:b/>
          <w:bCs/>
          <w:color w:val="ED1C24"/>
          <w:sz w:val="36"/>
          <w:szCs w:val="36"/>
          <w:lang w:val="cs"/>
        </w:rPr>
      </w:pPr>
      <w:r>
        <w:rPr>
          <w:rFonts w:ascii="Calibri" w:hAnsi="Calibri" w:cs="Calibri"/>
          <w:b/>
          <w:bCs/>
          <w:noProof/>
          <w:color w:val="ED1C24"/>
          <w:sz w:val="36"/>
          <w:szCs w:val="36"/>
          <w:lang w:val="cs"/>
        </w:rPr>
        <w:drawing>
          <wp:inline distT="0" distB="0" distL="0" distR="0">
            <wp:extent cx="5753100" cy="227076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2270760"/>
                    </a:xfrm>
                    <a:prstGeom prst="rect">
                      <a:avLst/>
                    </a:prstGeom>
                    <a:noFill/>
                    <a:ln>
                      <a:noFill/>
                    </a:ln>
                  </pic:spPr>
                </pic:pic>
              </a:graphicData>
            </a:graphic>
          </wp:inline>
        </w:drawing>
      </w:r>
    </w:p>
    <w:p w:rsidR="00FC2F67" w:rsidRDefault="00FC2F67" w:rsidP="00E05F0E">
      <w:pPr>
        <w:autoSpaceDE w:val="0"/>
        <w:autoSpaceDN w:val="0"/>
        <w:adjustRightInd w:val="0"/>
        <w:spacing w:after="0" w:line="240" w:lineRule="auto"/>
        <w:rPr>
          <w:rFonts w:ascii="Calibri" w:hAnsi="Calibri" w:cs="Calibri"/>
          <w:b/>
          <w:bCs/>
          <w:color w:val="ED1C24"/>
          <w:sz w:val="36"/>
          <w:szCs w:val="36"/>
          <w:lang w:val="cs"/>
        </w:rPr>
      </w:pPr>
    </w:p>
    <w:p w:rsidR="00FC2F67" w:rsidRDefault="00FC2F67" w:rsidP="00E05F0E">
      <w:pPr>
        <w:autoSpaceDE w:val="0"/>
        <w:autoSpaceDN w:val="0"/>
        <w:adjustRightInd w:val="0"/>
        <w:spacing w:after="0" w:line="240" w:lineRule="auto"/>
        <w:rPr>
          <w:rFonts w:ascii="Calibri" w:hAnsi="Calibri" w:cs="Calibri"/>
          <w:b/>
          <w:bCs/>
          <w:color w:val="ED1C24"/>
          <w:sz w:val="36"/>
          <w:szCs w:val="36"/>
          <w:lang w:val="cs"/>
        </w:rPr>
      </w:pPr>
    </w:p>
    <w:p w:rsidR="00FC2F67" w:rsidRPr="00FC2F67" w:rsidRDefault="00FC2F67" w:rsidP="00E05F0E">
      <w:pPr>
        <w:autoSpaceDE w:val="0"/>
        <w:autoSpaceDN w:val="0"/>
        <w:adjustRightInd w:val="0"/>
        <w:spacing w:after="0" w:line="240" w:lineRule="auto"/>
      </w:pPr>
      <w:r w:rsidRPr="00FC2F67">
        <w:t>Po požadované</w:t>
      </w:r>
      <w:r>
        <w:t xml:space="preserve">m nastavení dimenzí v řádcích a sloupcích pohledu je přes tlačítko vložit (viz výše), vložen pohled (datový řez) do databáze systému. Níže v řádcích náklady a výnosy, ve sloupcích 3 vybrané roky, </w:t>
      </w:r>
      <w:r w:rsidR="0010213F">
        <w:t>z</w:t>
      </w:r>
      <w:r>
        <w:t xml:space="preserve"> ostatních dimenzích (buňky A1 – A7) lze standardně vybírat,</w:t>
      </w:r>
      <w:r w:rsidR="0010213F">
        <w:t xml:space="preserve"> </w:t>
      </w:r>
      <w:proofErr w:type="gramStart"/>
      <w:r w:rsidR="0010213F">
        <w:t>filtrovat,</w:t>
      </w:r>
      <w:proofErr w:type="gramEnd"/>
      <w:r>
        <w:t xml:space="preserve"> atd. Do řádků a sloupců lze vložit více dimenzí současně</w:t>
      </w:r>
      <w:r w:rsidR="0010213F">
        <w:t>, stejně tak lze na vloženém pohledu pracovat dále standardním způsobem (využít kartu CFM, dělat vlastní výpočty, vkládat grafy, atd).</w:t>
      </w:r>
      <w:r>
        <w:t xml:space="preserve"> Vytvořený pohled/panel </w:t>
      </w:r>
      <w:r w:rsidR="0010213F">
        <w:t xml:space="preserve">si </w:t>
      </w:r>
      <w:r>
        <w:t>lze uložit dle dalšího popisu</w:t>
      </w:r>
      <w:r w:rsidR="0010213F">
        <w:t xml:space="preserve"> níže v manuálu.</w:t>
      </w:r>
      <w:bookmarkStart w:id="1" w:name="_GoBack"/>
      <w:bookmarkEnd w:id="1"/>
    </w:p>
    <w:p w:rsidR="00FC2F67" w:rsidRDefault="00FC2F67" w:rsidP="00E05F0E">
      <w:pPr>
        <w:autoSpaceDE w:val="0"/>
        <w:autoSpaceDN w:val="0"/>
        <w:adjustRightInd w:val="0"/>
        <w:spacing w:after="0" w:line="240" w:lineRule="auto"/>
        <w:rPr>
          <w:rFonts w:ascii="Calibri" w:hAnsi="Calibri" w:cs="Calibri"/>
          <w:b/>
          <w:bCs/>
          <w:color w:val="ED1C24"/>
          <w:sz w:val="36"/>
          <w:szCs w:val="36"/>
          <w:lang w:val="cs"/>
        </w:rPr>
      </w:pPr>
      <w:r>
        <w:rPr>
          <w:rFonts w:ascii="Calibri" w:hAnsi="Calibri" w:cs="Calibri"/>
          <w:b/>
          <w:bCs/>
          <w:noProof/>
          <w:color w:val="ED1C24"/>
          <w:sz w:val="36"/>
          <w:szCs w:val="36"/>
          <w:lang w:val="cs"/>
        </w:rPr>
        <w:drawing>
          <wp:inline distT="0" distB="0" distL="0" distR="0">
            <wp:extent cx="4968240" cy="2369820"/>
            <wp:effectExtent l="0" t="0" r="381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8240" cy="2369820"/>
                    </a:xfrm>
                    <a:prstGeom prst="rect">
                      <a:avLst/>
                    </a:prstGeom>
                    <a:noFill/>
                    <a:ln>
                      <a:noFill/>
                    </a:ln>
                  </pic:spPr>
                </pic:pic>
              </a:graphicData>
            </a:graphic>
          </wp:inline>
        </w:drawing>
      </w:r>
    </w:p>
    <w:p w:rsidR="00E05F0E" w:rsidRPr="008543AE" w:rsidRDefault="00E05F0E" w:rsidP="008543AE">
      <w:pPr>
        <w:rPr>
          <w:rFonts w:asciiTheme="majorHAnsi" w:eastAsiaTheme="majorEastAsia" w:hAnsiTheme="majorHAnsi" w:cstheme="majorBidi"/>
          <w:color w:val="2E74B5" w:themeColor="accent1" w:themeShade="BF"/>
          <w:sz w:val="26"/>
          <w:szCs w:val="26"/>
        </w:rPr>
      </w:pPr>
    </w:p>
    <w:p w:rsidR="008543AE" w:rsidRPr="008543AE" w:rsidRDefault="008543AE" w:rsidP="008543AE"/>
    <w:p w:rsidR="008543AE" w:rsidRPr="008543AE" w:rsidRDefault="009930CC" w:rsidP="008543AE">
      <w:pPr>
        <w:pStyle w:val="Nadpis1"/>
      </w:pPr>
      <w:r>
        <w:t>Uživatelské reporty</w:t>
      </w:r>
    </w:p>
    <w:p w:rsidR="009930CC" w:rsidRDefault="009930CC" w:rsidP="009930CC">
      <w:r w:rsidRPr="009930CC">
        <w:t xml:space="preserve">Standardní </w:t>
      </w:r>
      <w:r>
        <w:t>reporty</w:t>
      </w:r>
      <w:r w:rsidRPr="009930CC">
        <w:t xml:space="preserve"> aplikace CFM se vždy otevírají ve výchozím zobrazení. Uživatel má však možnost na libovolném </w:t>
      </w:r>
      <w:r>
        <w:t>reportu</w:t>
      </w:r>
      <w:r w:rsidRPr="009930CC">
        <w:t xml:space="preserve"> provést určité změny zobrazení či formátování (přidat či odebrat datové řádky, změnit formát buněk apod.). Takto upravený </w:t>
      </w:r>
      <w:r>
        <w:t xml:space="preserve">report </w:t>
      </w:r>
      <w:r w:rsidRPr="009930CC">
        <w:t>je pak možné uložit jako uživatelský – ten pak může být přístupný všem uživatelům nebo pouze uživateli, který panel vytvořil.</w:t>
      </w:r>
    </w:p>
    <w:p w:rsidR="009930CC" w:rsidRDefault="009930CC" w:rsidP="009930CC">
      <w:pPr>
        <w:pStyle w:val="Nadpis2"/>
      </w:pPr>
      <w:r>
        <w:t>Ukládání</w:t>
      </w:r>
    </w:p>
    <w:p w:rsidR="009930CC" w:rsidRDefault="00B30CB6" w:rsidP="009930CC">
      <w:r>
        <w:t>Na kartě Soubor klepněte na tlačítko Uložit jako a zvolte možnost Uživatelské menu.</w:t>
      </w:r>
      <w:r>
        <w:br/>
      </w:r>
      <w:r w:rsidR="0091621D">
        <w:rPr>
          <w:noProof/>
        </w:rPr>
        <w:drawing>
          <wp:inline distT="0" distB="0" distL="0" distR="0">
            <wp:extent cx="3731388" cy="3093720"/>
            <wp:effectExtent l="0" t="0" r="254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976" cy="3111619"/>
                    </a:xfrm>
                    <a:prstGeom prst="rect">
                      <a:avLst/>
                    </a:prstGeom>
                    <a:noFill/>
                    <a:ln>
                      <a:noFill/>
                    </a:ln>
                  </pic:spPr>
                </pic:pic>
              </a:graphicData>
            </a:graphic>
          </wp:inline>
        </w:drawing>
      </w:r>
    </w:p>
    <w:p w:rsidR="00B30CB6" w:rsidRDefault="00B30CB6" w:rsidP="009930CC">
      <w:r>
        <w:t xml:space="preserve">V nově zobrazeném okně nejprve zvolte, zda chcete ukládat soukromý nebo veřejný report. </w:t>
      </w:r>
      <w:r w:rsidR="00274941">
        <w:t>J</w:t>
      </w:r>
      <w:r>
        <w:t>e možné vytvářet struktury adresářů. Zvolte (nebo vytvořte nový) adresář, d</w:t>
      </w:r>
      <w:r w:rsidR="00274941">
        <w:t>o kterého chcete soubor uložit a poté klepněte na tlačítko Vytvořit soubor.</w:t>
      </w:r>
      <w:r w:rsidR="00274941">
        <w:br/>
      </w:r>
      <w:r w:rsidR="00274941">
        <w:rPr>
          <w:noProof/>
          <w:lang w:eastAsia="cs-CZ"/>
        </w:rPr>
        <w:drawing>
          <wp:inline distT="0" distB="0" distL="0" distR="0" wp14:anchorId="69039078" wp14:editId="58381BCA">
            <wp:extent cx="2884394" cy="34671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95456" cy="3480397"/>
                    </a:xfrm>
                    <a:prstGeom prst="rect">
                      <a:avLst/>
                    </a:prstGeom>
                  </pic:spPr>
                </pic:pic>
              </a:graphicData>
            </a:graphic>
          </wp:inline>
        </w:drawing>
      </w:r>
    </w:p>
    <w:p w:rsidR="00274941" w:rsidRPr="009930CC" w:rsidRDefault="00274941" w:rsidP="009930CC">
      <w:r>
        <w:t xml:space="preserve">Nyní zadejte kód reportu (musí být jedinečný v rámci celé struktury) a název reportu (pomocí tlačítka </w:t>
      </w:r>
      <w:r>
        <w:rPr>
          <w:noProof/>
          <w:lang w:eastAsia="cs-CZ"/>
        </w:rPr>
        <w:drawing>
          <wp:inline distT="0" distB="0" distL="0" distR="0" wp14:anchorId="5A7CF8CC" wp14:editId="422F9D09">
            <wp:extent cx="171450" cy="17145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1450" cy="171450"/>
                    </a:xfrm>
                    <a:prstGeom prst="rect">
                      <a:avLst/>
                    </a:prstGeom>
                  </pic:spPr>
                </pic:pic>
              </a:graphicData>
            </a:graphic>
          </wp:inline>
        </w:drawing>
      </w:r>
      <w:r>
        <w:t xml:space="preserve">). Název reportu se pak bude zobrazovat v uživatelském menu. </w:t>
      </w:r>
      <w:r>
        <w:br/>
      </w:r>
      <w:r>
        <w:rPr>
          <w:noProof/>
          <w:lang w:eastAsia="cs-CZ"/>
        </w:rPr>
        <w:drawing>
          <wp:inline distT="0" distB="0" distL="0" distR="0" wp14:anchorId="228B2E45" wp14:editId="39E0C405">
            <wp:extent cx="3270190" cy="2133600"/>
            <wp:effectExtent l="0" t="0" r="698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80005" cy="2140004"/>
                    </a:xfrm>
                    <a:prstGeom prst="rect">
                      <a:avLst/>
                    </a:prstGeom>
                  </pic:spPr>
                </pic:pic>
              </a:graphicData>
            </a:graphic>
          </wp:inline>
        </w:drawing>
      </w:r>
    </w:p>
    <w:p w:rsidR="009930CC" w:rsidRDefault="009930CC" w:rsidP="009930CC">
      <w:pPr>
        <w:pStyle w:val="Nadpis2"/>
      </w:pPr>
      <w:r>
        <w:t>Otevírání</w:t>
      </w:r>
    </w:p>
    <w:p w:rsidR="00274941" w:rsidRDefault="00CB0F84" w:rsidP="00274941">
      <w:r>
        <w:t>Uložené panely naleznete v menu uživatelských reportů.</w:t>
      </w:r>
      <w:r>
        <w:br/>
      </w:r>
      <w:r w:rsidR="00523AA0">
        <w:rPr>
          <w:noProof/>
        </w:rPr>
        <w:drawing>
          <wp:inline distT="0" distB="0" distL="0" distR="0">
            <wp:extent cx="3886200" cy="2781300"/>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86200" cy="2781300"/>
                    </a:xfrm>
                    <a:prstGeom prst="rect">
                      <a:avLst/>
                    </a:prstGeom>
                    <a:noFill/>
                    <a:ln>
                      <a:noFill/>
                    </a:ln>
                  </pic:spPr>
                </pic:pic>
              </a:graphicData>
            </a:graphic>
          </wp:inline>
        </w:drawing>
      </w:r>
    </w:p>
    <w:p w:rsidR="00AF1F9A" w:rsidRDefault="00AF1F9A" w:rsidP="00702D5F">
      <w:pPr>
        <w:pStyle w:val="Nadpis1"/>
      </w:pPr>
    </w:p>
    <w:p w:rsidR="00AF1F9A" w:rsidRDefault="00AF1F9A" w:rsidP="00702D5F">
      <w:pPr>
        <w:pStyle w:val="Nadpis1"/>
      </w:pPr>
    </w:p>
    <w:p w:rsidR="00AF1F9A" w:rsidRDefault="00AF1F9A" w:rsidP="00702D5F">
      <w:pPr>
        <w:pStyle w:val="Nadpis1"/>
      </w:pPr>
    </w:p>
    <w:p w:rsidR="00AF1F9A" w:rsidRDefault="00AF1F9A" w:rsidP="00702D5F">
      <w:pPr>
        <w:pStyle w:val="Nadpis1"/>
      </w:pPr>
    </w:p>
    <w:p w:rsidR="00AF1F9A" w:rsidRDefault="00AF1F9A">
      <w:pPr>
        <w:rPr>
          <w:rFonts w:asciiTheme="majorHAnsi" w:eastAsiaTheme="majorEastAsia" w:hAnsiTheme="majorHAnsi" w:cstheme="majorBidi"/>
          <w:color w:val="2E74B5" w:themeColor="accent1" w:themeShade="BF"/>
          <w:sz w:val="32"/>
          <w:szCs w:val="32"/>
        </w:rPr>
      </w:pPr>
      <w:r>
        <w:br w:type="page"/>
      </w:r>
    </w:p>
    <w:p w:rsidR="00702D5F" w:rsidRDefault="00702D5F" w:rsidP="00702D5F">
      <w:pPr>
        <w:pStyle w:val="Nadpis1"/>
      </w:pPr>
      <w:r>
        <w:t>Typy panelů</w:t>
      </w:r>
    </w:p>
    <w:p w:rsidR="00702D5F" w:rsidRDefault="00702D5F" w:rsidP="00702D5F">
      <w:pPr>
        <w:pStyle w:val="Nadpis2"/>
      </w:pPr>
      <w:r>
        <w:t>Analytické</w:t>
      </w:r>
    </w:p>
    <w:p w:rsidR="00B36143" w:rsidRDefault="00B36143" w:rsidP="00B36143">
      <w:r w:rsidRPr="00B36143">
        <w:t>Panely zobrazují hodnoty konkrétních ukazatelů pro určitá období (měsíc, rok) a pro vybrané středisko (nebo skupinu středisek). Pomocí těchto panelů lze sledovat vývoj hodnot ve všech verzích plánu i skutečnosti.</w:t>
      </w:r>
    </w:p>
    <w:p w:rsidR="00B36143" w:rsidRDefault="00B36143" w:rsidP="00B36143">
      <w:r w:rsidRPr="00B36143">
        <w:t>Příklady: Výsledovka, Rozvaha, Finanční ukazatele.</w:t>
      </w:r>
    </w:p>
    <w:p w:rsidR="00AF1F9A" w:rsidRPr="00B36143" w:rsidRDefault="00AF1F9A" w:rsidP="00B36143">
      <w:r>
        <w:rPr>
          <w:noProof/>
        </w:rPr>
        <w:drawing>
          <wp:inline distT="0" distB="0" distL="0" distR="0">
            <wp:extent cx="5753100" cy="156210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100" cy="1562100"/>
                    </a:xfrm>
                    <a:prstGeom prst="rect">
                      <a:avLst/>
                    </a:prstGeom>
                    <a:noFill/>
                    <a:ln>
                      <a:noFill/>
                    </a:ln>
                  </pic:spPr>
                </pic:pic>
              </a:graphicData>
            </a:graphic>
          </wp:inline>
        </w:drawing>
      </w:r>
    </w:p>
    <w:p w:rsidR="00AF1F9A" w:rsidRDefault="00AF1F9A" w:rsidP="00702D5F">
      <w:pPr>
        <w:pStyle w:val="Nadpis2"/>
      </w:pPr>
    </w:p>
    <w:p w:rsidR="00702D5F" w:rsidRDefault="00702D5F" w:rsidP="00702D5F">
      <w:pPr>
        <w:pStyle w:val="Nadpis2"/>
      </w:pPr>
      <w:r>
        <w:t>Porovnávací</w:t>
      </w:r>
    </w:p>
    <w:p w:rsidR="00B36143" w:rsidRDefault="00B36143" w:rsidP="00B36143">
      <w:r>
        <w:t xml:space="preserve">Panely umožňují srovnávat údaje vybraného ukazatele (rozvaha, výsledovka apod.) mezi dvěma obdobími (Porovnávané vs. Referenční). Lze sledovat absolutní čísla v jednotlivých obdobích v levé straně panelu, v pravé straně panelu je znázorněn absolutní rozdíl (změna o hodnotu) a procentní rozdíl (v %). </w:t>
      </w:r>
    </w:p>
    <w:p w:rsidR="00AF1F9A" w:rsidRDefault="00AF1F9A" w:rsidP="00B36143">
      <w:r>
        <w:rPr>
          <w:noProof/>
        </w:rPr>
        <w:drawing>
          <wp:inline distT="0" distB="0" distL="0" distR="0">
            <wp:extent cx="5753100" cy="2298700"/>
            <wp:effectExtent l="0" t="0" r="0" b="635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2298700"/>
                    </a:xfrm>
                    <a:prstGeom prst="rect">
                      <a:avLst/>
                    </a:prstGeom>
                    <a:noFill/>
                    <a:ln>
                      <a:noFill/>
                    </a:ln>
                  </pic:spPr>
                </pic:pic>
              </a:graphicData>
            </a:graphic>
          </wp:inline>
        </w:drawing>
      </w:r>
    </w:p>
    <w:p w:rsidR="00AF1F9A" w:rsidRDefault="00AF1F9A" w:rsidP="00702D5F">
      <w:pPr>
        <w:pStyle w:val="Nadpis2"/>
      </w:pPr>
    </w:p>
    <w:p w:rsidR="00702D5F" w:rsidRDefault="00702D5F" w:rsidP="00702D5F">
      <w:pPr>
        <w:pStyle w:val="Nadpis2"/>
      </w:pPr>
      <w:r>
        <w:t>Převodové</w:t>
      </w:r>
    </w:p>
    <w:p w:rsidR="00B36143" w:rsidRDefault="00B36143" w:rsidP="00B36143">
      <w:r>
        <w:t xml:space="preserve">Panely převádí skutečné nebo plánované hodnoty. Hodnoty vybraných ukazatelů lze převést z/do libovolné verze (např. skutečnost do plánu), z/do libovolného roku. </w:t>
      </w:r>
    </w:p>
    <w:p w:rsidR="00B36143" w:rsidRDefault="00B36143" w:rsidP="00B36143">
      <w:r>
        <w:t xml:space="preserve">Princip převodu umožňuje použití jednoho vyhotoveného plánu jako výchozího bodu, jehož hodnoty lze převést do nového plánu, který je poté možno měnit či plánovat novou variantu. Stejně tak lze pro plán převést skutečná data a s nimi plánovat budoucí vývoj. Počáteční data mohou být převedena do jakéhokoliv období jako základ pro plánování. </w:t>
      </w:r>
    </w:p>
    <w:p w:rsidR="00123801" w:rsidRDefault="00523AA0" w:rsidP="00B36143">
      <w:r>
        <w:rPr>
          <w:noProof/>
        </w:rPr>
        <w:drawing>
          <wp:inline distT="0" distB="0" distL="0" distR="0">
            <wp:extent cx="5753100" cy="1593850"/>
            <wp:effectExtent l="0" t="0" r="0" b="635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3100" cy="1593850"/>
                    </a:xfrm>
                    <a:prstGeom prst="rect">
                      <a:avLst/>
                    </a:prstGeom>
                    <a:noFill/>
                    <a:ln>
                      <a:noFill/>
                    </a:ln>
                  </pic:spPr>
                </pic:pic>
              </a:graphicData>
            </a:graphic>
          </wp:inline>
        </w:drawing>
      </w:r>
    </w:p>
    <w:p w:rsidR="007104D4" w:rsidRDefault="007104D4" w:rsidP="00B36143">
      <w:r>
        <w:t>Postup:</w:t>
      </w:r>
    </w:p>
    <w:p w:rsidR="002C003E" w:rsidRDefault="002C003E" w:rsidP="002C003E">
      <w:pPr>
        <w:pStyle w:val="Odstavecseseznamem"/>
        <w:numPr>
          <w:ilvl w:val="0"/>
          <w:numId w:val="3"/>
        </w:numPr>
      </w:pPr>
      <w:r>
        <w:t>Výběr střediska</w:t>
      </w:r>
    </w:p>
    <w:p w:rsidR="007104D4" w:rsidRDefault="002C003E" w:rsidP="002C003E">
      <w:pPr>
        <w:pStyle w:val="Odstavecseseznamem"/>
        <w:numPr>
          <w:ilvl w:val="0"/>
          <w:numId w:val="3"/>
        </w:numPr>
      </w:pPr>
      <w:r>
        <w:t xml:space="preserve">Zdroj: výběr roku, verze, oblasti (na obrázku výše </w:t>
      </w:r>
      <w:r w:rsidRPr="002C003E">
        <w:rPr>
          <w:i/>
        </w:rPr>
        <w:t>[A5] Náklady</w:t>
      </w:r>
      <w:r>
        <w:t xml:space="preserve">). Pomocí tlačítka </w:t>
      </w:r>
      <w:r>
        <w:rPr>
          <w:i/>
        </w:rPr>
        <w:t>Jedno zdrojové období</w:t>
      </w:r>
      <w:r>
        <w:t xml:space="preserve"> je možné převádět do cílové oblasti (viz bod 2) pouze data vybraného měsíce.</w:t>
      </w:r>
    </w:p>
    <w:p w:rsidR="002C003E" w:rsidRDefault="002C003E" w:rsidP="002C003E">
      <w:pPr>
        <w:pStyle w:val="Odstavecseseznamem"/>
        <w:numPr>
          <w:ilvl w:val="0"/>
          <w:numId w:val="3"/>
        </w:numPr>
      </w:pPr>
      <w:r>
        <w:t>Cíl: výběr roku, verze a měsíců, do kterých budou hodnoty převedeny.</w:t>
      </w:r>
    </w:p>
    <w:p w:rsidR="002C003E" w:rsidRDefault="002C003E" w:rsidP="002C003E">
      <w:pPr>
        <w:pStyle w:val="Odstavecseseznamem"/>
        <w:numPr>
          <w:ilvl w:val="0"/>
          <w:numId w:val="3"/>
        </w:numPr>
      </w:pPr>
      <w:r>
        <w:t xml:space="preserve">Poklepáním na tlačítko </w:t>
      </w:r>
      <w:r w:rsidRPr="002C003E">
        <w:rPr>
          <w:i/>
        </w:rPr>
        <w:t>Převést data</w:t>
      </w:r>
      <w:r>
        <w:t xml:space="preserve"> budou hodnoty převedeny.</w:t>
      </w:r>
    </w:p>
    <w:p w:rsidR="00AF1F9A" w:rsidRDefault="00AF1F9A" w:rsidP="00702D5F">
      <w:pPr>
        <w:pStyle w:val="Nadpis2"/>
      </w:pPr>
    </w:p>
    <w:p w:rsidR="00702D5F" w:rsidRDefault="00702D5F" w:rsidP="00702D5F">
      <w:pPr>
        <w:pStyle w:val="Nadpis2"/>
      </w:pPr>
      <w:proofErr w:type="spellStart"/>
      <w:r>
        <w:t>Úpravové</w:t>
      </w:r>
      <w:proofErr w:type="spellEnd"/>
    </w:p>
    <w:p w:rsidR="00B36143" w:rsidRDefault="00B36143" w:rsidP="00B36143">
      <w:r>
        <w:t xml:space="preserve">Panely umožňují upravovat plánované hodnoty pro určitá období (měsíc, rok) a pro vybrané středisko (nebo skupinu středisek) a to třemi způsoby. </w:t>
      </w:r>
    </w:p>
    <w:p w:rsidR="00B36143" w:rsidRDefault="00B36143" w:rsidP="00B36143">
      <w:r>
        <w:t xml:space="preserve">Pomocí těchto panelů lze zadávat úplně nová data jako základ pro nový plán bez nutnosti importu počátečních dat. </w:t>
      </w:r>
    </w:p>
    <w:p w:rsidR="00123801" w:rsidRDefault="00523AA0" w:rsidP="00B36143">
      <w:r>
        <w:rPr>
          <w:noProof/>
        </w:rPr>
        <w:drawing>
          <wp:inline distT="0" distB="0" distL="0" distR="0">
            <wp:extent cx="5753100" cy="1746250"/>
            <wp:effectExtent l="0" t="0" r="0" b="635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3100" cy="1746250"/>
                    </a:xfrm>
                    <a:prstGeom prst="rect">
                      <a:avLst/>
                    </a:prstGeom>
                    <a:noFill/>
                    <a:ln>
                      <a:noFill/>
                    </a:ln>
                  </pic:spPr>
                </pic:pic>
              </a:graphicData>
            </a:graphic>
          </wp:inline>
        </w:drawing>
      </w:r>
    </w:p>
    <w:p w:rsidR="00B36143" w:rsidRDefault="00B36143" w:rsidP="00B36143">
      <w:pPr>
        <w:pStyle w:val="Nadpis3"/>
      </w:pPr>
      <w:r>
        <w:t xml:space="preserve">Hromadné úpravy pro jednotlivé hodnoty </w:t>
      </w:r>
    </w:p>
    <w:p w:rsidR="00044571" w:rsidRDefault="00842AF8" w:rsidP="00044571">
      <w:pPr>
        <w:rPr>
          <w:i/>
        </w:rPr>
      </w:pPr>
      <w:r>
        <w:t xml:space="preserve">Dialogové okno pro úpravu buňky vyvoláte poklepáním do konkrétní buňky nebo klepnutím pravým tlačítkem myši a z kontextového menu výběrem </w:t>
      </w:r>
      <w:r>
        <w:rPr>
          <w:i/>
        </w:rPr>
        <w:t>Úprava hodnoty.</w:t>
      </w:r>
      <w:r>
        <w:rPr>
          <w:i/>
        </w:rPr>
        <w:br/>
      </w:r>
      <w:r>
        <w:rPr>
          <w:noProof/>
          <w:lang w:eastAsia="cs-CZ"/>
        </w:rPr>
        <w:drawing>
          <wp:inline distT="0" distB="0" distL="0" distR="0" wp14:anchorId="591E2D4A" wp14:editId="45D0F656">
            <wp:extent cx="3419475" cy="2314575"/>
            <wp:effectExtent l="0" t="0" r="9525" b="9525"/>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19475" cy="2314575"/>
                    </a:xfrm>
                    <a:prstGeom prst="rect">
                      <a:avLst/>
                    </a:prstGeom>
                  </pic:spPr>
                </pic:pic>
              </a:graphicData>
            </a:graphic>
          </wp:inline>
        </w:drawing>
      </w:r>
    </w:p>
    <w:p w:rsidR="00842AF8" w:rsidRDefault="00842AF8" w:rsidP="00044571">
      <w:r>
        <w:t>V nově otevřeném dialogovém okně máte vícero možnosti.</w:t>
      </w:r>
    </w:p>
    <w:p w:rsidR="00842AF8" w:rsidRDefault="00842AF8" w:rsidP="00842AF8">
      <w:pPr>
        <w:pStyle w:val="Odstavecseseznamem"/>
        <w:numPr>
          <w:ilvl w:val="0"/>
          <w:numId w:val="4"/>
        </w:numPr>
      </w:pPr>
      <w:r>
        <w:t>Úpravu buňky zadáním hodnoty.</w:t>
      </w:r>
      <w:r w:rsidR="00756B02">
        <w:br/>
      </w:r>
      <w:r w:rsidR="00756B02">
        <w:rPr>
          <w:noProof/>
          <w:lang w:eastAsia="cs-CZ"/>
        </w:rPr>
        <w:drawing>
          <wp:inline distT="0" distB="0" distL="0" distR="0" wp14:anchorId="4EB432C3" wp14:editId="74A17C84">
            <wp:extent cx="3743325" cy="2847975"/>
            <wp:effectExtent l="0" t="0" r="9525" b="9525"/>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43325" cy="2847975"/>
                    </a:xfrm>
                    <a:prstGeom prst="rect">
                      <a:avLst/>
                    </a:prstGeom>
                  </pic:spPr>
                </pic:pic>
              </a:graphicData>
            </a:graphic>
          </wp:inline>
        </w:drawing>
      </w:r>
    </w:p>
    <w:p w:rsidR="00842AF8" w:rsidRDefault="00842AF8" w:rsidP="00842AF8">
      <w:pPr>
        <w:pStyle w:val="Odstavecseseznamem"/>
        <w:numPr>
          <w:ilvl w:val="1"/>
          <w:numId w:val="4"/>
        </w:numPr>
      </w:pPr>
      <w:r>
        <w:t>Na hodnotu</w:t>
      </w:r>
      <w:r>
        <w:br/>
        <w:t xml:space="preserve">Zadejte hodnotu, na kterou chcete buňku upravit. Zaškrtnutím </w:t>
      </w:r>
      <w:r>
        <w:rPr>
          <w:i/>
        </w:rPr>
        <w:t>Na základní úroveň</w:t>
      </w:r>
      <w:r>
        <w:t xml:space="preserve"> dojde k zápisu dané hodnoty na všechny nejnižší prvky v rámci všech dimenzí. Zaškrtnutím </w:t>
      </w:r>
      <w:r>
        <w:rPr>
          <w:i/>
        </w:rPr>
        <w:t>Přidat hodnotu</w:t>
      </w:r>
      <w:r>
        <w:t xml:space="preserve"> se hodnota přičte k původní</w:t>
      </w:r>
    </w:p>
    <w:p w:rsidR="00842AF8" w:rsidRDefault="00842AF8" w:rsidP="00842AF8">
      <w:pPr>
        <w:pStyle w:val="Odstavecseseznamem"/>
        <w:numPr>
          <w:ilvl w:val="1"/>
          <w:numId w:val="4"/>
        </w:numPr>
      </w:pPr>
      <w:r>
        <w:t>O procento</w:t>
      </w:r>
      <w:r>
        <w:br/>
        <w:t xml:space="preserve">Zadejte procento, o kolik chcete buňku snížit nebo zvýšit (pokud chcete například ponížit hodnotu buňky o 4 procenta, zadejte </w:t>
      </w:r>
      <w:r w:rsidRPr="00842AF8">
        <w:rPr>
          <w:i/>
        </w:rPr>
        <w:t>-4</w:t>
      </w:r>
      <w:r>
        <w:t>).</w:t>
      </w:r>
    </w:p>
    <w:p w:rsidR="00842AF8" w:rsidRDefault="00842AF8" w:rsidP="00842AF8">
      <w:pPr>
        <w:pStyle w:val="Odstavecseseznamem"/>
        <w:numPr>
          <w:ilvl w:val="1"/>
          <w:numId w:val="4"/>
        </w:numPr>
      </w:pPr>
      <w:r>
        <w:t>Smazat hodnotu</w:t>
      </w:r>
      <w:r>
        <w:br/>
        <w:t xml:space="preserve">Dojde k vymazání hodnoty (zapíše se </w:t>
      </w:r>
      <w:r w:rsidRPr="00842AF8">
        <w:rPr>
          <w:i/>
        </w:rPr>
        <w:t>0</w:t>
      </w:r>
      <w:r>
        <w:t>).</w:t>
      </w:r>
    </w:p>
    <w:p w:rsidR="00842AF8" w:rsidRDefault="00842AF8" w:rsidP="00842AF8">
      <w:pPr>
        <w:pStyle w:val="Odstavecseseznamem"/>
        <w:numPr>
          <w:ilvl w:val="0"/>
          <w:numId w:val="4"/>
        </w:numPr>
      </w:pPr>
      <w:r>
        <w:t>Funkcí.</w:t>
      </w:r>
      <w:r w:rsidR="00756B02">
        <w:br/>
      </w:r>
      <w:r w:rsidR="00756B02">
        <w:rPr>
          <w:noProof/>
          <w:lang w:eastAsia="cs-CZ"/>
        </w:rPr>
        <w:drawing>
          <wp:inline distT="0" distB="0" distL="0" distR="0" wp14:anchorId="56B89C16" wp14:editId="1867BEE9">
            <wp:extent cx="2814379" cy="2141220"/>
            <wp:effectExtent l="0" t="0" r="508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30581" cy="2153547"/>
                    </a:xfrm>
                    <a:prstGeom prst="rect">
                      <a:avLst/>
                    </a:prstGeom>
                  </pic:spPr>
                </pic:pic>
              </a:graphicData>
            </a:graphic>
          </wp:inline>
        </w:drawing>
      </w:r>
    </w:p>
    <w:p w:rsidR="00842AF8" w:rsidRDefault="00842AF8" w:rsidP="00842AF8">
      <w:pPr>
        <w:pStyle w:val="Odstavecseseznamem"/>
        <w:numPr>
          <w:ilvl w:val="1"/>
          <w:numId w:val="4"/>
        </w:numPr>
      </w:pPr>
      <w:r>
        <w:t>Kopie</w:t>
      </w:r>
      <w:r>
        <w:br/>
        <w:t xml:space="preserve">V rozbalovacím okně </w:t>
      </w:r>
      <w:r>
        <w:rPr>
          <w:i/>
        </w:rPr>
        <w:t>Zdroj</w:t>
      </w:r>
      <w:r>
        <w:t xml:space="preserve"> můžete vybrat koordináty hodnoty (prvky dimenzí), ze kterých chcete hodnotu zkopírovat.</w:t>
      </w:r>
    </w:p>
    <w:p w:rsidR="00B36143" w:rsidRDefault="00B36143" w:rsidP="00B36143">
      <w:pPr>
        <w:pStyle w:val="Nadpis3"/>
      </w:pPr>
      <w:r>
        <w:t xml:space="preserve">Hromadné úpravy pro více hodnot současně </w:t>
      </w:r>
    </w:p>
    <w:p w:rsidR="00044571" w:rsidRPr="00AE3B3F" w:rsidRDefault="00842AF8" w:rsidP="00044571">
      <w:r>
        <w:t xml:space="preserve">Probíhá obdobně jako úprava pro jednotlivé buňky, jen s tím rozdílem, že je nutné vybrat buňky, které chcete upravovat a poté přes pravé tlačítko myši vyvolat funkci </w:t>
      </w:r>
      <w:r>
        <w:rPr>
          <w:i/>
        </w:rPr>
        <w:t>Úprava hodnoty.</w:t>
      </w:r>
      <w:r w:rsidR="00AE3B3F">
        <w:rPr>
          <w:i/>
        </w:rPr>
        <w:t xml:space="preserve"> </w:t>
      </w:r>
      <w:r w:rsidR="00AE3B3F">
        <w:t>Další postup je již identický.</w:t>
      </w:r>
    </w:p>
    <w:p w:rsidR="004D667F" w:rsidRPr="004D667F" w:rsidRDefault="004D667F" w:rsidP="004D667F">
      <w:pPr>
        <w:pStyle w:val="Nadpis3"/>
        <w:rPr>
          <w:color w:val="2E74B5" w:themeColor="accent1" w:themeShade="BF"/>
          <w:sz w:val="32"/>
          <w:szCs w:val="32"/>
        </w:rPr>
      </w:pPr>
      <w:r w:rsidRPr="004D667F">
        <w:rPr>
          <w:color w:val="2E74B5" w:themeColor="accent1" w:themeShade="BF"/>
          <w:sz w:val="32"/>
          <w:szCs w:val="32"/>
        </w:rPr>
        <w:t>Komentáře k hodnotě</w:t>
      </w:r>
    </w:p>
    <w:p w:rsidR="004D667F" w:rsidRDefault="004D667F" w:rsidP="004D667F">
      <w:r>
        <w:t>K vybrané hodnotě/hodnotám v databázi lze přidávat komentáře (obdobně jako jsou komentáře k buňce)</w:t>
      </w:r>
      <w:r w:rsidR="00AE3B3F">
        <w:t>, komentář se vloží pomocí kliknutí pravým tlačítkem myši na buňku a volbou „Vložit komentář k hodnotě“.</w:t>
      </w:r>
    </w:p>
    <w:p w:rsidR="00AE3B3F" w:rsidRDefault="00AE3B3F" w:rsidP="004D667F">
      <w:r>
        <w:rPr>
          <w:noProof/>
        </w:rPr>
        <w:drawing>
          <wp:inline distT="0" distB="0" distL="0" distR="0">
            <wp:extent cx="3328970" cy="1529526"/>
            <wp:effectExtent l="0" t="0" r="508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31760" cy="1576754"/>
                    </a:xfrm>
                    <a:prstGeom prst="rect">
                      <a:avLst/>
                    </a:prstGeom>
                    <a:noFill/>
                    <a:ln>
                      <a:noFill/>
                    </a:ln>
                  </pic:spPr>
                </pic:pic>
              </a:graphicData>
            </a:graphic>
          </wp:inline>
        </w:drawing>
      </w:r>
    </w:p>
    <w:p w:rsidR="004D667F" w:rsidRDefault="00AE3B3F" w:rsidP="004D667F">
      <w:r>
        <w:t>Zápis se provede do zobrazeného zadávacího okna a potvrzením přes tlačítko Uložit:</w:t>
      </w:r>
    </w:p>
    <w:p w:rsidR="00AE3B3F" w:rsidRDefault="00AE3B3F" w:rsidP="004D667F">
      <w:r>
        <w:rPr>
          <w:noProof/>
        </w:rPr>
        <w:drawing>
          <wp:inline distT="0" distB="0" distL="0" distR="0">
            <wp:extent cx="3253740" cy="1635728"/>
            <wp:effectExtent l="0" t="0" r="3810" b="3175"/>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75597" cy="1646716"/>
                    </a:xfrm>
                    <a:prstGeom prst="rect">
                      <a:avLst/>
                    </a:prstGeom>
                    <a:noFill/>
                    <a:ln>
                      <a:noFill/>
                    </a:ln>
                  </pic:spPr>
                </pic:pic>
              </a:graphicData>
            </a:graphic>
          </wp:inline>
        </w:drawing>
      </w:r>
    </w:p>
    <w:p w:rsidR="00AE3B3F" w:rsidRDefault="00AE3B3F" w:rsidP="004D667F"/>
    <w:p w:rsidR="00AE3B3F" w:rsidRDefault="00AE3B3F" w:rsidP="004D667F">
      <w:r>
        <w:t xml:space="preserve">Komentář k hodnotě je označen pomocí červeného levého horního rohu buňky, text se </w:t>
      </w:r>
      <w:proofErr w:type="gramStart"/>
      <w:r>
        <w:t>zobrazí</w:t>
      </w:r>
      <w:proofErr w:type="gramEnd"/>
      <w:r>
        <w:t xml:space="preserve"> pokud uživatel „najede“ kurzorem myši nad takto označenou buňku:</w:t>
      </w:r>
      <w:r>
        <w:rPr>
          <w:noProof/>
        </w:rPr>
        <w:drawing>
          <wp:inline distT="0" distB="0" distL="0" distR="0">
            <wp:extent cx="4648200" cy="1981200"/>
            <wp:effectExtent l="0" t="0" r="0" b="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48200" cy="1981200"/>
                    </a:xfrm>
                    <a:prstGeom prst="rect">
                      <a:avLst/>
                    </a:prstGeom>
                    <a:noFill/>
                    <a:ln>
                      <a:noFill/>
                    </a:ln>
                  </pic:spPr>
                </pic:pic>
              </a:graphicData>
            </a:graphic>
          </wp:inline>
        </w:drawing>
      </w:r>
    </w:p>
    <w:p w:rsidR="00AE3B3F" w:rsidRPr="00842AF8" w:rsidRDefault="00AE3B3F" w:rsidP="004D667F">
      <w:r>
        <w:t>Pokud uživatel narazí kdekoliv v rámci systému na komentované hodnoty, tyto jsou označeny výše uvedeným způsobem a leze si přečíst obsah vloženého komen</w:t>
      </w:r>
      <w:r w:rsidR="002E5CF9">
        <w:t>t</w:t>
      </w:r>
      <w:r>
        <w:t xml:space="preserve">áře/komentářů. </w:t>
      </w:r>
    </w:p>
    <w:sectPr w:rsidR="00AE3B3F" w:rsidRPr="00842AF8">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7A88" w:rsidRDefault="00997A88" w:rsidP="00FC2F67">
      <w:pPr>
        <w:spacing w:after="0" w:line="240" w:lineRule="auto"/>
      </w:pPr>
      <w:r>
        <w:separator/>
      </w:r>
    </w:p>
  </w:endnote>
  <w:endnote w:type="continuationSeparator" w:id="0">
    <w:p w:rsidR="00997A88" w:rsidRDefault="00997A88" w:rsidP="00FC2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113146"/>
      <w:docPartObj>
        <w:docPartGallery w:val="Page Numbers (Bottom of Page)"/>
        <w:docPartUnique/>
      </w:docPartObj>
    </w:sdtPr>
    <w:sdtContent>
      <w:p w:rsidR="00FC2F67" w:rsidRDefault="00FC2F67">
        <w:pPr>
          <w:pStyle w:val="Zpat"/>
          <w:jc w:val="center"/>
        </w:pPr>
        <w:r>
          <w:fldChar w:fldCharType="begin"/>
        </w:r>
        <w:r>
          <w:instrText>PAGE   \* MERGEFORMAT</w:instrText>
        </w:r>
        <w:r>
          <w:fldChar w:fldCharType="separate"/>
        </w:r>
        <w:r>
          <w:t>2</w:t>
        </w:r>
        <w:r>
          <w:fldChar w:fldCharType="end"/>
        </w:r>
      </w:p>
    </w:sdtContent>
  </w:sdt>
  <w:p w:rsidR="00FC2F67" w:rsidRDefault="00FC2F6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7A88" w:rsidRDefault="00997A88" w:rsidP="00FC2F67">
      <w:pPr>
        <w:spacing w:after="0" w:line="240" w:lineRule="auto"/>
      </w:pPr>
      <w:r>
        <w:separator/>
      </w:r>
    </w:p>
  </w:footnote>
  <w:footnote w:type="continuationSeparator" w:id="0">
    <w:p w:rsidR="00997A88" w:rsidRDefault="00997A88" w:rsidP="00FC2F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932241"/>
    <w:multiLevelType w:val="hybridMultilevel"/>
    <w:tmpl w:val="16A4F2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513061AF"/>
    <w:multiLevelType w:val="hybridMultilevel"/>
    <w:tmpl w:val="7586FA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5CA14C07"/>
    <w:multiLevelType w:val="hybridMultilevel"/>
    <w:tmpl w:val="263888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68277055"/>
    <w:multiLevelType w:val="hybridMultilevel"/>
    <w:tmpl w:val="EC54D6E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6AB455CB"/>
    <w:multiLevelType w:val="hybridMultilevel"/>
    <w:tmpl w:val="61ECF1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7C866714"/>
    <w:multiLevelType w:val="hybridMultilevel"/>
    <w:tmpl w:val="4024301A"/>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BB5"/>
    <w:rsid w:val="00044571"/>
    <w:rsid w:val="000A7F13"/>
    <w:rsid w:val="0010213F"/>
    <w:rsid w:val="001026F5"/>
    <w:rsid w:val="00102DDE"/>
    <w:rsid w:val="001054BE"/>
    <w:rsid w:val="001117BE"/>
    <w:rsid w:val="00121215"/>
    <w:rsid w:val="00123801"/>
    <w:rsid w:val="001335C5"/>
    <w:rsid w:val="0015237D"/>
    <w:rsid w:val="00155D83"/>
    <w:rsid w:val="0019482C"/>
    <w:rsid w:val="002208B7"/>
    <w:rsid w:val="00241978"/>
    <w:rsid w:val="00274941"/>
    <w:rsid w:val="002B5767"/>
    <w:rsid w:val="002C003E"/>
    <w:rsid w:val="002E5CF9"/>
    <w:rsid w:val="00412B0D"/>
    <w:rsid w:val="00415018"/>
    <w:rsid w:val="00430757"/>
    <w:rsid w:val="0046514A"/>
    <w:rsid w:val="00467F32"/>
    <w:rsid w:val="0047545B"/>
    <w:rsid w:val="004D24B6"/>
    <w:rsid w:val="004D667F"/>
    <w:rsid w:val="004F2608"/>
    <w:rsid w:val="00512010"/>
    <w:rsid w:val="00521DB0"/>
    <w:rsid w:val="00523AA0"/>
    <w:rsid w:val="00583542"/>
    <w:rsid w:val="005C663F"/>
    <w:rsid w:val="00607E5C"/>
    <w:rsid w:val="00655974"/>
    <w:rsid w:val="006A7FA1"/>
    <w:rsid w:val="006C4200"/>
    <w:rsid w:val="00702D5F"/>
    <w:rsid w:val="007104D4"/>
    <w:rsid w:val="00716B55"/>
    <w:rsid w:val="00756B02"/>
    <w:rsid w:val="007832D4"/>
    <w:rsid w:val="007B33B9"/>
    <w:rsid w:val="0082571C"/>
    <w:rsid w:val="00842AF8"/>
    <w:rsid w:val="008543AE"/>
    <w:rsid w:val="008A075D"/>
    <w:rsid w:val="008B18B8"/>
    <w:rsid w:val="008B2D2A"/>
    <w:rsid w:val="008B6A90"/>
    <w:rsid w:val="008C0B74"/>
    <w:rsid w:val="008E07DD"/>
    <w:rsid w:val="0091621D"/>
    <w:rsid w:val="0092248C"/>
    <w:rsid w:val="00925417"/>
    <w:rsid w:val="00927AFA"/>
    <w:rsid w:val="0098743E"/>
    <w:rsid w:val="009930CC"/>
    <w:rsid w:val="00997A88"/>
    <w:rsid w:val="009F241E"/>
    <w:rsid w:val="00A21BAE"/>
    <w:rsid w:val="00A51031"/>
    <w:rsid w:val="00AE3B3F"/>
    <w:rsid w:val="00AF1F9A"/>
    <w:rsid w:val="00B01EF7"/>
    <w:rsid w:val="00B04075"/>
    <w:rsid w:val="00B30CB6"/>
    <w:rsid w:val="00B32101"/>
    <w:rsid w:val="00B36143"/>
    <w:rsid w:val="00B42CB3"/>
    <w:rsid w:val="00B673EF"/>
    <w:rsid w:val="00BC2EB6"/>
    <w:rsid w:val="00BF2CA0"/>
    <w:rsid w:val="00BF78EF"/>
    <w:rsid w:val="00C00945"/>
    <w:rsid w:val="00C445BD"/>
    <w:rsid w:val="00CB0F84"/>
    <w:rsid w:val="00CD0616"/>
    <w:rsid w:val="00D05E64"/>
    <w:rsid w:val="00D10213"/>
    <w:rsid w:val="00D40F76"/>
    <w:rsid w:val="00D45005"/>
    <w:rsid w:val="00D54BB5"/>
    <w:rsid w:val="00DF1FF9"/>
    <w:rsid w:val="00E03BF1"/>
    <w:rsid w:val="00E05F0E"/>
    <w:rsid w:val="00E1121B"/>
    <w:rsid w:val="00E30A21"/>
    <w:rsid w:val="00E335F4"/>
    <w:rsid w:val="00EE25AC"/>
    <w:rsid w:val="00EF2E3C"/>
    <w:rsid w:val="00F056D1"/>
    <w:rsid w:val="00F33383"/>
    <w:rsid w:val="00F350C2"/>
    <w:rsid w:val="00FC2F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9705C"/>
  <w15:chartTrackingRefBased/>
  <w15:docId w15:val="{11CBAC80-AE90-4499-97A5-8107DBA32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9F24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E30A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B3614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unhideWhenUsed/>
    <w:qFormat/>
    <w:rsid w:val="00D4500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B5767"/>
    <w:pPr>
      <w:ind w:left="720"/>
      <w:contextualSpacing/>
    </w:pPr>
  </w:style>
  <w:style w:type="character" w:customStyle="1" w:styleId="Nadpis1Char">
    <w:name w:val="Nadpis 1 Char"/>
    <w:basedOn w:val="Standardnpsmoodstavce"/>
    <w:link w:val="Nadpis1"/>
    <w:uiPriority w:val="9"/>
    <w:rsid w:val="009F241E"/>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E30A21"/>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rsid w:val="00B36143"/>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Standardnpsmoodstavce"/>
    <w:link w:val="Nadpis4"/>
    <w:uiPriority w:val="9"/>
    <w:rsid w:val="00D45005"/>
    <w:rPr>
      <w:rFonts w:asciiTheme="majorHAnsi" w:eastAsiaTheme="majorEastAsia" w:hAnsiTheme="majorHAnsi" w:cstheme="majorBidi"/>
      <w:i/>
      <w:iCs/>
      <w:color w:val="2E74B5" w:themeColor="accent1" w:themeShade="BF"/>
    </w:rPr>
  </w:style>
  <w:style w:type="paragraph" w:styleId="Zhlav">
    <w:name w:val="header"/>
    <w:basedOn w:val="Normln"/>
    <w:link w:val="ZhlavChar"/>
    <w:uiPriority w:val="99"/>
    <w:unhideWhenUsed/>
    <w:rsid w:val="00FC2F6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C2F67"/>
  </w:style>
  <w:style w:type="paragraph" w:styleId="Zpat">
    <w:name w:val="footer"/>
    <w:basedOn w:val="Normln"/>
    <w:link w:val="ZpatChar"/>
    <w:uiPriority w:val="99"/>
    <w:unhideWhenUsed/>
    <w:rsid w:val="00FC2F67"/>
    <w:pPr>
      <w:tabs>
        <w:tab w:val="center" w:pos="4536"/>
        <w:tab w:val="right" w:pos="9072"/>
      </w:tabs>
      <w:spacing w:after="0" w:line="240" w:lineRule="auto"/>
    </w:pPr>
  </w:style>
  <w:style w:type="character" w:customStyle="1" w:styleId="ZpatChar">
    <w:name w:val="Zápatí Char"/>
    <w:basedOn w:val="Standardnpsmoodstavce"/>
    <w:link w:val="Zpat"/>
    <w:uiPriority w:val="99"/>
    <w:rsid w:val="00FC2F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690425">
      <w:bodyDiv w:val="1"/>
      <w:marLeft w:val="0"/>
      <w:marRight w:val="0"/>
      <w:marTop w:val="0"/>
      <w:marBottom w:val="0"/>
      <w:divBdr>
        <w:top w:val="none" w:sz="0" w:space="0" w:color="auto"/>
        <w:left w:val="none" w:sz="0" w:space="0" w:color="auto"/>
        <w:bottom w:val="none" w:sz="0" w:space="0" w:color="auto"/>
        <w:right w:val="none" w:sz="0" w:space="0" w:color="auto"/>
      </w:divBdr>
    </w:div>
    <w:div w:id="2099592075">
      <w:bodyDiv w:val="1"/>
      <w:marLeft w:val="0"/>
      <w:marRight w:val="0"/>
      <w:marTop w:val="0"/>
      <w:marBottom w:val="0"/>
      <w:divBdr>
        <w:top w:val="none" w:sz="0" w:space="0" w:color="auto"/>
        <w:left w:val="none" w:sz="0" w:space="0" w:color="auto"/>
        <w:bottom w:val="none" w:sz="0" w:space="0" w:color="auto"/>
        <w:right w:val="none" w:sz="0" w:space="0" w:color="auto"/>
      </w:divBdr>
      <w:divsChild>
        <w:div w:id="18535665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18</Pages>
  <Words>1687</Words>
  <Characters>9958</Characters>
  <Application>Microsoft Office Word</Application>
  <DocSecurity>0</DocSecurity>
  <Lines>82</Lines>
  <Paragraphs>23</Paragraphs>
  <ScaleCrop>false</ScaleCrop>
  <HeadingPairs>
    <vt:vector size="4" baseType="variant">
      <vt:variant>
        <vt:lpstr>Název</vt:lpstr>
      </vt:variant>
      <vt:variant>
        <vt:i4>1</vt:i4>
      </vt:variant>
      <vt:variant>
        <vt:lpstr>Nadpisy</vt:lpstr>
      </vt:variant>
      <vt:variant>
        <vt:i4>36</vt:i4>
      </vt:variant>
    </vt:vector>
  </HeadingPairs>
  <TitlesOfParts>
    <vt:vector size="37" baseType="lpstr">
      <vt:lpstr/>
      <vt:lpstr/>
      <vt:lpstr>Corporate Financial Management (CFM) </vt:lpstr>
      <vt:lpstr>gen. 2</vt:lpstr>
      <vt:lpstr/>
      <vt:lpstr/>
      <vt:lpstr/>
      <vt:lpstr/>
      <vt:lpstr>Aplikace CFM</vt:lpstr>
      <vt:lpstr>Hlavní menu a otevírání reportů</vt:lpstr>
      <vt:lpstr>Karta Nastavení</vt:lpstr>
      <vt:lpstr>Tlačítková lišta karty CFM</vt:lpstr>
      <vt:lpstr>Výběr z dimenze</vt:lpstr>
      <vt:lpstr>    Změna velikosti okna</vt:lpstr>
      <vt:lpstr>    Řazení a filtrování v rámci výběrového okna</vt:lpstr>
      <vt:lpstr>Rotace dimenzí</vt:lpstr>
      <vt:lpstr/>
      <vt:lpstr>Detail hodnoty</vt:lpstr>
      <vt:lpstr>Funkce vložit pohled</vt:lpstr>
      <vt:lpstr>Uživatelské reporty</vt:lpstr>
      <vt:lpstr>    Ukládání</vt:lpstr>
      <vt:lpstr>    Otevírání</vt:lpstr>
      <vt:lpstr/>
      <vt:lpstr/>
      <vt:lpstr/>
      <vt:lpstr/>
      <vt:lpstr>Typy panelů</vt:lpstr>
      <vt:lpstr>    Analytické</vt:lpstr>
      <vt:lpstr>    </vt:lpstr>
      <vt:lpstr>    Porovnávací</vt:lpstr>
      <vt:lpstr>    </vt:lpstr>
      <vt:lpstr>    Převodové</vt:lpstr>
      <vt:lpstr>    </vt:lpstr>
      <vt:lpstr>    Úpravové</vt:lpstr>
      <vt:lpstr>        Hromadné úpravy pro jednotlivé hodnoty </vt:lpstr>
      <vt:lpstr>        Hromadné úpravy pro více hodnot současně </vt:lpstr>
      <vt:lpstr>        Komentáře k hodnotě</vt:lpstr>
    </vt:vector>
  </TitlesOfParts>
  <Company/>
  <LinksUpToDate>false</LinksUpToDate>
  <CharactersWithSpaces>11622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 Stružský</dc:creator>
  <cp:keywords/>
  <dc:description/>
  <cp:lastModifiedBy>Tomáš Chlebna</cp:lastModifiedBy>
  <cp:revision>5</cp:revision>
  <dcterms:created xsi:type="dcterms:W3CDTF">2019-01-18T12:04:00Z</dcterms:created>
  <dcterms:modified xsi:type="dcterms:W3CDTF">2019-02-18T15:31:00Z</dcterms:modified>
</cp:coreProperties>
</file>