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BFF" w:rsidRDefault="00B81BFF">
      <w:r>
        <w:t xml:space="preserve">Veškeré modelace provádím nad </w:t>
      </w:r>
      <w:proofErr w:type="spellStart"/>
      <w:r>
        <w:t>Apotheke</w:t>
      </w:r>
      <w:proofErr w:type="spellEnd"/>
      <w:r>
        <w:t xml:space="preserve">, ne nad výkaznictvím. Všechny potřebné pohledy, pro které </w:t>
      </w:r>
      <w:proofErr w:type="spellStart"/>
      <w:r>
        <w:t>Apotheke</w:t>
      </w:r>
      <w:proofErr w:type="spellEnd"/>
      <w:r>
        <w:t xml:space="preserve"> neobsahuje parametry – např. ZP, </w:t>
      </w:r>
      <w:proofErr w:type="spellStart"/>
      <w:r>
        <w:t>diag.skupiny</w:t>
      </w:r>
      <w:proofErr w:type="spellEnd"/>
      <w:r>
        <w:t xml:space="preserve"> – modeluji ze struktury výkaznictví.</w:t>
      </w:r>
    </w:p>
    <w:p w:rsidR="00B81BFF" w:rsidRDefault="00B81BFF"/>
    <w:p w:rsidR="00D76637" w:rsidRDefault="00B81BFF">
      <w:r>
        <w:t>Vybral jsem si analýzu na kombinaci HERCEPTIN a OGIVRI</w:t>
      </w:r>
    </w:p>
    <w:p w:rsidR="00B81BFF" w:rsidRDefault="00B81BFF">
      <w:r>
        <w:t xml:space="preserve">Důvod: </w:t>
      </w:r>
      <w:r w:rsidR="006726FA">
        <w:t xml:space="preserve">V případě </w:t>
      </w:r>
      <w:proofErr w:type="spellStart"/>
      <w:r w:rsidR="006726FA">
        <w:t>Herceptinu</w:t>
      </w:r>
      <w:proofErr w:type="spellEnd"/>
      <w:r w:rsidR="006726FA">
        <w:t xml:space="preserve"> se výrazně lišíme a zároveň je kombinatoricky zajímavý. </w:t>
      </w:r>
      <w:r>
        <w:t xml:space="preserve">U </w:t>
      </w:r>
      <w:proofErr w:type="spellStart"/>
      <w:r>
        <w:t>Herceptinu</w:t>
      </w:r>
      <w:proofErr w:type="spellEnd"/>
      <w:r>
        <w:t xml:space="preserve"> se </w:t>
      </w:r>
      <w:r w:rsidR="006726FA">
        <w:t xml:space="preserve">totiž </w:t>
      </w:r>
      <w:r>
        <w:t xml:space="preserve">snižovala cena obou SUKL kódů a zároveň u 150mg balení byla pro 2020 počítáno se </w:t>
      </w:r>
      <w:proofErr w:type="spellStart"/>
      <w:r>
        <w:t>switchem</w:t>
      </w:r>
      <w:proofErr w:type="spellEnd"/>
      <w:r>
        <w:t xml:space="preserve"> za </w:t>
      </w:r>
      <w:proofErr w:type="spellStart"/>
      <w:r>
        <w:t>Ogivri</w:t>
      </w:r>
      <w:proofErr w:type="spellEnd"/>
      <w:r>
        <w:t xml:space="preserve"> (25% plánovaného objemu </w:t>
      </w:r>
      <w:proofErr w:type="spellStart"/>
      <w:r>
        <w:t>Herceptinu</w:t>
      </w:r>
      <w:proofErr w:type="spellEnd"/>
      <w:r>
        <w:t>).</w:t>
      </w:r>
    </w:p>
    <w:p w:rsidR="00B81BFF" w:rsidRDefault="00B81BFF">
      <w:r>
        <w:t>Vstupní tabulka (přebírám z exc</w:t>
      </w:r>
      <w:r w:rsidR="00170E19">
        <w:t>el</w:t>
      </w:r>
      <w:r>
        <w:t>u MAK, který obsahoval veškerá východiska – já jsem tomu dal jen štábní kulturu níže, aby věty mohl načíst modelační program).</w:t>
      </w:r>
    </w:p>
    <w:p w:rsidR="00B81BFF" w:rsidRDefault="00B81BFF">
      <w:r>
        <w:rPr>
          <w:noProof/>
        </w:rPr>
        <w:drawing>
          <wp:inline distT="0" distB="0" distL="0" distR="0" wp14:anchorId="2F50D441" wp14:editId="30F76196">
            <wp:extent cx="8892540" cy="5867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5289" b="62981"/>
                    <a:stretch/>
                  </pic:blipFill>
                  <pic:spPr bwMode="auto">
                    <a:xfrm>
                      <a:off x="0" y="0"/>
                      <a:ext cx="8892540" cy="58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1BFF" w:rsidRDefault="00B81BFF">
      <w:r>
        <w:t xml:space="preserve">Žádné další vstupy u </w:t>
      </w:r>
      <w:proofErr w:type="spellStart"/>
      <w:r>
        <w:t>Herceptinu</w:t>
      </w:r>
      <w:proofErr w:type="spellEnd"/>
      <w:r>
        <w:t xml:space="preserve"> a </w:t>
      </w:r>
      <w:proofErr w:type="spellStart"/>
      <w:r>
        <w:t>Ogivri</w:t>
      </w:r>
      <w:proofErr w:type="spellEnd"/>
      <w:r>
        <w:t xml:space="preserve"> nebyly zamýšleny.</w:t>
      </w:r>
    </w:p>
    <w:p w:rsidR="00B81BFF" w:rsidRDefault="00B81BFF">
      <w:r>
        <w:t>Modelace 2020 byla zpracována tak, že se data 2019 překlopila do 2020. Dále byl rok 2020 naceněn posledními známými cenami. Nakonec byly zpracovány individuální změny viz tabulka výše.</w:t>
      </w:r>
    </w:p>
    <w:p w:rsidR="00B81BFF" w:rsidRDefault="00B81BFF">
      <w:r>
        <w:t xml:space="preserve">Tabulka výše byla zpracována v listopadu 2019. Finální modelace o dva měsíce později. Z tabulky je patrné, že systém již o snížení cen </w:t>
      </w:r>
      <w:proofErr w:type="spellStart"/>
      <w:r>
        <w:t>Herceptinu</w:t>
      </w:r>
      <w:proofErr w:type="spellEnd"/>
      <w:r>
        <w:t xml:space="preserve"> věděl, z posledních známých nákupní cen (</w:t>
      </w:r>
      <w:proofErr w:type="spellStart"/>
      <w:r>
        <w:t>aut</w:t>
      </w:r>
      <w:r w:rsidR="006726FA">
        <w:t>o</w:t>
      </w:r>
      <w:r>
        <w:t>matismum</w:t>
      </w:r>
      <w:proofErr w:type="spellEnd"/>
      <w:r>
        <w:t>, n</w:t>
      </w:r>
      <w:r w:rsidR="006726FA">
        <w:t>ení zapotřebí individuálních vstupů). Nicméně i tak informuje, že daný řádek (první dva řádky výše) neznamenají žádnou úsporu (rozdíl způsoben jen trošku nepřesným odhadem).</w:t>
      </w:r>
    </w:p>
    <w:p w:rsidR="006726FA" w:rsidRDefault="006726FA">
      <w:r>
        <w:t>Třetí vstup je switch 25% plánovaného obj</w:t>
      </w:r>
      <w:r w:rsidR="00170E19">
        <w:t>e</w:t>
      </w:r>
      <w:r>
        <w:t xml:space="preserve">mu </w:t>
      </w:r>
      <w:proofErr w:type="spellStart"/>
      <w:r>
        <w:t>Herceptinu</w:t>
      </w:r>
      <w:proofErr w:type="spellEnd"/>
      <w:r>
        <w:t xml:space="preserve"> za </w:t>
      </w:r>
      <w:proofErr w:type="spellStart"/>
      <w:r>
        <w:t>Ogivri</w:t>
      </w:r>
      <w:proofErr w:type="spellEnd"/>
      <w:r>
        <w:t>.</w:t>
      </w:r>
    </w:p>
    <w:p w:rsidR="006726FA" w:rsidRDefault="006726FA"/>
    <w:p w:rsidR="006726FA" w:rsidRDefault="006726FA">
      <w:r>
        <w:t>Konkrétně v číslech:</w:t>
      </w:r>
    </w:p>
    <w:p w:rsidR="006726FA" w:rsidRDefault="006726FA">
      <w:proofErr w:type="spellStart"/>
      <w:r>
        <w:t>Sesumarizoval</w:t>
      </w:r>
      <w:proofErr w:type="spellEnd"/>
      <w:r>
        <w:t xml:space="preserve"> jsem si </w:t>
      </w:r>
      <w:proofErr w:type="gramStart"/>
      <w:r>
        <w:t>Tvojí</w:t>
      </w:r>
      <w:proofErr w:type="gramEnd"/>
      <w:r>
        <w:t xml:space="preserve"> tabulku z disku T, Martine, kde máš obrat 2019 v původních cenách 1.226 mil. a v nových cenách 1.116 mil. Z toho vycházím, identifikuješ úsporu v centrech 110M, já vidím na úsporu o 26 mil. vyšší.</w:t>
      </w:r>
    </w:p>
    <w:p w:rsidR="006726FA" w:rsidRDefault="006726FA">
      <w:r>
        <w:lastRenderedPageBreak/>
        <w:t>Že máme rozdíly i ve 2019 je zřejmě dáno tím, že Ty vycházíš z výkaznictví, kdežto já ze skladové evidence. Tu se asi zase budeme vadit, ale pro mě je důležitější skutečná spotřeba, navíc neobsahuje průměrné ceny a fiktivní kódy, které se ve výkaznictví občas vyskytují. Ale pro analýzu nejsou rozdíly zásadní.</w:t>
      </w:r>
    </w:p>
    <w:p w:rsidR="006726FA" w:rsidRDefault="006726FA">
      <w:r>
        <w:rPr>
          <w:noProof/>
        </w:rPr>
        <w:drawing>
          <wp:inline distT="0" distB="0" distL="0" distR="0" wp14:anchorId="6112E169" wp14:editId="7F5FC853">
            <wp:extent cx="4160520" cy="7315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2554" t="24984" r="6255" b="65266"/>
                    <a:stretch/>
                  </pic:blipFill>
                  <pic:spPr bwMode="auto">
                    <a:xfrm>
                      <a:off x="0" y="0"/>
                      <a:ext cx="4167442" cy="732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26FA" w:rsidRDefault="006726FA">
      <w:r>
        <w:t>Zásadní je, že zatímco já modeluji ve 2020 spotře</w:t>
      </w:r>
      <w:r w:rsidR="00170E19">
        <w:t>b</w:t>
      </w:r>
      <w:r>
        <w:t xml:space="preserve">u </w:t>
      </w:r>
      <w:proofErr w:type="spellStart"/>
      <w:r>
        <w:t>Herceptinu</w:t>
      </w:r>
      <w:proofErr w:type="spellEnd"/>
      <w:r>
        <w:t xml:space="preserve"> a </w:t>
      </w:r>
      <w:proofErr w:type="spellStart"/>
      <w:r>
        <w:t>Ogivri</w:t>
      </w:r>
      <w:proofErr w:type="spellEnd"/>
      <w:r>
        <w:t xml:space="preserve"> ve výši 28.2 mil. Ty očekáváš 37.5 mil. </w:t>
      </w:r>
      <w:r w:rsidR="00170E19">
        <w:t xml:space="preserve">To je cca třetina </w:t>
      </w:r>
      <w:r>
        <w:t>našeho celkového rozdílu.</w:t>
      </w:r>
    </w:p>
    <w:p w:rsidR="006726FA" w:rsidRDefault="006726FA"/>
    <w:p w:rsidR="006726FA" w:rsidRDefault="006726FA">
      <w:r>
        <w:t>Ve 2019 vypadala situace takto:</w:t>
      </w:r>
    </w:p>
    <w:p w:rsidR="006726FA" w:rsidRDefault="006726FA">
      <w:r>
        <w:rPr>
          <w:noProof/>
        </w:rPr>
        <w:drawing>
          <wp:inline distT="0" distB="0" distL="0" distR="0" wp14:anchorId="7EDBC5DD" wp14:editId="38ACA47D">
            <wp:extent cx="6188874" cy="1005840"/>
            <wp:effectExtent l="0" t="0" r="254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4984" r="55184" b="62067"/>
                    <a:stretch/>
                  </pic:blipFill>
                  <pic:spPr bwMode="auto">
                    <a:xfrm>
                      <a:off x="0" y="0"/>
                      <a:ext cx="6192650" cy="1006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26FA" w:rsidRDefault="006726FA">
      <w:r>
        <w:t>Spotřeba 48.340K CZK, množství 2.432. Průměrné ceny odpovídají tomu, že v průběhu roku docházelo k úsporám.</w:t>
      </w:r>
    </w:p>
    <w:p w:rsidR="006726FA" w:rsidRDefault="006726FA"/>
    <w:p w:rsidR="006726FA" w:rsidRDefault="006726FA">
      <w:r>
        <w:t>Ve 2020 modeluji:</w:t>
      </w:r>
    </w:p>
    <w:p w:rsidR="006726FA" w:rsidRDefault="006726FA">
      <w:r>
        <w:rPr>
          <w:noProof/>
        </w:rPr>
        <w:drawing>
          <wp:inline distT="0" distB="0" distL="0" distR="0" wp14:anchorId="431AA181" wp14:editId="6C11DC6B">
            <wp:extent cx="6199797" cy="8077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6203" r="51328" b="62524"/>
                    <a:stretch/>
                  </pic:blipFill>
                  <pic:spPr bwMode="auto">
                    <a:xfrm>
                      <a:off x="0" y="0"/>
                      <a:ext cx="6224442" cy="810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26FA" w:rsidRDefault="00416D9C">
      <w:r>
        <w:t>Celkové m</w:t>
      </w:r>
      <w:r w:rsidR="006726FA">
        <w:t>nožství musí být logicky stejné.</w:t>
      </w:r>
    </w:p>
    <w:p w:rsidR="006726FA" w:rsidRDefault="00416D9C">
      <w:r>
        <w:t xml:space="preserve">Je patrné, že ceny </w:t>
      </w:r>
      <w:proofErr w:type="spellStart"/>
      <w:r>
        <w:t>Herceptinu</w:t>
      </w:r>
      <w:proofErr w:type="spellEnd"/>
      <w:r>
        <w:t xml:space="preserve"> již jsou na nové úrovni (v listopadu šlo o ruční vstup, teď v lednu to již systém vidí sám z posledních nákupních cen).</w:t>
      </w:r>
    </w:p>
    <w:p w:rsidR="00416D9C" w:rsidRDefault="00416D9C">
      <w:r>
        <w:lastRenderedPageBreak/>
        <w:t xml:space="preserve">Zároveň je zřejmé, že zatímco kód 185368 prošel jen cenovou změnu, 25% kódu 25555 bylo </w:t>
      </w:r>
      <w:proofErr w:type="spellStart"/>
      <w:r>
        <w:t>switchnuto</w:t>
      </w:r>
      <w:proofErr w:type="spellEnd"/>
      <w:r>
        <w:t xml:space="preserve"> za </w:t>
      </w:r>
      <w:proofErr w:type="spellStart"/>
      <w:r>
        <w:t>Ogivri</w:t>
      </w:r>
      <w:proofErr w:type="spellEnd"/>
      <w:r>
        <w:t xml:space="preserve"> (</w:t>
      </w:r>
      <w:proofErr w:type="spellStart"/>
      <w:r>
        <w:t>Ogivri</w:t>
      </w:r>
      <w:proofErr w:type="spellEnd"/>
      <w:r>
        <w:t xml:space="preserve"> tedy narostlo na 489 ks, </w:t>
      </w:r>
      <w:proofErr w:type="spellStart"/>
      <w:r>
        <w:t>Herceptin</w:t>
      </w:r>
      <w:proofErr w:type="spellEnd"/>
      <w:r>
        <w:t xml:space="preserve"> klesl na 1.262 ks). Zároveň </w:t>
      </w:r>
      <w:proofErr w:type="spellStart"/>
      <w:r>
        <w:t>Ogivri</w:t>
      </w:r>
      <w:proofErr w:type="spellEnd"/>
      <w:r>
        <w:t xml:space="preserve"> je v poslední známé ceně, která je zároveň i naším modelovaným vstupem.</w:t>
      </w:r>
    </w:p>
    <w:p w:rsidR="00416D9C" w:rsidRDefault="004E2504">
      <w:r>
        <w:t xml:space="preserve">Kód </w:t>
      </w:r>
      <w:proofErr w:type="spellStart"/>
      <w:r>
        <w:t>Herceptinu</w:t>
      </w:r>
      <w:proofErr w:type="spellEnd"/>
      <w:r>
        <w:t xml:space="preserve"> 183368 zůstal beze změny objemu, promítl se jen cenový vliv.</w:t>
      </w:r>
      <w:bookmarkStart w:id="0" w:name="_GoBack"/>
      <w:bookmarkEnd w:id="0"/>
    </w:p>
    <w:sectPr w:rsidR="00416D9C" w:rsidSect="00B81B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FF"/>
    <w:rsid w:val="00010FA1"/>
    <w:rsid w:val="00170E19"/>
    <w:rsid w:val="00416D9C"/>
    <w:rsid w:val="004E2504"/>
    <w:rsid w:val="006726FA"/>
    <w:rsid w:val="006F58FA"/>
    <w:rsid w:val="00B81BFF"/>
    <w:rsid w:val="00D7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B2C1"/>
  <w15:chartTrackingRefBased/>
  <w15:docId w15:val="{592612C7-4629-4D3A-8A0C-B694B77D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Foks</dc:creator>
  <cp:keywords/>
  <dc:description/>
  <cp:lastModifiedBy>Foks Roman, Ing.</cp:lastModifiedBy>
  <cp:revision>3</cp:revision>
  <dcterms:created xsi:type="dcterms:W3CDTF">2020-03-13T07:46:00Z</dcterms:created>
  <dcterms:modified xsi:type="dcterms:W3CDTF">2020-03-13T07:47:00Z</dcterms:modified>
</cp:coreProperties>
</file>