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C3" w:rsidRDefault="00D7593F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VALIDACE NAD PŘEDANÝMI DATY</w:t>
      </w:r>
    </w:p>
    <w:p w:rsidR="006226C3" w:rsidRDefault="006226C3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</w:p>
    <w:p w:rsidR="006226C3" w:rsidRDefault="00D7593F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4"/>
          <w:szCs w:val="24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1) Primární kontrola předaných dat   - OK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1a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Vstupní kontroly s využitím validační aplikace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Specifikace předávaných dat a jejich řádné rozdělení do příslušných položek. Formální kontroly.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1b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Kontrola databázové konzistence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 xml:space="preserve">Základní validace ve </w:t>
      </w:r>
      <w:proofErr w:type="spellStart"/>
      <w:r>
        <w:rPr>
          <w:rFonts w:eastAsia="Times New Roman" w:cs="Calibri"/>
          <w:color w:val="000000"/>
          <w:lang w:eastAsia="cs-CZ"/>
        </w:rPr>
        <w:t>Stage</w:t>
      </w:r>
      <w:proofErr w:type="spellEnd"/>
      <w:r>
        <w:rPr>
          <w:rFonts w:eastAsia="Times New Roman" w:cs="Calibri"/>
          <w:color w:val="000000"/>
          <w:lang w:eastAsia="cs-CZ"/>
        </w:rPr>
        <w:t>, která slouží k iniciálnímu načtení a základní validaci dat RN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1c) Validace zpracovaných dat proti průvodce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Kontrola zpracovaných dat proti údajům na průvodce dané RN</w:t>
      </w:r>
    </w:p>
    <w:p w:rsidR="006226C3" w:rsidRDefault="006226C3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4"/>
          <w:szCs w:val="24"/>
          <w:lang w:eastAsia="cs-CZ"/>
        </w:rPr>
      </w:pPr>
    </w:p>
    <w:p w:rsidR="006226C3" w:rsidRDefault="00D7593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2) Obsahové validace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2a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 xml:space="preserve">) Validace klinických pravidel pro 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kódování zdravotních služeb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Kontrola správnosti vykazování diagnóz, výkonů a zvlášť účtovaných položek v datech.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  <w:t>2b) Kontroly vztažené k hospitalizačním případům pro DRG klasifikaci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Validace ověřující správnost sestavení hospitalizačních případů (HP).</w:t>
      </w:r>
    </w:p>
    <w:p w:rsidR="006226C3" w:rsidRDefault="00D7593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  <w:t>2c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Validace produkčních, ekonomických a personálních dat v časových trendech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Kontrola měsíčních produkčních, ekonomických a personálních hodnot na bázi trendových modelů.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  <w:t xml:space="preserve">2d) Validace ekonomických a </w:t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personálních  dat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Kontrola konzistence obsahové náplně s</w:t>
      </w:r>
      <w:r>
        <w:rPr>
          <w:rFonts w:eastAsia="Times New Roman" w:cs="Calibri"/>
          <w:color w:val="000000"/>
          <w:lang w:eastAsia="cs-CZ"/>
        </w:rPr>
        <w:t xml:space="preserve">ouborů a dodržení vybraných metodických postupů pro účely oceňování zdravotních služeb. </w:t>
      </w:r>
    </w:p>
    <w:p w:rsidR="006226C3" w:rsidRDefault="00D7593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Cílem těchto validací je dojít k souboru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>hospitalizačních případů, který bude možno relevantně klasifikovat v rámci CZ-DRG a nákladově jej ocenit na základě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>ekonomický</w:t>
      </w:r>
      <w:r>
        <w:rPr>
          <w:rFonts w:eastAsia="Times New Roman" w:cs="Calibri"/>
          <w:color w:val="000000"/>
          <w:lang w:eastAsia="cs-CZ"/>
        </w:rPr>
        <w:t xml:space="preserve">ch dat RN. </w:t>
      </w:r>
    </w:p>
    <w:p w:rsidR="006226C3" w:rsidRDefault="006226C3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4"/>
          <w:szCs w:val="24"/>
          <w:lang w:eastAsia="cs-CZ"/>
        </w:rPr>
      </w:pPr>
    </w:p>
    <w:p w:rsidR="006226C3" w:rsidRDefault="00D7593F">
      <w:pPr>
        <w:spacing w:after="240" w:line="240" w:lineRule="auto"/>
        <w:rPr>
          <w:rFonts w:ascii="Calibri" w:eastAsia="Times New Roman" w:hAnsi="Calibri" w:cs="Calibri"/>
          <w:b/>
          <w:bCs/>
          <w:color w:val="335D9D"/>
          <w:sz w:val="24"/>
          <w:szCs w:val="24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3) Validace předaných dat proti referenčním datovým zdrojům</w:t>
      </w: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3a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Validace hospitalizačních případů proti datům Národního registru hospitalizovaných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Validace objemu a struktury předaných klinických referenčních dat pomocí externího datového zdr</w:t>
      </w:r>
      <w:r>
        <w:rPr>
          <w:rFonts w:eastAsia="Times New Roman" w:cs="Calibri"/>
          <w:color w:val="000000"/>
          <w:lang w:eastAsia="cs-CZ"/>
        </w:rPr>
        <w:t>oje. Záznamy NR-HOSP jsou generovány přímo z nemocnic a pokrývají základní klinické charakteristiky všech hospitalizačních případů a hospitalizovaných pacientů.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3b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Validace proti účetním výkazům referenčních nemocnic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Souhrn zůstatků nákladových a výnosov</w:t>
      </w:r>
      <w:r>
        <w:rPr>
          <w:rFonts w:eastAsia="Times New Roman" w:cs="Calibri"/>
          <w:color w:val="000000"/>
          <w:lang w:eastAsia="cs-CZ"/>
        </w:rPr>
        <w:t>ých účtů v souboru BA se rovná celkovým a vybraným nákladům a výnosům z účetních výkazů. Souhrn pořizovacích cen dlouhodobého majetku v souboru BE se rovná netto hodnotám dlouhodobého majetku v účetních výkazech, dle příslušných syntetických účtů.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3c) Val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 xml:space="preserve">idace proti datům resortního statistického šetření státní statistické služby 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Verifikace vybraných dat z předané v rámci ocenění zdravotních služeb je provedena komparací s  výkazy státní statistické služby spravované ÚZIS ČR (z. č. 89/1995 Sb., o státní s</w:t>
      </w:r>
      <w:r>
        <w:rPr>
          <w:rFonts w:eastAsia="Times New Roman" w:cs="Calibri"/>
          <w:color w:val="000000"/>
          <w:lang w:eastAsia="cs-CZ"/>
        </w:rPr>
        <w:t>tatistické službě, ve znění pozdějších předpisů).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lastRenderedPageBreak/>
        <w:t>3d) Validace proti datům Národního registru hrazených zdravotních služeb</w:t>
      </w:r>
      <w:r>
        <w:rPr>
          <w:rFonts w:eastAsia="Times New Roman" w:cs="Calibri"/>
          <w:color w:val="000000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>Validace předaných dat z RN o celkové produkci pracovišť a produkci hospitalizačních případů proti datům Národního registru hrazenýc</w:t>
      </w:r>
      <w:r>
        <w:rPr>
          <w:rFonts w:eastAsia="Times New Roman" w:cs="Calibri"/>
          <w:color w:val="000000"/>
          <w:lang w:eastAsia="cs-CZ"/>
        </w:rPr>
        <w:t>h zdravotních služeb. Je srovnávána pouze péče hrazená z veřejného zdravotního pojištění pojištěnců ČR (druh pojištění 1).</w:t>
      </w:r>
    </w:p>
    <w:p w:rsidR="006226C3" w:rsidRDefault="00D7593F">
      <w:pPr>
        <w:spacing w:after="0" w:line="240" w:lineRule="auto"/>
        <w:rPr>
          <w:rFonts w:ascii="Calibri" w:eastAsia="Times New Roman" w:hAnsi="Calibri" w:cs="Calibri"/>
          <w:b/>
          <w:bCs/>
          <w:color w:val="335D9D"/>
          <w:sz w:val="24"/>
          <w:szCs w:val="24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4) Validace výsledného ocenění poskytovaných zdravotních služeb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proofErr w:type="gramStart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4a</w:t>
      </w:r>
      <w:proofErr w:type="gramEnd"/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) Validace vypočtených nákladových hodnot kalkulačních jednic jedn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t>otlivých přímých (zdravotnických) pracovišť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 xml:space="preserve">Validace identifikuje hospitalizační případy, jejichž nákladová hodnota je počítána z kalkulačních jednic pracovišť, kde výsledná nákladová hodnota byla mimo definované nákladové hranice. </w:t>
      </w:r>
      <w:r>
        <w:rPr>
          <w:rFonts w:eastAsia="Times New Roman" w:cs="Calibri"/>
          <w:color w:val="000000"/>
          <w:u w:val="single"/>
          <w:lang w:eastAsia="cs-CZ"/>
        </w:rPr>
        <w:t>Hospitalizační případy o</w:t>
      </w:r>
      <w:r>
        <w:rPr>
          <w:rFonts w:eastAsia="Times New Roman" w:cs="Calibri"/>
          <w:color w:val="000000"/>
          <w:u w:val="single"/>
          <w:lang w:eastAsia="cs-CZ"/>
        </w:rPr>
        <w:t>ceněné kalkulační jednicí mimo stanovenou mez jsou vyřazeny z oceňování zdravotních služeb.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br/>
        <w:t>Nákladové hranice byly definovány pro jednotlivé kalkulační jednice (OD, VOD, BOD, MIN) z mediánu nákladových hodnot, a to dle:</w:t>
      </w:r>
      <w:r>
        <w:rPr>
          <w:rFonts w:eastAsia="Times New Roman" w:cs="Calibri"/>
          <w:color w:val="000000"/>
          <w:lang w:eastAsia="cs-CZ"/>
        </w:rPr>
        <w:br/>
        <w:t xml:space="preserve">- typu atr1_org </w:t>
      </w:r>
      <w:r>
        <w:rPr>
          <w:rFonts w:eastAsia="Times New Roman" w:cs="Calibri"/>
          <w:color w:val="000000"/>
          <w:lang w:eastAsia="cs-CZ"/>
        </w:rPr>
        <w:br/>
      </w:r>
      <w:r>
        <w:rPr>
          <w:rFonts w:eastAsia="Times New Roman" w:cs="Calibri"/>
          <w:color w:val="000000"/>
          <w:lang w:eastAsia="cs-CZ"/>
        </w:rPr>
        <w:t xml:space="preserve">- u lůžkových jednic (OD, VOD) na lůžkových pracovištích (APST, APIN, NPST, NPIN) a bodů vybraných odborností (001, </w:t>
      </w:r>
      <w:r>
        <w:rPr>
          <w:rFonts w:eastAsia="Times New Roman" w:cs="Calibri"/>
          <w:color w:val="000000"/>
          <w:lang w:eastAsia="cs-CZ"/>
        </w:rPr>
        <w:br/>
        <w:t xml:space="preserve">  002, 003, 004, 014, 019) na pracovišti APAM jsou jednice členěny i dle agregované odbornosti - oborů, dle číselníku </w:t>
      </w:r>
      <w:r>
        <w:rPr>
          <w:rFonts w:eastAsia="Times New Roman" w:cs="Calibri"/>
          <w:color w:val="000000"/>
          <w:lang w:eastAsia="cs-CZ"/>
        </w:rPr>
        <w:br/>
        <w:t xml:space="preserve">  MOST_ODBORNOST_OBO</w:t>
      </w:r>
      <w:r>
        <w:rPr>
          <w:rFonts w:eastAsia="Times New Roman" w:cs="Calibri"/>
          <w:color w:val="000000"/>
          <w:lang w:eastAsia="cs-CZ"/>
        </w:rPr>
        <w:t>R)</w:t>
      </w:r>
      <w:r>
        <w:rPr>
          <w:rFonts w:eastAsia="Times New Roman" w:cs="Calibri"/>
          <w:color w:val="000000"/>
          <w:lang w:eastAsia="cs-CZ"/>
        </w:rPr>
        <w:br/>
        <w:t xml:space="preserve">- meze kalkulačních jednic pro sledované období byly definovány jako 0,3- až 3-násobek výsledného nákladového mediánu dané jednice pro kalkulační jednice BOD, OD a VOD. U kalkulačních jednic MINUTA je rozmezí definováno jako 0,2- až </w:t>
      </w:r>
      <w:proofErr w:type="gramStart"/>
      <w:r>
        <w:rPr>
          <w:rFonts w:eastAsia="Times New Roman" w:cs="Calibri"/>
          <w:color w:val="000000"/>
          <w:lang w:eastAsia="cs-CZ"/>
        </w:rPr>
        <w:t>5-násobek</w:t>
      </w:r>
      <w:proofErr w:type="gramEnd"/>
      <w:r>
        <w:rPr>
          <w:rFonts w:eastAsia="Times New Roman" w:cs="Calibri"/>
          <w:color w:val="000000"/>
          <w:lang w:eastAsia="cs-CZ"/>
        </w:rPr>
        <w:t xml:space="preserve"> výsledného</w:t>
      </w:r>
      <w:r>
        <w:rPr>
          <w:rFonts w:eastAsia="Times New Roman" w:cs="Calibri"/>
          <w:color w:val="000000"/>
          <w:lang w:eastAsia="cs-CZ"/>
        </w:rPr>
        <w:t xml:space="preserve"> nákladového mediánu dané kalkulační jednice</w:t>
      </w:r>
    </w:p>
    <w:p w:rsidR="006226C3" w:rsidRDefault="006226C3"/>
    <w:p w:rsidR="006226C3" w:rsidRDefault="006226C3"/>
    <w:p w:rsidR="006226C3" w:rsidRDefault="00D75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VÝSLEDEK KONTROL</w:t>
      </w:r>
    </w:p>
    <w:p w:rsidR="006226C3" w:rsidRDefault="00D7593F">
      <w:pPr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1) Primární kontrola předaných dat   - OK</w:t>
      </w:r>
      <w:r>
        <w:rPr>
          <w:rFonts w:eastAsia="Times New Roman" w:cs="Calibri"/>
          <w:b/>
          <w:bCs/>
          <w:color w:val="335D9D"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2) Obsahové validace</w:t>
      </w:r>
    </w:p>
    <w:p w:rsidR="006226C3" w:rsidRDefault="00D7593F">
      <w:proofErr w:type="gramStart"/>
      <w:r>
        <w:t>2a</w:t>
      </w:r>
      <w:proofErr w:type="gramEnd"/>
      <w:r>
        <w:t>)</w:t>
      </w:r>
    </w:p>
    <w:p w:rsidR="006226C3" w:rsidRDefault="00D7593F">
      <w:pPr>
        <w:pStyle w:val="Odstavecseseznamem"/>
        <w:numPr>
          <w:ilvl w:val="0"/>
          <w:numId w:val="1"/>
        </w:numPr>
      </w:pPr>
      <w:r>
        <w:t xml:space="preserve">Vyskytla se nepřípustná kombinace diagnóz, </w:t>
      </w:r>
    </w:p>
    <w:p w:rsidR="006226C3" w:rsidRDefault="00D7593F">
      <w:pPr>
        <w:pStyle w:val="Odstavecseseznamem"/>
        <w:numPr>
          <w:ilvl w:val="0"/>
          <w:numId w:val="1"/>
        </w:numPr>
      </w:pPr>
      <w:r>
        <w:t xml:space="preserve">Specificky mužský výkon je zde uveden u ženy, </w:t>
      </w:r>
    </w:p>
    <w:p w:rsidR="006226C3" w:rsidRDefault="00D7593F">
      <w:pPr>
        <w:pStyle w:val="Odstavecseseznamem"/>
        <w:numPr>
          <w:ilvl w:val="0"/>
          <w:numId w:val="1"/>
        </w:numPr>
      </w:pPr>
      <w:r>
        <w:t>Specificky ženský výkon je zde uve</w:t>
      </w:r>
      <w:r>
        <w:t xml:space="preserve">den u muže,  </w:t>
      </w:r>
    </w:p>
    <w:p w:rsidR="006226C3" w:rsidRDefault="00D7593F">
      <w:pPr>
        <w:pStyle w:val="Odstavecseseznamem"/>
        <w:numPr>
          <w:ilvl w:val="0"/>
          <w:numId w:val="1"/>
        </w:numPr>
      </w:pPr>
      <w:r>
        <w:t>Uvedený výkon je věkově specifický</w:t>
      </w:r>
    </w:p>
    <w:p w:rsidR="006226C3" w:rsidRDefault="00D7593F">
      <w:proofErr w:type="gramStart"/>
      <w:r>
        <w:t>2b</w:t>
      </w:r>
      <w:proofErr w:type="gramEnd"/>
      <w:r>
        <w:t>)</w:t>
      </w:r>
    </w:p>
    <w:p w:rsidR="006226C3" w:rsidRDefault="00D7593F">
      <w:r>
        <w:t xml:space="preserve">- Celkový počet uvedených OD v souboru CC je o X větší než maximálně přípustný počet OD dle dokladů v souboru CB, </w:t>
      </w:r>
    </w:p>
    <w:p w:rsidR="006226C3" w:rsidRDefault="00D7593F">
      <w:r>
        <w:t xml:space="preserve">- Uvedeny 2-4 OD resuscitační péče, ale není vykázán DRG </w:t>
      </w:r>
      <w:proofErr w:type="spellStart"/>
      <w:r>
        <w:t>marker</w:t>
      </w:r>
      <w:proofErr w:type="spellEnd"/>
      <w:r>
        <w:t xml:space="preserve"> pro umělou plicní ventil</w:t>
      </w:r>
      <w:r>
        <w:t xml:space="preserve">aci, </w:t>
      </w:r>
      <w:proofErr w:type="spellStart"/>
      <w:r>
        <w:t>Polytrauma</w:t>
      </w:r>
      <w:proofErr w:type="spellEnd"/>
      <w:r>
        <w:t xml:space="preserve"> bez pobytu na JIP, </w:t>
      </w:r>
    </w:p>
    <w:p w:rsidR="006226C3" w:rsidRDefault="00D7593F">
      <w:r>
        <w:t xml:space="preserve">- Operační výkon není vykázán na operačním sále (na pracovišti s atributem 1 OPOS), </w:t>
      </w:r>
    </w:p>
    <w:p w:rsidR="006226C3" w:rsidRDefault="00D7593F">
      <w:r>
        <w:t xml:space="preserve">- </w:t>
      </w:r>
      <w:proofErr w:type="spellStart"/>
      <w:r>
        <w:t>Ošetrovací</w:t>
      </w:r>
      <w:proofErr w:type="spellEnd"/>
      <w:r>
        <w:t xml:space="preserve"> den vykázaný mimo lůžkovou stanici, </w:t>
      </w:r>
    </w:p>
    <w:p w:rsidR="006226C3" w:rsidRDefault="00D7593F">
      <w:r>
        <w:lastRenderedPageBreak/>
        <w:t>- Pro výkon v souboru CC provedený na operačním sále (OPOS) není vykázaný operační pr</w:t>
      </w:r>
      <w:r>
        <w:t xml:space="preserve">otokol v CF, - Operační výkon bez kladné délky pobytu na operačním sále, Krátký pobyt na operačním sále, </w:t>
      </w:r>
    </w:p>
    <w:p w:rsidR="006226C3" w:rsidRDefault="00D7593F">
      <w:r>
        <w:t xml:space="preserve">- Výkon vstupující do definice rehabilitačního dne vykázány na lůžkové stanici (APST, APIN) nebo oper. Sálu. </w:t>
      </w:r>
      <w:r>
        <w:rPr>
          <w:i/>
          <w:iCs/>
          <w:u w:val="single"/>
        </w:rPr>
        <w:t>Nutno okomentovat, pracovnici rehabilitac</w:t>
      </w:r>
      <w:r>
        <w:rPr>
          <w:i/>
          <w:iCs/>
          <w:u w:val="single"/>
        </w:rPr>
        <w:t xml:space="preserve">e </w:t>
      </w:r>
      <w:proofErr w:type="spellStart"/>
      <w:r>
        <w:rPr>
          <w:i/>
          <w:iCs/>
          <w:u w:val="single"/>
        </w:rPr>
        <w:t>chodi</w:t>
      </w:r>
      <w:proofErr w:type="spellEnd"/>
      <w:r>
        <w:rPr>
          <w:i/>
          <w:iCs/>
          <w:u w:val="single"/>
        </w:rPr>
        <w:t xml:space="preserve"> po lůžkových odděleních a rehabilitují.</w:t>
      </w:r>
    </w:p>
    <w:p w:rsidR="006226C3" w:rsidRDefault="00D7593F">
      <w:r>
        <w:t xml:space="preserve">- Vykázaný výkon na zákrokovém sálku v CC a současně vykázaný operační protokol v CF (v den, kdy se v CC nevyskytuje žádný jiný operační výkon), </w:t>
      </w:r>
    </w:p>
    <w:p w:rsidR="006226C3" w:rsidRDefault="00D7593F">
      <w:r>
        <w:t xml:space="preserve">- Obligatorní ZUM bez příslušejícího DRG </w:t>
      </w:r>
      <w:proofErr w:type="spellStart"/>
      <w:r>
        <w:t>markeru</w:t>
      </w:r>
      <w:proofErr w:type="spellEnd"/>
      <w:r>
        <w:t xml:space="preserve">, </w:t>
      </w:r>
    </w:p>
    <w:p w:rsidR="006226C3" w:rsidRDefault="00D7593F">
      <w:r>
        <w:t xml:space="preserve">- Chybějící CZ-DRG </w:t>
      </w:r>
      <w:proofErr w:type="spellStart"/>
      <w:r>
        <w:t>marker</w:t>
      </w:r>
      <w:proofErr w:type="spellEnd"/>
      <w:r>
        <w:t xml:space="preserve"> pro gestační stáří u novorozence (0-28 dní), </w:t>
      </w:r>
    </w:p>
    <w:p w:rsidR="006226C3" w:rsidRDefault="00D7593F">
      <w:r>
        <w:t xml:space="preserve">- Chybějící hlavní nebo vedlejší diagnóza pro zhoubný novotvar k CZ-DRG </w:t>
      </w:r>
      <w:proofErr w:type="spellStart"/>
      <w:r>
        <w:t>markeru</w:t>
      </w:r>
      <w:proofErr w:type="spellEnd"/>
      <w:r>
        <w:t xml:space="preserve"> pro stupeň </w:t>
      </w:r>
      <w:proofErr w:type="spellStart"/>
      <w:r>
        <w:t>diferenciac</w:t>
      </w:r>
      <w:proofErr w:type="spellEnd"/>
      <w:r>
        <w:t xml:space="preserve">, </w:t>
      </w:r>
    </w:p>
    <w:p w:rsidR="006226C3" w:rsidRDefault="00D7593F">
      <w:r>
        <w:t xml:space="preserve">- Chybně vykázaný počet DRG </w:t>
      </w:r>
      <w:proofErr w:type="spellStart"/>
      <w:r>
        <w:t>markerů</w:t>
      </w:r>
      <w:proofErr w:type="spellEnd"/>
      <w:r>
        <w:t xml:space="preserve"> pro porodní hmotnost novorozence (2 různé D</w:t>
      </w:r>
      <w:r>
        <w:t xml:space="preserve">RG </w:t>
      </w:r>
      <w:proofErr w:type="spellStart"/>
      <w:r>
        <w:t>markery</w:t>
      </w:r>
      <w:proofErr w:type="spellEnd"/>
      <w:r>
        <w:t xml:space="preserve">), - - Chybějící DRG </w:t>
      </w:r>
      <w:proofErr w:type="spellStart"/>
      <w:r>
        <w:t>marker</w:t>
      </w:r>
      <w:proofErr w:type="spellEnd"/>
      <w:r>
        <w:t xml:space="preserve"> k výkonu KVCH</w:t>
      </w:r>
    </w:p>
    <w:p w:rsidR="006226C3" w:rsidRDefault="006226C3"/>
    <w:p w:rsidR="006226C3" w:rsidRDefault="00D7593F">
      <w:pPr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3) Validace předaných dat proti referenčním datovým zdrojům</w:t>
      </w:r>
    </w:p>
    <w:p w:rsidR="006226C3" w:rsidRDefault="00D7593F">
      <w:pPr>
        <w:rPr>
          <w:rFonts w:eastAsia="Times New Roman" w:cs="Calibri"/>
          <w:b/>
          <w:bCs/>
          <w:color w:val="335D9D"/>
          <w:sz w:val="28"/>
          <w:szCs w:val="28"/>
          <w:lang w:eastAsia="cs-CZ"/>
        </w:rPr>
      </w:pPr>
      <w:r>
        <w:rPr>
          <w:rFonts w:eastAsia="Times New Roman" w:cs="Calibri"/>
          <w:b/>
          <w:bCs/>
          <w:color w:val="335D9D"/>
          <w:sz w:val="28"/>
          <w:szCs w:val="28"/>
          <w:lang w:eastAsia="cs-CZ"/>
        </w:rPr>
        <w:t>4) Validace výsledného ocenění poskytovaných zdravotních služeb</w:t>
      </w:r>
    </w:p>
    <w:p w:rsidR="00BF1959" w:rsidRDefault="00BF1959">
      <w:pPr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</w:p>
    <w:p w:rsidR="00BF1959" w:rsidRDefault="00BF1959">
      <w:pPr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335D9D"/>
          <w:sz w:val="28"/>
          <w:szCs w:val="28"/>
          <w:lang w:eastAsia="cs-CZ"/>
        </w:rPr>
        <w:t>Použití převodníků: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P01 Převodník alokace nákladů a výnosů</w:t>
      </w:r>
      <w:r>
        <w:rPr>
          <w:rFonts w:ascii="Calibri" w:eastAsia="Times New Roman" w:hAnsi="Calibri" w:cs="Calibri"/>
          <w:bCs/>
          <w:lang w:eastAsia="cs-CZ"/>
        </w:rPr>
        <w:t xml:space="preserve"> (převody SZM např. z 0171,0172 na 0111)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P03 Převodník alokace systemizace</w:t>
      </w:r>
      <w:r>
        <w:rPr>
          <w:rFonts w:ascii="Calibri" w:eastAsia="Times New Roman" w:hAnsi="Calibri" w:cs="Calibri"/>
          <w:bCs/>
          <w:lang w:eastAsia="cs-CZ"/>
        </w:rPr>
        <w:t xml:space="preserve"> (převody lékařů z lůžek na </w:t>
      </w:r>
      <w:proofErr w:type="spellStart"/>
      <w:r>
        <w:rPr>
          <w:rFonts w:ascii="Calibri" w:eastAsia="Times New Roman" w:hAnsi="Calibri" w:cs="Calibri"/>
          <w:bCs/>
          <w:lang w:eastAsia="cs-CZ"/>
        </w:rPr>
        <w:t>amb</w:t>
      </w:r>
      <w:proofErr w:type="spellEnd"/>
      <w:proofErr w:type="gramStart"/>
      <w:r>
        <w:rPr>
          <w:rFonts w:ascii="Calibri" w:eastAsia="Times New Roman" w:hAnsi="Calibri" w:cs="Calibri"/>
          <w:bCs/>
          <w:lang w:eastAsia="cs-CZ"/>
        </w:rPr>
        <w:t>.,</w:t>
      </w:r>
      <w:proofErr w:type="spellStart"/>
      <w:r w:rsidR="00D7593F">
        <w:rPr>
          <w:rFonts w:ascii="Calibri" w:eastAsia="Times New Roman" w:hAnsi="Calibri" w:cs="Calibri"/>
          <w:bCs/>
          <w:lang w:eastAsia="cs-CZ"/>
        </w:rPr>
        <w:t>kater</w:t>
      </w:r>
      <w:proofErr w:type="gramEnd"/>
      <w:r w:rsidR="00D7593F">
        <w:rPr>
          <w:rFonts w:ascii="Calibri" w:eastAsia="Times New Roman" w:hAnsi="Calibri" w:cs="Calibri"/>
          <w:bCs/>
          <w:lang w:eastAsia="cs-CZ"/>
        </w:rPr>
        <w:t>.sály</w:t>
      </w:r>
      <w:proofErr w:type="spellEnd"/>
      <w:r w:rsidR="00D7593F">
        <w:rPr>
          <w:rFonts w:ascii="Calibri" w:eastAsia="Times New Roman" w:hAnsi="Calibri" w:cs="Calibri"/>
          <w:bCs/>
          <w:lang w:eastAsia="cs-CZ"/>
        </w:rPr>
        <w:t>,..)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P04 Převodník alokace přeúčtování režie</w:t>
      </w:r>
      <w:r w:rsidR="00D7593F">
        <w:rPr>
          <w:rFonts w:ascii="Calibri" w:eastAsia="Times New Roman" w:hAnsi="Calibri" w:cs="Calibri"/>
          <w:bCs/>
          <w:lang w:eastAsia="cs-CZ"/>
        </w:rPr>
        <w:t xml:space="preserve"> (převody u provozních služeb, doprava)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P05 Převodník lůžek</w:t>
      </w:r>
      <w:r w:rsidR="00D7593F">
        <w:rPr>
          <w:rFonts w:ascii="Calibri" w:eastAsia="Times New Roman" w:hAnsi="Calibri" w:cs="Calibri"/>
          <w:bCs/>
          <w:lang w:eastAsia="cs-CZ"/>
        </w:rPr>
        <w:t xml:space="preserve"> (převody mezi IČP, </w:t>
      </w:r>
      <w:proofErr w:type="spellStart"/>
      <w:r w:rsidR="00D7593F">
        <w:rPr>
          <w:rFonts w:ascii="Calibri" w:eastAsia="Times New Roman" w:hAnsi="Calibri" w:cs="Calibri"/>
          <w:bCs/>
          <w:lang w:eastAsia="cs-CZ"/>
        </w:rPr>
        <w:t>odb</w:t>
      </w:r>
      <w:proofErr w:type="spellEnd"/>
      <w:r w:rsidR="00D7593F">
        <w:rPr>
          <w:rFonts w:ascii="Calibri" w:eastAsia="Times New Roman" w:hAnsi="Calibri" w:cs="Calibri"/>
          <w:bCs/>
          <w:lang w:eastAsia="cs-CZ"/>
        </w:rPr>
        <w:t>.)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P07 Převodník produkčních dat</w:t>
      </w:r>
      <w:r w:rsidR="00D7593F">
        <w:rPr>
          <w:rFonts w:ascii="Calibri" w:eastAsia="Times New Roman" w:hAnsi="Calibri" w:cs="Calibri"/>
          <w:bCs/>
          <w:lang w:eastAsia="cs-CZ"/>
        </w:rPr>
        <w:t xml:space="preserve"> (převody mezi oper. sálem a porodním </w:t>
      </w:r>
      <w:proofErr w:type="gramStart"/>
      <w:r w:rsidR="00D7593F">
        <w:rPr>
          <w:rFonts w:ascii="Calibri" w:eastAsia="Times New Roman" w:hAnsi="Calibri" w:cs="Calibri"/>
          <w:bCs/>
          <w:lang w:eastAsia="cs-CZ"/>
        </w:rPr>
        <w:t>sálem,..</w:t>
      </w:r>
      <w:proofErr w:type="gramEnd"/>
      <w:r w:rsidR="00D7593F">
        <w:rPr>
          <w:rFonts w:ascii="Calibri" w:eastAsia="Times New Roman" w:hAnsi="Calibri" w:cs="Calibri"/>
          <w:bCs/>
          <w:lang w:eastAsia="cs-CZ"/>
        </w:rPr>
        <w:t>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P10 Převodník organizační struktury</w:t>
      </w:r>
      <w:r w:rsidR="00D7593F">
        <w:rPr>
          <w:rFonts w:ascii="Calibri" w:eastAsia="Times New Roman" w:hAnsi="Calibri" w:cs="Calibri"/>
          <w:bCs/>
          <w:lang w:eastAsia="cs-CZ"/>
        </w:rPr>
        <w:t xml:space="preserve"> (převod typu střediska)</w:t>
      </w:r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P11 Převodník plochy</w:t>
      </w:r>
      <w:r w:rsidR="00D7593F">
        <w:rPr>
          <w:rFonts w:ascii="Calibri" w:eastAsia="Times New Roman" w:hAnsi="Calibri" w:cs="Calibri"/>
          <w:bCs/>
          <w:lang w:eastAsia="cs-CZ"/>
        </w:rPr>
        <w:t xml:space="preserve"> (úpravy ploch mezi středisky)</w:t>
      </w:r>
      <w:bookmarkStart w:id="0" w:name="_GoBack"/>
      <w:bookmarkEnd w:id="0"/>
    </w:p>
    <w:p w:rsidR="00BF1959" w:rsidRPr="00BF1959" w:rsidRDefault="00BF1959" w:rsidP="00BF1959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bCs/>
          <w:lang w:eastAsia="cs-CZ"/>
        </w:rPr>
      </w:pPr>
      <w:r w:rsidRPr="00BF1959">
        <w:rPr>
          <w:rFonts w:ascii="Calibri" w:eastAsia="Times New Roman" w:hAnsi="Calibri" w:cs="Calibri"/>
          <w:bCs/>
          <w:lang w:eastAsia="cs-CZ"/>
        </w:rPr>
        <w:t>P12 Převodník kalkulovaných odpisů movitého majetku</w:t>
      </w:r>
    </w:p>
    <w:p w:rsidR="006226C3" w:rsidRDefault="006226C3"/>
    <w:sectPr w:rsidR="006226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A27"/>
    <w:multiLevelType w:val="multilevel"/>
    <w:tmpl w:val="FAD4477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E502E6"/>
    <w:multiLevelType w:val="hybridMultilevel"/>
    <w:tmpl w:val="6592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5C3"/>
    <w:multiLevelType w:val="multilevel"/>
    <w:tmpl w:val="70DC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3"/>
    <w:rsid w:val="006226C3"/>
    <w:rsid w:val="00BF1959"/>
    <w:rsid w:val="00D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1950"/>
  <w15:docId w15:val="{76A0FF66-648E-4615-8D0F-C8E968E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2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dc:description/>
  <cp:lastModifiedBy>Káňa Jaroslav, Ing., MHA</cp:lastModifiedBy>
  <cp:revision>5</cp:revision>
  <dcterms:created xsi:type="dcterms:W3CDTF">2023-10-19T06:44:00Z</dcterms:created>
  <dcterms:modified xsi:type="dcterms:W3CDTF">2023-10-19T12:19:00Z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FN Olomouc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