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800080"/>
          <w:sz w:val="38"/>
          <w:szCs w:val="38"/>
          <w:lang w:eastAsia="cs-CZ"/>
        </w:rPr>
        <w:t xml:space="preserve">96/2024 </w:t>
      </w:r>
      <w:proofErr w:type="spellStart"/>
      <w:r w:rsidRPr="00362EF8">
        <w:rPr>
          <w:rFonts w:ascii="var(--theme-font-family)" w:eastAsia="Times New Roman" w:hAnsi="var(--theme-font-family)" w:cs="Segoe UI"/>
          <w:b/>
          <w:bCs/>
          <w:color w:val="800080"/>
          <w:sz w:val="38"/>
          <w:szCs w:val="38"/>
          <w:lang w:eastAsia="cs-CZ"/>
        </w:rPr>
        <w:t>Sb.VYHLÁŠKA</w:t>
      </w:r>
      <w:r w:rsidRPr="00362EF8">
        <w:rPr>
          <w:rFonts w:ascii="var(--theme-font-family)" w:eastAsia="Times New Roman" w:hAnsi="var(--theme-font-family)" w:cs="Segoe UI"/>
          <w:color w:val="000000"/>
          <w:sz w:val="31"/>
          <w:szCs w:val="31"/>
          <w:lang w:eastAsia="cs-CZ"/>
        </w:rPr>
        <w:t>ze</w:t>
      </w:r>
      <w:proofErr w:type="spellEnd"/>
      <w:r w:rsidRPr="00362EF8">
        <w:rPr>
          <w:rFonts w:ascii="var(--theme-font-family)" w:eastAsia="Times New Roman" w:hAnsi="var(--theme-font-family)" w:cs="Segoe UI"/>
          <w:color w:val="000000"/>
          <w:sz w:val="31"/>
          <w:szCs w:val="31"/>
          <w:lang w:eastAsia="cs-CZ"/>
        </w:rPr>
        <w:t xml:space="preserve"> dne 3. dubna </w:t>
      </w:r>
      <w:proofErr w:type="gramStart"/>
      <w:r w:rsidRPr="00362EF8">
        <w:rPr>
          <w:rFonts w:ascii="var(--theme-font-family)" w:eastAsia="Times New Roman" w:hAnsi="var(--theme-font-family)" w:cs="Segoe UI"/>
          <w:color w:val="000000"/>
          <w:sz w:val="31"/>
          <w:szCs w:val="31"/>
          <w:lang w:eastAsia="cs-CZ"/>
        </w:rPr>
        <w:t>2024,</w:t>
      </w:r>
      <w:r w:rsidRPr="00362EF8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>kterou</w:t>
      </w:r>
      <w:proofErr w:type="gramEnd"/>
      <w:r w:rsidRPr="00362EF8">
        <w:rPr>
          <w:rFonts w:ascii="var(--theme-font-family)" w:eastAsia="Times New Roman" w:hAnsi="var(--theme-font-family)" w:cs="Segoe UI"/>
          <w:b/>
          <w:bCs/>
          <w:color w:val="000000"/>
          <w:sz w:val="24"/>
          <w:szCs w:val="24"/>
          <w:lang w:eastAsia="cs-CZ"/>
        </w:rPr>
        <w:t xml:space="preserve"> se mění 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Ministerstvo financí stanoví podle </w:t>
      </w:r>
      <w:hyperlink r:id="rId4" w:anchor="L188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37b odst. 1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zákona č. 563/1991 Sb., o účetnictví, ve znění zákona č. </w:t>
      </w:r>
      <w:hyperlink r:id="rId5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437/2003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6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304/2008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7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221/2015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 zákona č. </w:t>
      </w:r>
      <w:hyperlink r:id="rId8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462/2016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k provedení </w:t>
      </w:r>
      <w:hyperlink r:id="rId9" w:anchor="L113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4 odst. 8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tohoto zákona a podle § 20 odst. 6, </w:t>
      </w:r>
      <w:hyperlink r:id="rId10" w:anchor="L114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30 odst. 2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 § 47 odst. 7 zákona č. </w:t>
      </w:r>
      <w:hyperlink r:id="rId11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218/2000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o rozpočtových pravidlech a o změně některých souvisejících zákonů (</w:t>
      </w:r>
      <w:hyperlink r:id="rId12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rozpočtová pravidla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), ve znění zákona č. </w:t>
      </w:r>
      <w:hyperlink r:id="rId13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320/2002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4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482/2004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5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26/2008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6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421/2009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7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25/2015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8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128/2016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zákona č. </w:t>
      </w:r>
      <w:hyperlink r:id="rId19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484/2020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 zákona č. </w:t>
      </w:r>
      <w:hyperlink r:id="rId20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251/2021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D9121A"/>
          <w:sz w:val="29"/>
          <w:szCs w:val="29"/>
          <w:lang w:eastAsia="cs-CZ"/>
        </w:rPr>
        <w:t>Čl. I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Vyhláška č. </w:t>
      </w:r>
      <w:hyperlink r:id="rId21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383/2009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vyhlášky č. </w:t>
      </w:r>
      <w:hyperlink r:id="rId22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434/2010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3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437/2011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4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461/2012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5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472/2013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6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300/2014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7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370/2015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8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447/2016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29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274/2017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30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398/2017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vyhlášky č. </w:t>
      </w:r>
      <w:hyperlink r:id="rId31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341/2021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 vyhlášky č. </w:t>
      </w:r>
      <w:hyperlink r:id="rId32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430/2021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se mění takto: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1. V </w:t>
      </w:r>
      <w:hyperlink r:id="rId33" w:anchor="L1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2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písmeno g)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Dosavadní písmena h) až n) se označují jako písmena g) až m).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2. V </w:t>
      </w:r>
      <w:hyperlink r:id="rId34" w:anchor="L3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4 se za slovo "Formát" vkládají slova "a struktura" a slova "je stanoven v příloze č. 1 k této vyhlášce" se nahrazují slovy "jsou stanoveny v metodice technického zajištění formátu, struktury, přenosu a zabezpečení účetních záznamů podle této vyhlášky (dále jen "Technický manuál centrálního systému účetních informací státu")".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3. V </w:t>
      </w:r>
      <w:hyperlink r:id="rId35" w:anchor="L3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5 se slova "příloze č. 2 k této vyhlášce" nahrazují slovy "Technickém manuálu centrálního systému účetních informací státu".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4. V </w:t>
      </w:r>
      <w:hyperlink r:id="rId36" w:anchor="L3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odstavce 6 a 7 znějí: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"(6) Ministerstvo zveřejní Technický manuál centrálního systému účetních informací státu způsobem umožňujícím dálkový přístup. Technický manuál centrálního systému účetních informací státu je součástí provozní dokumentace Integrovaného informačního systému státní pokladny.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(7) V Technickém manuálu centrálního systému účetních informací státu správce centrálního systému účetních informací státu uvede alespoň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a) vymezení datových prvků předávaných údajů a jejich atributy,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b) vymezení komunikačního rozhraní včetně bezpečnostních parametrů a bližší podmínky jeho provozu,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c) způsob hlášení závad datových přenosů,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d) termíny vytváření sestav jednotlivých předaných účetních záznamů pro účely uživatelů účetních záznamů,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e) strukturu jednotlivých číselníků, registrů a informací z registrů spravovaných centrálními orgány veřejné správy nebo spravovaných správcem centrálního systému účetních informací státu, včetně jejich použití při členění účetních záznamů a jejich přenosu,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f) parametry a další údaje potřebné pro autentizaci a autorizaci postupů spojených s přenosem účetních záznamů, včetně způsobů a termínů předávání prostředků nutných k </w:t>
      </w: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lastRenderedPageBreak/>
        <w:t>technickému a organizačnímu zabezpečení přenosu účetních záznamů mezi vybranou účetní jednotkou a centrálním systémem účetních informací státu,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g) údaje potřebné pro registraci osoby odpovědné za přenos dat mezi vybranou účetní jednotkou a centrálním systémem účetních informací státu (dále jen "zodpovědná osoba"),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h) způsob a postupy provádění syntaktické kontroly, kontroly zabezpečení a obsahové kontroly,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i) postupy provádění obsahové kontroly konsolidačních účetních záznamů, které vycházejí ze závazných vzorů a postupů stanovených vyhláškou k provedení zákona o účetnictví pro některé vybrané účetní jednotky,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j) způsob poskytování součinnosti zodpovědné osobě správcem centrálního systému účetních informací státu při odstraňování chyb v přenášených účetních záznamech,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k) způsob předání údajů o zodpovědné osobě správci centrálního systému účetních informací státu,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l) typy a specifikace komunikačních protokolů a související skutečnosti,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m) způsob oznamování závažných skutečností, zejména hrozby zneužití přenášených účetních záznamů nebo jiných přenášených dat, správci centrálního systému účetních informací státu vybranou účetní jednotkou,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n) požadavky na vyžádání a přenos jiného účetního záznamu a s tím spojený postup osoby, která jiný účetní záznam vyžádala, jakož i s tím spojený postup správce centrálního systému účetních informací státu a dotčené vybrané účetní jednotky a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o) parametry stavových zpráv o přenosech, způsob jejich tvorby a poskytování vybraným účetním jednotkám a související skutečnosti.".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5. V </w:t>
      </w:r>
      <w:hyperlink r:id="rId37" w:anchor="L3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odstavec 8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6. </w:t>
      </w:r>
      <w:hyperlink r:id="rId38" w:anchor="L6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4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včetně nadpisu zní: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"§ 4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Přenos účetních záznamů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(1) Vybrané účetní jednotky předávají účetní záznamy podle § 3 a 3a do centrálního systému účetních informací státu v technické formě přenosovou cestou, kterou se rozumí připojení prostřednictvím internetového datového rozhraní k centrálnímu systému účetních informací státu, které splňuje požadavky průkaznosti a neměnnosti přenášeného účetního záznamu podle zákona a dále požadavky ochrany a bezpečnosti odpovídající charakteru přenášených informací podle jiných právních předpisů upravujících požadavky na kybernetickou bezpečnost.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(2) Vybrané účetní jednotky přebírají účetní záznamy v technické formě připojením k centrálnímu systému účetních informací státu pomocí internetového datového rozhraní.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(3) Ministerstvo zveřejňuje popis internetového datového rozhraní v Technickém manuálu centrálního systému účetních informací státu.".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7. V nadpisu </w:t>
      </w:r>
      <w:hyperlink r:id="rId39" w:anchor="L9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slovo "standardní"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8. V </w:t>
      </w:r>
      <w:hyperlink r:id="rId40" w:anchor="L9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1 se slovo "standardní"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9. V </w:t>
      </w:r>
      <w:hyperlink r:id="rId41" w:anchor="L9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3 a 4 se slovo "šifrovaných"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10. </w:t>
      </w:r>
      <w:hyperlink r:id="rId42" w:anchor="L10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7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včetně nadpisu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11. V </w:t>
      </w:r>
      <w:hyperlink r:id="rId43" w:anchor="L10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8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odstavec 1 zní: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"(1) Vybrané účetní jednotky dostávají z centrálního systému účetních informací státu stavové zprávy, urgence a žádanky postupem podle Technického manuálu centrálního systému účetních informací státu.".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12. V </w:t>
      </w:r>
      <w:hyperlink r:id="rId44" w:anchor="L10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8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odstavec 2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Dosavadní odstavce 3 až 5 se označují jako odstavce 2 až 4.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13. V </w:t>
      </w:r>
      <w:hyperlink r:id="rId45" w:anchor="L10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8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4 se slovo "standardní"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lastRenderedPageBreak/>
        <w:t>14. </w:t>
      </w:r>
      <w:hyperlink r:id="rId46" w:anchor="L114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9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včetně nadpisu zní: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"§ 9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Pravidla pro vybrané účetní jednotky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(1) Vybraná účetní jednotka předává účetní záznamy do centrálního systému účetních informací státu postupem podle Technického manuálu centrálního systému účetních informací státu.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(2) Vybraná účetní jednotka předává účetní záznamy do centrálního systému účetních informací státu a přebírá účetní záznamy z centrálního systému účetních informací státu přenosovou cestou v termínech stanovených touto vyhláškou nebo jiným právním předpisem.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(3) Není-li přenos dat podle odstavce 2 uskutečněn úspěšně, vybraná účetní jednotka oznámí tuto skutečnost neprodleně správci centrálního systému účetních informací státu postupem stanoveným v Technickém manuálu centrálního systému účetních informací státu.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(4) Vybraná účetní jednotka zajistí podmínky pro vyžádání a přenos jiných účetních záznamů ve stanoveném rozsahu a termínech přenosovou cestou v souladu s Technickým manuálem centrálního systému účetních informací státu.".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15. </w:t>
      </w:r>
      <w:hyperlink r:id="rId47" w:anchor="L13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14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včetně nadpisu zrušuje.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16. </w:t>
      </w:r>
      <w:hyperlink r:id="rId48" w:anchor="L14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15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zní: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"§ 15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(1) Výkonem práv a povinností zodpovědné osoby může vybraná účetní jednotka pověřit pouze fyzickou osobu.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(2) Vybraná účetní jednotka předá správci centrálního systému účetních informací státu údaje nutné pro autentizaci zodpovědné osoby podle přílohy č. 14 k této vyhlášce v souladu s Technickým manuálem centrálního systému účetních informací státu.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(3) Správce centrálního systému účetních informací státu zruší přístupy k centrálnímu systému účetních informací státu zodpovědné osobě, která za posledních 18 měsíců neprovedla úspěšné přihlášení do centrálního systému účetních informací státu.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(4) V případě přenosu účetních záznamů do centrálního systému účetních informací státu podle § 5 odst. 5 písm. b) a § 5 odst. 6 písm. b) se použijí ustanovení této vyhlášky týkající se zodpovědné osoby přiměřeně pro krajský úřad příslušného kraje.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(5) V případě technologického, bezpečnostního nebo operativního organizačního opatření může správce centrálního systému účetních informací státu provést změnu v registraci zodpovědné osoby. O takovémto postupu správce centrálního systému účetních informací státu neprodleně informuje dotčenou vybranou účetní jednotku a dotčenou zodpovědnou osobu.".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17. V </w:t>
      </w:r>
      <w:hyperlink r:id="rId49" w:anchor="L15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1 se slova "nebo náhradní zodpovědné osoby" zrušují.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18. V </w:t>
      </w:r>
      <w:hyperlink r:id="rId50" w:anchor="L15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odst. 2 se slova "a náhradní zodpovědné osoby" zrušují.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19. </w:t>
      </w:r>
      <w:hyperlink r:id="rId51" w:anchor="L155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17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až </w:t>
      </w:r>
      <w:hyperlink r:id="rId52" w:anchor="L20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22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včetně nadpisů zrušují.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20. </w:t>
      </w:r>
      <w:hyperlink r:id="rId53" w:anchor="L33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Přílohy č. 1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 </w:t>
      </w:r>
      <w:hyperlink r:id="rId54" w:anchor="L34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2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 </w:t>
      </w:r>
      <w:hyperlink r:id="rId55" w:anchor="L370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až </w:t>
      </w:r>
      <w:hyperlink r:id="rId56" w:anchor="L40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9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 </w:t>
      </w:r>
      <w:hyperlink r:id="rId57" w:anchor="L434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12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 </w:t>
      </w:r>
      <w:hyperlink r:id="rId58" w:anchor="L46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13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se zrušují.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21. </w:t>
      </w:r>
      <w:hyperlink r:id="rId59" w:anchor="L475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Příloha č. 14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včetně nadpisu zní: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"Příloha č. 14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Informace a způsob jejich předávání mezi vybranou účetní jednotkou a centrálním systémem účetních informací státu v souvislosti s registrací zodpovědných osob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1. Identifikace vybrané účetní jednotky: název účetní jednotky, identifikační číslo, adresa sídla, adresa pro doručování, elektronická adresa, telefonní číslo, identifikátor datové schránky, jméno a příjmení statutárního orgánu nebo jím pověřené osoby, rozsah vedení účetnictví.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lastRenderedPageBreak/>
        <w:t>2. Identifikace zodpovědné osoby: jméno a příjmení, elektronická adresa, telefonní číslo, registrační číslo zodpovědné osoby, je-li v centrálním systému účetních informací státu přiděleno.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3. Úkony dostupné vybrané účetní jednotce: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a) žádost o registraci zodpovědné osoby,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b) zpřístupnění výpisu aktuálních údajů vedených v CSÚIS o vybrané účetní jednotce,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c) aktualizace údajů o vybrané účetní jednotce,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d) aktualizace údajů o zodpovědné osobě,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e) ukončení registrace zodpovědné osoby.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4. Registrace a aktualizace údajů o zodpovědné osobě ze strany vybrané účetní jednotky probíhá na webovém portálu centrálního systému účetních informací státu.".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D9121A"/>
          <w:sz w:val="29"/>
          <w:szCs w:val="29"/>
          <w:lang w:eastAsia="cs-CZ"/>
        </w:rPr>
        <w:t>Čl. II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D9121A"/>
          <w:sz w:val="29"/>
          <w:szCs w:val="29"/>
          <w:lang w:eastAsia="cs-CZ"/>
        </w:rPr>
        <w:t>Přechodná ustanovení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1. Náhradní zodpovědné osoby podle vyhlášky č. </w:t>
      </w:r>
      <w:hyperlink r:id="rId60" w:anchor="L1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383/2009 Sb.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 ve znění účinném přede dnem nabytí účinnosti této vyhlášky, se dnem nabytí účinnosti této vyhlášky považují za zodpovědné osoby podle </w:t>
      </w:r>
      <w:hyperlink r:id="rId61" w:anchor="L14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15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vyhlášky č. 383/2009 Sb., ve znění účinném ode dne nabytí účinnosti této vyhlášky.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2. Ustanovení </w:t>
      </w:r>
      <w:hyperlink r:id="rId62" w:anchor="L37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3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až </w:t>
      </w:r>
      <w:hyperlink r:id="rId63" w:anchor="L13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14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 </w:t>
      </w:r>
      <w:hyperlink r:id="rId64" w:anchor="L168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§ 18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 </w:t>
      </w:r>
      <w:hyperlink r:id="rId65" w:anchor="L332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přílohy č. 1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, </w:t>
      </w:r>
      <w:hyperlink r:id="rId66" w:anchor="L370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6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a </w:t>
      </w:r>
      <w:hyperlink r:id="rId67" w:anchor="L406" w:history="1">
        <w:r w:rsidRPr="00362EF8">
          <w:rPr>
            <w:rFonts w:ascii="var(--theme-font-family)" w:eastAsia="Times New Roman" w:hAnsi="var(--theme-font-family)" w:cs="Segoe UI"/>
            <w:color w:val="0000FF"/>
            <w:sz w:val="24"/>
            <w:szCs w:val="24"/>
            <w:u w:val="single"/>
            <w:lang w:eastAsia="cs-CZ"/>
          </w:rPr>
          <w:t>9</w:t>
        </w:r>
      </w:hyperlink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 vyhlášky č. 383/2009 Sb., ve znění účinném přede dnem nabytí účinnosti této vyhlášky, lze použít do 31. prosince 2024.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D9121A"/>
          <w:sz w:val="29"/>
          <w:szCs w:val="29"/>
          <w:lang w:eastAsia="cs-CZ"/>
        </w:rPr>
        <w:t>Čl. III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b/>
          <w:bCs/>
          <w:color w:val="D9121A"/>
          <w:sz w:val="29"/>
          <w:szCs w:val="29"/>
          <w:lang w:eastAsia="cs-CZ"/>
        </w:rPr>
        <w:t>Účinnost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Tato vyhláška nabývá účinnosti dnem 1. července 2024.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Ministr financí:</w:t>
      </w:r>
    </w:p>
    <w:p w:rsidR="00362EF8" w:rsidRPr="00362EF8" w:rsidRDefault="00362EF8" w:rsidP="00362EF8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cs-CZ"/>
        </w:rPr>
      </w:pPr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Ing. </w:t>
      </w:r>
      <w:proofErr w:type="spellStart"/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>Stanjura</w:t>
      </w:r>
      <w:proofErr w:type="spellEnd"/>
      <w:r w:rsidRPr="00362EF8">
        <w:rPr>
          <w:rFonts w:ascii="var(--theme-font-family)" w:eastAsia="Times New Roman" w:hAnsi="var(--theme-font-family)" w:cs="Segoe UI"/>
          <w:color w:val="000000"/>
          <w:sz w:val="24"/>
          <w:szCs w:val="24"/>
          <w:lang w:eastAsia="cs-CZ"/>
        </w:rPr>
        <w:t xml:space="preserve"> v. r.</w:t>
      </w:r>
    </w:p>
    <w:p w:rsidR="00AA1BEB" w:rsidRDefault="00AA1BEB">
      <w:bookmarkStart w:id="0" w:name="_GoBack"/>
      <w:bookmarkEnd w:id="0"/>
    </w:p>
    <w:sectPr w:rsidR="00AA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EF8"/>
    <w:rsid w:val="00362EF8"/>
    <w:rsid w:val="00AA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140E2-3207-43FC-A4F7-7139A42E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0">
    <w:name w:val="s10"/>
    <w:basedOn w:val="Standardnpsmoodstavce"/>
    <w:rsid w:val="00362EF8"/>
  </w:style>
  <w:style w:type="character" w:customStyle="1" w:styleId="s11">
    <w:name w:val="s11"/>
    <w:basedOn w:val="Standardnpsmoodstavce"/>
    <w:rsid w:val="00362EF8"/>
  </w:style>
  <w:style w:type="character" w:customStyle="1" w:styleId="s13">
    <w:name w:val="s13"/>
    <w:basedOn w:val="Standardnpsmoodstavce"/>
    <w:rsid w:val="00362EF8"/>
  </w:style>
  <w:style w:type="character" w:customStyle="1" w:styleId="s14">
    <w:name w:val="s14"/>
    <w:basedOn w:val="Standardnpsmoodstavce"/>
    <w:rsid w:val="00362EF8"/>
  </w:style>
  <w:style w:type="character" w:customStyle="1" w:styleId="s30">
    <w:name w:val="s30"/>
    <w:basedOn w:val="Standardnpsmoodstavce"/>
    <w:rsid w:val="00362EF8"/>
  </w:style>
  <w:style w:type="character" w:styleId="Hypertextovodkaz">
    <w:name w:val="Hyperlink"/>
    <w:basedOn w:val="Standardnpsmoodstavce"/>
    <w:uiPriority w:val="99"/>
    <w:semiHidden/>
    <w:unhideWhenUsed/>
    <w:rsid w:val="00362EF8"/>
    <w:rPr>
      <w:color w:val="0000FF"/>
      <w:u w:val="single"/>
    </w:rPr>
  </w:style>
  <w:style w:type="character" w:customStyle="1" w:styleId="s22">
    <w:name w:val="s22"/>
    <w:basedOn w:val="Standardnpsmoodstavce"/>
    <w:rsid w:val="00362EF8"/>
  </w:style>
  <w:style w:type="character" w:customStyle="1" w:styleId="s1">
    <w:name w:val="s1"/>
    <w:basedOn w:val="Standardnpsmoodstavce"/>
    <w:rsid w:val="00362EF8"/>
  </w:style>
  <w:style w:type="character" w:customStyle="1" w:styleId="s31">
    <w:name w:val="s31"/>
    <w:basedOn w:val="Standardnpsmoodstavce"/>
    <w:rsid w:val="00362EF8"/>
  </w:style>
  <w:style w:type="character" w:customStyle="1" w:styleId="s4">
    <w:name w:val="s4"/>
    <w:basedOn w:val="Standardnpsmoodstavce"/>
    <w:rsid w:val="00362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ext.codexis.cz/legislativa/CR63591" TargetMode="External"/><Relationship Id="rId21" Type="http://schemas.openxmlformats.org/officeDocument/2006/relationships/hyperlink" Target="https://next.codexis.cz/legislativa/CR18073" TargetMode="External"/><Relationship Id="rId42" Type="http://schemas.openxmlformats.org/officeDocument/2006/relationships/hyperlink" Target="https://next.codexis.cz/legislativa/CR18073" TargetMode="External"/><Relationship Id="rId47" Type="http://schemas.openxmlformats.org/officeDocument/2006/relationships/hyperlink" Target="https://next.codexis.cz/legislativa/CR18073" TargetMode="External"/><Relationship Id="rId63" Type="http://schemas.openxmlformats.org/officeDocument/2006/relationships/hyperlink" Target="https://next.codexis.cz/legislativa/CR18073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next.codexis.cz/legislativa/CR65533?workspaceId=a1779b67982ac9d5294fc48f1f7ec4b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ext.codexis.cz/legislativa/CR18180" TargetMode="External"/><Relationship Id="rId29" Type="http://schemas.openxmlformats.org/officeDocument/2006/relationships/hyperlink" Target="https://next.codexis.cz/legislativa/CR88950" TargetMode="External"/><Relationship Id="rId11" Type="http://schemas.openxmlformats.org/officeDocument/2006/relationships/hyperlink" Target="https://next.codexis.cz/legislativa/CR5175" TargetMode="External"/><Relationship Id="rId24" Type="http://schemas.openxmlformats.org/officeDocument/2006/relationships/hyperlink" Target="https://next.codexis.cz/legislativa/CR29617" TargetMode="External"/><Relationship Id="rId32" Type="http://schemas.openxmlformats.org/officeDocument/2006/relationships/hyperlink" Target="https://next.codexis.cz/legislativa/CR130881" TargetMode="External"/><Relationship Id="rId37" Type="http://schemas.openxmlformats.org/officeDocument/2006/relationships/hyperlink" Target="https://next.codexis.cz/legislativa/CR18073" TargetMode="External"/><Relationship Id="rId40" Type="http://schemas.openxmlformats.org/officeDocument/2006/relationships/hyperlink" Target="https://next.codexis.cz/legislativa/CR18073" TargetMode="External"/><Relationship Id="rId45" Type="http://schemas.openxmlformats.org/officeDocument/2006/relationships/hyperlink" Target="https://next.codexis.cz/legislativa/CR18073" TargetMode="External"/><Relationship Id="rId53" Type="http://schemas.openxmlformats.org/officeDocument/2006/relationships/hyperlink" Target="https://next.codexis.cz/legislativa/CR18073" TargetMode="External"/><Relationship Id="rId58" Type="http://schemas.openxmlformats.org/officeDocument/2006/relationships/hyperlink" Target="https://next.codexis.cz/legislativa/CR18073" TargetMode="External"/><Relationship Id="rId66" Type="http://schemas.openxmlformats.org/officeDocument/2006/relationships/hyperlink" Target="https://next.codexis.cz/legislativa/CR18073" TargetMode="External"/><Relationship Id="rId5" Type="http://schemas.openxmlformats.org/officeDocument/2006/relationships/hyperlink" Target="https://next.codexis.cz/legislativa/CR26639" TargetMode="External"/><Relationship Id="rId61" Type="http://schemas.openxmlformats.org/officeDocument/2006/relationships/hyperlink" Target="https://next.codexis.cz/legislativa/CR18073" TargetMode="External"/><Relationship Id="rId19" Type="http://schemas.openxmlformats.org/officeDocument/2006/relationships/hyperlink" Target="https://next.codexis.cz/legislativa/CR127535?workspaceId=a1779b67982ac9d5294fc48f1f7ec4b7" TargetMode="External"/><Relationship Id="rId14" Type="http://schemas.openxmlformats.org/officeDocument/2006/relationships/hyperlink" Target="https://next.codexis.cz/legislativa/CR12142?workspaceId=a1779b67982ac9d5294fc48f1f7ec4b7" TargetMode="External"/><Relationship Id="rId22" Type="http://schemas.openxmlformats.org/officeDocument/2006/relationships/hyperlink" Target="https://next.codexis.cz/legislativa/CR20768" TargetMode="External"/><Relationship Id="rId27" Type="http://schemas.openxmlformats.org/officeDocument/2006/relationships/hyperlink" Target="https://next.codexis.cz/legislativa/CR67517" TargetMode="External"/><Relationship Id="rId30" Type="http://schemas.openxmlformats.org/officeDocument/2006/relationships/hyperlink" Target="https://next.codexis.cz/legislativa/CR89724" TargetMode="External"/><Relationship Id="rId35" Type="http://schemas.openxmlformats.org/officeDocument/2006/relationships/hyperlink" Target="https://next.codexis.cz/legislativa/CR18073" TargetMode="External"/><Relationship Id="rId43" Type="http://schemas.openxmlformats.org/officeDocument/2006/relationships/hyperlink" Target="https://next.codexis.cz/legislativa/CR18073" TargetMode="External"/><Relationship Id="rId48" Type="http://schemas.openxmlformats.org/officeDocument/2006/relationships/hyperlink" Target="https://next.codexis.cz/legislativa/CR18073" TargetMode="External"/><Relationship Id="rId56" Type="http://schemas.openxmlformats.org/officeDocument/2006/relationships/hyperlink" Target="https://next.codexis.cz/legislativa/CR18073" TargetMode="External"/><Relationship Id="rId64" Type="http://schemas.openxmlformats.org/officeDocument/2006/relationships/hyperlink" Target="https://next.codexis.cz/legislativa/CR1807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next.codexis.cz/legislativa/CR71197" TargetMode="External"/><Relationship Id="rId51" Type="http://schemas.openxmlformats.org/officeDocument/2006/relationships/hyperlink" Target="https://next.codexis.cz/legislativa/CR1807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ext.codexis.cz/legislativa/CR5175?workspaceId=a1779b67982ac9d5294fc48f1f7ec4b7" TargetMode="External"/><Relationship Id="rId17" Type="http://schemas.openxmlformats.org/officeDocument/2006/relationships/hyperlink" Target="https://next.codexis.cz/legislativa/CR63944" TargetMode="External"/><Relationship Id="rId25" Type="http://schemas.openxmlformats.org/officeDocument/2006/relationships/hyperlink" Target="https://next.codexis.cz/legislativa/CR43682" TargetMode="External"/><Relationship Id="rId33" Type="http://schemas.openxmlformats.org/officeDocument/2006/relationships/hyperlink" Target="https://next.codexis.cz/legislativa/CR18073" TargetMode="External"/><Relationship Id="rId38" Type="http://schemas.openxmlformats.org/officeDocument/2006/relationships/hyperlink" Target="https://next.codexis.cz/legislativa/CR18073" TargetMode="External"/><Relationship Id="rId46" Type="http://schemas.openxmlformats.org/officeDocument/2006/relationships/hyperlink" Target="https://next.codexis.cz/legislativa/CR18073" TargetMode="External"/><Relationship Id="rId59" Type="http://schemas.openxmlformats.org/officeDocument/2006/relationships/hyperlink" Target="https://next.codexis.cz/legislativa/CR18073" TargetMode="External"/><Relationship Id="rId67" Type="http://schemas.openxmlformats.org/officeDocument/2006/relationships/hyperlink" Target="https://next.codexis.cz/legislativa/CR18073" TargetMode="External"/><Relationship Id="rId20" Type="http://schemas.openxmlformats.org/officeDocument/2006/relationships/hyperlink" Target="https://next.codexis.cz/legislativa/CR129675" TargetMode="External"/><Relationship Id="rId41" Type="http://schemas.openxmlformats.org/officeDocument/2006/relationships/hyperlink" Target="https://next.codexis.cz/legislativa/CR18073" TargetMode="External"/><Relationship Id="rId54" Type="http://schemas.openxmlformats.org/officeDocument/2006/relationships/hyperlink" Target="https://next.codexis.cz/legislativa/CR18073" TargetMode="External"/><Relationship Id="rId62" Type="http://schemas.openxmlformats.org/officeDocument/2006/relationships/hyperlink" Target="https://next.codexis.cz/legislativa/CR18073" TargetMode="External"/><Relationship Id="rId1" Type="http://schemas.openxmlformats.org/officeDocument/2006/relationships/styles" Target="styles.xml"/><Relationship Id="rId6" Type="http://schemas.openxmlformats.org/officeDocument/2006/relationships/hyperlink" Target="https://next.codexis.cz/legislativa/CR17664?workspaceId=a1779b67982ac9d5294fc48f1f7ec4b7" TargetMode="External"/><Relationship Id="rId15" Type="http://schemas.openxmlformats.org/officeDocument/2006/relationships/hyperlink" Target="https://next.codexis.cz/legislativa/CR18569" TargetMode="External"/><Relationship Id="rId23" Type="http://schemas.openxmlformats.org/officeDocument/2006/relationships/hyperlink" Target="https://next.codexis.cz/legislativa/CR25988" TargetMode="External"/><Relationship Id="rId28" Type="http://schemas.openxmlformats.org/officeDocument/2006/relationships/hyperlink" Target="https://next.codexis.cz/legislativa/CR71105" TargetMode="External"/><Relationship Id="rId36" Type="http://schemas.openxmlformats.org/officeDocument/2006/relationships/hyperlink" Target="https://next.codexis.cz/legislativa/CR18073" TargetMode="External"/><Relationship Id="rId49" Type="http://schemas.openxmlformats.org/officeDocument/2006/relationships/hyperlink" Target="https://next.codexis.cz/legislativa/CR18073" TargetMode="External"/><Relationship Id="rId57" Type="http://schemas.openxmlformats.org/officeDocument/2006/relationships/hyperlink" Target="https://next.codexis.cz/legislativa/CR18073" TargetMode="External"/><Relationship Id="rId10" Type="http://schemas.openxmlformats.org/officeDocument/2006/relationships/hyperlink" Target="https://next.codexis.cz/legislativa/CR482?workspaceId=a1779b67982ac9d5294fc48f1f7ec4b7" TargetMode="External"/><Relationship Id="rId31" Type="http://schemas.openxmlformats.org/officeDocument/2006/relationships/hyperlink" Target="https://next.codexis.cz/legislativa/CR130335?workspaceId=a1779b67982ac9d5294fc48f1f7ec4b7" TargetMode="External"/><Relationship Id="rId44" Type="http://schemas.openxmlformats.org/officeDocument/2006/relationships/hyperlink" Target="https://next.codexis.cz/legislativa/CR18073" TargetMode="External"/><Relationship Id="rId52" Type="http://schemas.openxmlformats.org/officeDocument/2006/relationships/hyperlink" Target="https://next.codexis.cz/legislativa/CR18073" TargetMode="External"/><Relationship Id="rId60" Type="http://schemas.openxmlformats.org/officeDocument/2006/relationships/hyperlink" Target="https://next.codexis.cz/legislativa/CR18073" TargetMode="External"/><Relationship Id="rId65" Type="http://schemas.openxmlformats.org/officeDocument/2006/relationships/hyperlink" Target="https://next.codexis.cz/legislativa/CR18073" TargetMode="External"/><Relationship Id="rId4" Type="http://schemas.openxmlformats.org/officeDocument/2006/relationships/hyperlink" Target="https://next.codexis.cz/legislativa/CR482?workspaceId=a1779b67982ac9d5294fc48f1f7ec4b7" TargetMode="External"/><Relationship Id="rId9" Type="http://schemas.openxmlformats.org/officeDocument/2006/relationships/hyperlink" Target="https://next.codexis.cz/legislativa/CR482" TargetMode="External"/><Relationship Id="rId13" Type="http://schemas.openxmlformats.org/officeDocument/2006/relationships/hyperlink" Target="https://next.codexis.cz/legislativa/CR7658" TargetMode="External"/><Relationship Id="rId18" Type="http://schemas.openxmlformats.org/officeDocument/2006/relationships/hyperlink" Target="https://next.codexis.cz/legislativa/CR68548?workspaceId=a1779b67982ac9d5294fc48f1f7ec4b7" TargetMode="External"/><Relationship Id="rId39" Type="http://schemas.openxmlformats.org/officeDocument/2006/relationships/hyperlink" Target="https://next.codexis.cz/legislativa/CR18073" TargetMode="External"/><Relationship Id="rId34" Type="http://schemas.openxmlformats.org/officeDocument/2006/relationships/hyperlink" Target="https://next.codexis.cz/legislativa/CR18073" TargetMode="External"/><Relationship Id="rId50" Type="http://schemas.openxmlformats.org/officeDocument/2006/relationships/hyperlink" Target="https://next.codexis.cz/legislativa/CR18073" TargetMode="External"/><Relationship Id="rId55" Type="http://schemas.openxmlformats.org/officeDocument/2006/relationships/hyperlink" Target="https://next.codexis.cz/legislativa/CR1807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2219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Buzková Eva</dc:creator>
  <cp:keywords/>
  <dc:description/>
  <cp:lastModifiedBy>Buzková Eva</cp:lastModifiedBy>
  <cp:revision>1</cp:revision>
  <dcterms:created xsi:type="dcterms:W3CDTF">2024-05-06T04:16:00Z</dcterms:created>
  <dcterms:modified xsi:type="dcterms:W3CDTF">2024-05-06T04:17:00Z</dcterms:modified>
</cp:coreProperties>
</file>