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935" w:rsidRPr="00183935" w:rsidRDefault="00183935" w:rsidP="0018393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183935">
        <w:rPr>
          <w:rFonts w:ascii="var(--theme-font-family)" w:eastAsia="Times New Roman" w:hAnsi="var(--theme-font-family)" w:cs="Segoe UI"/>
          <w:b/>
          <w:bCs/>
          <w:color w:val="000000"/>
          <w:sz w:val="24"/>
          <w:szCs w:val="24"/>
          <w:lang w:eastAsia="cs-CZ"/>
        </w:rPr>
        <w:t xml:space="preserve">Předmětná </w:t>
      </w:r>
      <w:proofErr w:type="spellStart"/>
      <w:proofErr w:type="gramStart"/>
      <w:r w:rsidRPr="00183935">
        <w:rPr>
          <w:rFonts w:ascii="var(--theme-font-family)" w:eastAsia="Times New Roman" w:hAnsi="var(--theme-font-family)" w:cs="Segoe UI"/>
          <w:b/>
          <w:bCs/>
          <w:color w:val="000000"/>
          <w:sz w:val="24"/>
          <w:szCs w:val="24"/>
          <w:lang w:eastAsia="cs-CZ"/>
        </w:rPr>
        <w:t>hesla:</w:t>
      </w:r>
      <w:r w:rsidRPr="00183935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novela</w:t>
      </w:r>
      <w:proofErr w:type="spellEnd"/>
      <w:proofErr w:type="gramEnd"/>
      <w:r w:rsidRPr="00183935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 xml:space="preserve"> zákona - zákon o účetnictví----------------------------------------------------------------------------------------------------</w:t>
      </w:r>
    </w:p>
    <w:p w:rsidR="00183935" w:rsidRPr="00183935" w:rsidRDefault="00183935" w:rsidP="0018393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183935">
        <w:rPr>
          <w:rFonts w:ascii="var(--theme-font-family)" w:eastAsia="Times New Roman" w:hAnsi="var(--theme-font-family)" w:cs="Segoe UI"/>
          <w:b/>
          <w:bCs/>
          <w:color w:val="000000"/>
          <w:sz w:val="24"/>
          <w:szCs w:val="24"/>
          <w:lang w:eastAsia="cs-CZ"/>
        </w:rPr>
        <w:t>Plný autorský text:</w:t>
      </w:r>
    </w:p>
    <w:p w:rsidR="00183935" w:rsidRPr="00183935" w:rsidRDefault="00183935" w:rsidP="0018393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183935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Současný </w:t>
      </w:r>
      <w:hyperlink r:id="rId4" w:anchor="L1" w:history="1">
        <w:r w:rsidRPr="00183935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zákon o účetnictví</w:t>
        </w:r>
      </w:hyperlink>
      <w:r w:rsidRPr="00183935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 nepodléhá častým a zásadním novelizacím. Významnější novela přišla v roce 2016.</w:t>
      </w:r>
    </w:p>
    <w:p w:rsidR="00183935" w:rsidRPr="00183935" w:rsidRDefault="00183935" w:rsidP="0018393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183935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Tehdy došlo např. k zavedení kategorizace účetních jednotek, k novému uspořádání a označování položek v účetních výkazech, změně ve vykazování zřizovacích výdajů a mimořádných nákladů a výnosů, ke změně metody účtování změny stavu zásob vytvořených vlastní činností. Změny byly implementovány do praxe, a dále se pokračovalo několik let v zajetých kolejích.</w:t>
      </w:r>
    </w:p>
    <w:p w:rsidR="00183935" w:rsidRPr="00183935" w:rsidRDefault="00183935" w:rsidP="0018393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183935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Jak se Česká republika stále víc integruje do evropského prostoru, ať už jde o obchod či finance a investice, vyvstává naléhavá potřeba harmonizovat českou účetní legislativu s evropskou. Tento vývoj je neodvratitelný, a je tudíž nejvyšší čas jednat. Účetnictví je hlavním zdrojem ekonomických údajů o účetních jednotkách, a proto musí odpovídat aktuálním požadavkům uživatelů účetních informací a nelze přehlížet rostoucí význam mezinárodních standardů účetního výkaznictví i v našem regionu.</w:t>
      </w:r>
    </w:p>
    <w:p w:rsidR="00183935" w:rsidRPr="00183935" w:rsidRDefault="00183935" w:rsidP="0018393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183935">
        <w:rPr>
          <w:rFonts w:ascii="var(--theme-font-family)" w:eastAsia="Times New Roman" w:hAnsi="var(--theme-font-family)" w:cs="Segoe UI"/>
          <w:b/>
          <w:bCs/>
          <w:color w:val="000000"/>
          <w:sz w:val="24"/>
          <w:szCs w:val="24"/>
          <w:lang w:eastAsia="cs-CZ"/>
        </w:rPr>
        <w:t>Je žádoucí přeorientovat legislativu ze stanovování pouhých pravidel pro účtování k vyššímu cíli, kterým je poskytnutí návodu účetním jednotkám, jak relevantním způsobem zachycovat podstatu finančního stavu účetní jednotky.</w:t>
      </w:r>
    </w:p>
    <w:p w:rsidR="00183935" w:rsidRPr="00183935" w:rsidRDefault="00183935" w:rsidP="0018393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183935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Musíme si uvědomit, jaký je význam účetnictví a účetních informací, komu slouží. Informace z účetnictví slouží zejména vnějším uživatelům, kteří na základě těchto informací činí ekonomická rozhodnutí, investorům, kteří vyhodnocují příležitosti a rozhodují se, kam vložit peníze své i svých klientů. Pro tato rozhodnutí potřebují mít srovnatelné, spolehlivé a relevantní podklady.</w:t>
      </w:r>
    </w:p>
    <w:p w:rsidR="00183935" w:rsidRPr="00183935" w:rsidRDefault="00183935" w:rsidP="0018393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183935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Návrh </w:t>
      </w:r>
      <w:hyperlink r:id="rId5" w:anchor="L1" w:history="1">
        <w:r w:rsidRPr="00183935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zákona o účetnictví</w:t>
        </w:r>
      </w:hyperlink>
      <w:r w:rsidRPr="00183935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 byl připomínkován odbornou veřejností, připomínky zaslaly profesní organizace a instituce jakými jsou KDP, KAČR, Hospodářská komora, ČNB a další. Členové KCÚ dostali prostřednictvím Komory k prostudování návrh zákona a měli možnost se aktivně zapojit do tvorby nového předpisu zasláním připomínek, které byly následně prostřednictvím Svazu účetních ČR a NÚR předány na Ministerstvo financí ČR, a tím přispět k vyšší kvalitě normy, která se stane závaznou pro jejich profesi v každodenní práci. Připomínek je celá řada, ať už se týká změny názvosloví, nových definic, kritérií či zásadních změn. Jednoznačně lze říci, že je patrná snaha příklonu k mezinárodním standardům, ať už v zavedení koncepčního rámce účetnictví, současné hodnoty u dlouhodobých pohledávek a dluhů či funkční měny. Za pozitivní v tomto ohledu lze považovat také rozšíření použití IFRS pro vybrané účetní jednotky.</w:t>
      </w:r>
    </w:p>
    <w:p w:rsidR="00183935" w:rsidRPr="00183935" w:rsidRDefault="00183935" w:rsidP="0018393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183935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Měníte-li dlouho zaběhlá pravidla, narušujete ustálený komfort. Není se proto čemu divit, že některé změny vyvolaly bouřlivé reakce. Zmiňme například zvýšení limitů pro povinný audit. Na první dojem příznivá změna, z pohledu dotčených účetních jednotek, které tím "ušetří" náklady na auditora, však u uživatelů účetních informací vyvolává obavy o kvalitu účetních závěrek velikostně významnějších společností, nebudou-li zveřejňovaná data ověřena nezávislou profesní autoritou. Opomineme-li aspekt nezávislosti, na druhou stranu se otevírá prostor pro angažování certifikovaných účetních, kteří jsou do jisté míry garancí vyžadované kvality.</w:t>
      </w:r>
    </w:p>
    <w:p w:rsidR="00183935" w:rsidRPr="00183935" w:rsidRDefault="00183935" w:rsidP="0018393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183935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Diskutovaných rozporů, nejasností, nesouhlasů, nepochopeních a odlišných názorů na danou problematiku je nespočet a není cílem tohoto článku je všechny vyjmenovat, nicméně uveďme alespoň několik z nich.</w:t>
      </w:r>
    </w:p>
    <w:p w:rsidR="00183935" w:rsidRPr="00183935" w:rsidRDefault="00183935" w:rsidP="0018393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183935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 xml:space="preserve">Text zákona zavádí nové pojmy, které nejsou dostatečně vysvětlené, resp. obtížně srozumitelné, což může být problematické v jednoznačné aplikaci do účetní praxe, od níž se vyžaduje produkce srovnatelných výstupů, neboť lze očekávat názorové střety na </w:t>
      </w:r>
      <w:r w:rsidRPr="00183935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lastRenderedPageBreak/>
        <w:t>akademické bázi. Tato situace bude ve svém důsledku kontraproduktivní přinejmenším do doby, než se ustálí v přehršli výkladových dokumentů jeden vítězný.</w:t>
      </w:r>
    </w:p>
    <w:p w:rsidR="00183935" w:rsidRPr="00183935" w:rsidRDefault="00183935" w:rsidP="0018393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183935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Nově se setkáme se spojením "naběhlá hodnota", resp. "změna naběhlé hodnoty", která představuje pojem převzatý z českého překladu IFRS. V aktuální podobě návrhu zákona však tento pojem není vysvětlen, ani definován, ani neodkazuje na definici podle IFRS, jak se logicky nabízí. Je to jeden z bodů navrhovaných doplnění novely zákona.</w:t>
      </w:r>
    </w:p>
    <w:p w:rsidR="00183935" w:rsidRPr="00183935" w:rsidRDefault="00183935" w:rsidP="0018393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183935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Zákon zmiňuje "pod kontrolou". Význam slovního spojení s použitím slova "kontrola" sice lze v kontextu příslušného ustanovení dovodit z angličtiny převzatého smyslu ovládání (na rozdíl od smyslu ověření správnosti, který najdete zase na jiném místě zákona, nebo od činnosti kontrolního orgánu), ale sám o sobě, jeho míra či rozsah není nikde v zákoně konkretizován. S určitostí nesouvisí s vnitřním kontrolním systémem, kterému naopak nový zákon věnuje celý paragraf.</w:t>
      </w:r>
    </w:p>
    <w:p w:rsidR="00183935" w:rsidRPr="00183935" w:rsidRDefault="00183935" w:rsidP="0018393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183935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Mění se rozsah definice ročního úhrnu čistého obratu. Z celkových výnosů se nově omezuje pouze na výnosy z prodeje výrobků a zboží a poskytování služeb, jejímž záměrem je pravděpodobně eliminovat z tohoto parametru nepravidelné, mimořádné a výnosy z jiné než hlavní činnosti účetní jednotky.</w:t>
      </w:r>
    </w:p>
    <w:p w:rsidR="00183935" w:rsidRPr="00183935" w:rsidRDefault="00183935" w:rsidP="0018393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183935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Novou definicí je "účetní dluh", který se dále zkracuje jen na "dluh", který má však jiný význam než dluh v občanskoprávním smyslu. V pojetí nového </w:t>
      </w:r>
      <w:hyperlink r:id="rId6" w:anchor="L1" w:history="1">
        <w:r w:rsidRPr="00183935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zákona o účetnictví</w:t>
        </w:r>
      </w:hyperlink>
      <w:r w:rsidRPr="00183935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 tím dochází prakticky k nahrazení pojmu závazku ve smyslu cizího kapitálu. Závazkem je z pohledu účetnictví to, co účetní jednotka slíbila nebo k čemu se zavázala, přičemž může, ale také nemusí mít zatím povinnost plnit (platit). Je zřejmé, že časem bude v branži pojem dluhu zavedeným a jasným termínem a nebude se již mnohým plést s významem pohledávky, která je po splatnosti.</w:t>
      </w:r>
    </w:p>
    <w:p w:rsidR="00183935" w:rsidRPr="00183935" w:rsidRDefault="00183935" w:rsidP="0018393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183935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 xml:space="preserve">Účetní jednotky budou moci vést účetnictví též v jiné </w:t>
      </w:r>
      <w:proofErr w:type="gramStart"/>
      <w:r w:rsidRPr="00183935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měně</w:t>
      </w:r>
      <w:proofErr w:type="gramEnd"/>
      <w:r w:rsidRPr="00183935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 xml:space="preserve"> než je česká koruna (např. v EUR), pokud taková měna je funkční měnou, tj. v dané měně uskutečňují většinu svých ekonomických transakcí. Zákon totiž zavádí možnost použití cizí funkční měny, ve které účetní jednotka uskutečňuje převážnou část své činnosti.</w:t>
      </w:r>
    </w:p>
    <w:p w:rsidR="00183935" w:rsidRPr="00183935" w:rsidRDefault="00183935" w:rsidP="0018393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183935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Naopak příkladem harmonizace české a mezinárodní legislativy může být definice reálné hodnoty, u které se zákon v plném rozsahu odkazuje na jinou normu, a to přímo na "mezinárodní účetní standardy", čímž mají být myšleny přímo IFRS.</w:t>
      </w:r>
    </w:p>
    <w:p w:rsidR="00183935" w:rsidRPr="00183935" w:rsidRDefault="00183935" w:rsidP="0018393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183935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Návrh zákona ve velké míře odkazuje na prováděcí předpisy, zejm. vyhlášku ministerstva financí, jejichž znění, ani v podobě návrhu, dosud nebylo předloženo do připomínkovacího procesu odborné veřejnosti.</w:t>
      </w:r>
    </w:p>
    <w:p w:rsidR="00183935" w:rsidRPr="00183935" w:rsidRDefault="00183935" w:rsidP="0018393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183935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Závěrem lze konstatovat, že připravovaná novela </w:t>
      </w:r>
      <w:hyperlink r:id="rId7" w:anchor="L1" w:history="1">
        <w:r w:rsidRPr="00183935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zákona o účetnictví</w:t>
        </w:r>
      </w:hyperlink>
      <w:r w:rsidRPr="00183935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 by měla začít odstraňovat dlouhodobě kritizované nedostatky české účetní legislativy a výkaznictví tím, že se začne přibližovat evropské účetní legislativě, která je významně rozsáhlejší. To bezesporu zvýší nároky na kvalitu a kvalifikaci účetních. Vzhledem k tomu, že Komora certifikovaných účetních dbá na kontinuální profesní vzdělávání svých členů, nebude pro certifikované účetní změna ničím, co by je zaskočilo. Z toho lze dovodit, že by nemuselo dojít k významnému zvýšení dosavadních nákladů na vedení účetnictví a zpracovávání účetních výkazů u těch účetních jednotek, které služeb certifikovaných účetních již využívají. Budeme doufat, že konečná podoba zákona s prováděcími předpisy minimalizuje šedé zóny při jejich aplikaci na konkrétní situace v praxi a že se bude detailněji věnovat moderním trendům ve zpracování účetních dokladů.</w:t>
      </w:r>
    </w:p>
    <w:p w:rsidR="00AA1BEB" w:rsidRDefault="00AA1BEB">
      <w:bookmarkStart w:id="0" w:name="_GoBack"/>
      <w:bookmarkEnd w:id="0"/>
    </w:p>
    <w:sectPr w:rsidR="00AA1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ar(--theme-font-family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35"/>
    <w:rsid w:val="00183935"/>
    <w:rsid w:val="00AA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2A7F8-7728-42E8-9B07-8D455D11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5">
    <w:name w:val="s5"/>
    <w:basedOn w:val="Standardnpsmoodstavce"/>
    <w:rsid w:val="00183935"/>
  </w:style>
  <w:style w:type="character" w:customStyle="1" w:styleId="s1">
    <w:name w:val="s1"/>
    <w:basedOn w:val="Standardnpsmoodstavce"/>
    <w:rsid w:val="00183935"/>
  </w:style>
  <w:style w:type="character" w:customStyle="1" w:styleId="s15">
    <w:name w:val="s15"/>
    <w:basedOn w:val="Standardnpsmoodstavce"/>
    <w:rsid w:val="00183935"/>
  </w:style>
  <w:style w:type="character" w:customStyle="1" w:styleId="s30">
    <w:name w:val="s30"/>
    <w:basedOn w:val="Standardnpsmoodstavce"/>
    <w:rsid w:val="00183935"/>
  </w:style>
  <w:style w:type="character" w:styleId="Hypertextovodkaz">
    <w:name w:val="Hyperlink"/>
    <w:basedOn w:val="Standardnpsmoodstavce"/>
    <w:uiPriority w:val="99"/>
    <w:semiHidden/>
    <w:unhideWhenUsed/>
    <w:rsid w:val="001839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4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ext.codexis.cz/legislativa/CR4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xt.codexis.cz/legislativa/CR482" TargetMode="External"/><Relationship Id="rId5" Type="http://schemas.openxmlformats.org/officeDocument/2006/relationships/hyperlink" Target="https://next.codexis.cz/legislativa/CR482" TargetMode="External"/><Relationship Id="rId4" Type="http://schemas.openxmlformats.org/officeDocument/2006/relationships/hyperlink" Target="https://next.codexis.cz/legislativa/CR48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1082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Buzková Eva</dc:creator>
  <cp:keywords/>
  <dc:description/>
  <cp:lastModifiedBy>Buzková Eva</cp:lastModifiedBy>
  <cp:revision>1</cp:revision>
  <dcterms:created xsi:type="dcterms:W3CDTF">2023-05-03T07:06:00Z</dcterms:created>
  <dcterms:modified xsi:type="dcterms:W3CDTF">2023-05-03T07:07:00Z</dcterms:modified>
</cp:coreProperties>
</file>