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44" w:rsidRPr="00C84644" w:rsidRDefault="00C84644" w:rsidP="00C84644">
      <w:pPr>
        <w:spacing w:after="24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>25</w:t>
      </w:r>
      <w:r w:rsidRPr="00C84644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br/>
      </w: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  <w:r w:rsidRPr="00C84644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>ZÁKON</w:t>
      </w:r>
      <w:r w:rsidRPr="00C84644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br/>
      </w: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ze dne 17. ledna 2017</w:t>
      </w: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  <w:r w:rsidRPr="00C84644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>o sběru vybraných údajů pro účely monitorování a řízení veřejných financí</w:t>
      </w:r>
    </w:p>
    <w:p w:rsidR="00C84644" w:rsidRPr="00C84644" w:rsidRDefault="00C84644" w:rsidP="00C84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</w:p>
    <w:p w:rsidR="00C84644" w:rsidRPr="00C84644" w:rsidRDefault="00C84644" w:rsidP="00C84644">
      <w:pPr>
        <w:spacing w:before="240" w:after="240" w:line="218" w:lineRule="atLeast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        Parlament se usnesl na tomto zákoně České republiky:</w:t>
      </w:r>
    </w:p>
    <w:p w:rsidR="00C84644" w:rsidRPr="00C84644" w:rsidRDefault="00C84644" w:rsidP="00C84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  <w:bookmarkStart w:id="0" w:name="P001"/>
      <w:bookmarkEnd w:id="0"/>
    </w:p>
    <w:p w:rsidR="00C84644" w:rsidRPr="00C84644" w:rsidRDefault="00C84644" w:rsidP="00C8464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§ 1</w:t>
      </w:r>
    </w:p>
    <w:p w:rsidR="00C84644" w:rsidRPr="00C84644" w:rsidRDefault="00C84644" w:rsidP="00C84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</w:p>
    <w:p w:rsidR="00C84644" w:rsidRPr="00C84644" w:rsidRDefault="00C84644" w:rsidP="00C8464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>Předmět úpravy</w:t>
      </w:r>
    </w:p>
    <w:p w:rsidR="00C84644" w:rsidRPr="00C84644" w:rsidRDefault="00C84644" w:rsidP="00C84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</w:p>
    <w:p w:rsidR="00C84644" w:rsidRPr="00C84644" w:rsidRDefault="00C84644" w:rsidP="00C84644">
      <w:pPr>
        <w:spacing w:before="240" w:after="240" w:line="218" w:lineRule="atLeast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        Tento zákon upravuje povinnost některých osob nebo jednotek sektoru veřejných institucí</w:t>
      </w:r>
      <w:hyperlink r:id="rId4" w:anchor="note_1" w:tooltip="1) Zákon č. 23/2017 Sb., o pravidlech rozpočtové odpovědnosti." w:history="1">
        <w:r w:rsidRPr="00C84644">
          <w:rPr>
            <w:rFonts w:ascii="Arial" w:eastAsia="Times New Roman" w:hAnsi="Arial" w:cs="Arial"/>
            <w:color w:val="CC3300"/>
            <w:sz w:val="17"/>
            <w:vertAlign w:val="superscript"/>
            <w:lang w:eastAsia="cs-CZ"/>
          </w:rPr>
          <w:t>1</w:t>
        </w:r>
        <w:r w:rsidRPr="00C84644">
          <w:rPr>
            <w:rFonts w:ascii="Arial" w:eastAsia="Times New Roman" w:hAnsi="Arial" w:cs="Arial"/>
            <w:color w:val="CC3300"/>
            <w:sz w:val="17"/>
            <w:lang w:eastAsia="cs-CZ"/>
          </w:rPr>
          <w:t>)</w:t>
        </w:r>
      </w:hyperlink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předkládat Ministerstvu financí (dále jen „ministerstvo“) vybrané údaje o svých příjmech a výdajích pro účely monitorování a řízení veřejných financí</w:t>
      </w:r>
      <w:hyperlink r:id="rId5" w:anchor="note_2" w:tooltip="2) Čl. 3 odst. 2 písm. a) směrnice Rady 2011/85/EU ze dne 8. listopadu 2011 o požadavcích na rozpočtové rámce členských států." w:history="1">
        <w:r w:rsidRPr="00C84644">
          <w:rPr>
            <w:rFonts w:ascii="Arial" w:eastAsia="Times New Roman" w:hAnsi="Arial" w:cs="Arial"/>
            <w:color w:val="CC3300"/>
            <w:sz w:val="17"/>
            <w:vertAlign w:val="superscript"/>
            <w:lang w:eastAsia="cs-CZ"/>
          </w:rPr>
          <w:t>2</w:t>
        </w:r>
        <w:r w:rsidRPr="00C84644">
          <w:rPr>
            <w:rFonts w:ascii="Arial" w:eastAsia="Times New Roman" w:hAnsi="Arial" w:cs="Arial"/>
            <w:color w:val="CC3300"/>
            <w:sz w:val="17"/>
            <w:lang w:eastAsia="cs-CZ"/>
          </w:rPr>
          <w:t>)</w:t>
        </w:r>
      </w:hyperlink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.</w:t>
      </w:r>
    </w:p>
    <w:p w:rsidR="00C84644" w:rsidRPr="00C84644" w:rsidRDefault="00C84644" w:rsidP="00C84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  <w:bookmarkStart w:id="1" w:name="P002"/>
      <w:bookmarkEnd w:id="1"/>
    </w:p>
    <w:p w:rsidR="00C84644" w:rsidRPr="00C84644" w:rsidRDefault="00C84644" w:rsidP="00C8464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§ 2</w:t>
      </w:r>
    </w:p>
    <w:p w:rsidR="00C84644" w:rsidRPr="00C84644" w:rsidRDefault="00C84644" w:rsidP="00C84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</w:p>
    <w:p w:rsidR="00C84644" w:rsidRPr="00C84644" w:rsidRDefault="00C84644" w:rsidP="00C8464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>Rozsah působnosti</w:t>
      </w:r>
    </w:p>
    <w:p w:rsidR="00C84644" w:rsidRPr="00C84644" w:rsidRDefault="00C84644" w:rsidP="00C84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</w:p>
    <w:p w:rsidR="00C84644" w:rsidRPr="00C84644" w:rsidRDefault="00C84644" w:rsidP="00C84644">
      <w:pPr>
        <w:spacing w:before="240" w:after="240" w:line="218" w:lineRule="atLeast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        Osobou nebo jednotkou ze sektoru veřejných institucí předkládající vybrané údaje podle tohoto zákona (dále jen „dotčená osoba“) je</w:t>
      </w:r>
    </w:p>
    <w:p w:rsidR="00C84644" w:rsidRPr="00C84644" w:rsidRDefault="00C84644" w:rsidP="00C84644">
      <w:pPr>
        <w:spacing w:before="40" w:after="40" w:line="218" w:lineRule="atLeast"/>
        <w:ind w:left="640" w:hanging="40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a)   organizační složka státu,</w:t>
      </w:r>
    </w:p>
    <w:p w:rsidR="00C84644" w:rsidRPr="00C84644" w:rsidRDefault="00C84644" w:rsidP="00C84644">
      <w:pPr>
        <w:spacing w:before="40" w:after="40" w:line="218" w:lineRule="atLeast"/>
        <w:ind w:left="640" w:hanging="40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b)   státní fond,</w:t>
      </w:r>
    </w:p>
    <w:p w:rsidR="00C84644" w:rsidRPr="00C84644" w:rsidRDefault="00C84644" w:rsidP="00C84644">
      <w:pPr>
        <w:spacing w:before="40" w:after="40" w:line="218" w:lineRule="atLeast"/>
        <w:ind w:left="640" w:hanging="40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c)   státní příspěvková organizace,</w:t>
      </w:r>
    </w:p>
    <w:p w:rsidR="00C84644" w:rsidRPr="00C84644" w:rsidRDefault="00C84644" w:rsidP="00C84644">
      <w:pPr>
        <w:spacing w:before="40" w:after="40" w:line="218" w:lineRule="atLeast"/>
        <w:ind w:left="640" w:hanging="40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d)   veřejná vysoká škola,</w:t>
      </w:r>
    </w:p>
    <w:p w:rsidR="00C84644" w:rsidRPr="00C84644" w:rsidRDefault="00C84644" w:rsidP="00C84644">
      <w:pPr>
        <w:spacing w:before="40" w:after="40" w:line="218" w:lineRule="atLeast"/>
        <w:ind w:left="640" w:hanging="40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e)   veřejná výzkumná instituce zřízená Českou republikou,</w:t>
      </w:r>
    </w:p>
    <w:p w:rsidR="00C84644" w:rsidRPr="00C84644" w:rsidRDefault="00C84644" w:rsidP="00C84644">
      <w:pPr>
        <w:spacing w:before="40" w:after="40" w:line="218" w:lineRule="atLeast"/>
        <w:ind w:left="640" w:hanging="40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f)    územní samosprávný celek,</w:t>
      </w:r>
    </w:p>
    <w:p w:rsidR="00C84644" w:rsidRPr="00C84644" w:rsidRDefault="00C84644" w:rsidP="00C84644">
      <w:pPr>
        <w:spacing w:before="40" w:after="40" w:line="218" w:lineRule="atLeast"/>
        <w:ind w:left="640" w:hanging="40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g)   dobrovolný svazek obcí,</w:t>
      </w:r>
    </w:p>
    <w:p w:rsidR="00C84644" w:rsidRPr="00C84644" w:rsidRDefault="00C84644" w:rsidP="00C84644">
      <w:pPr>
        <w:spacing w:before="40" w:after="40" w:line="218" w:lineRule="atLeast"/>
        <w:ind w:left="640" w:hanging="40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h)   regionální rada regionů soudržnosti,</w:t>
      </w:r>
    </w:p>
    <w:p w:rsidR="00C84644" w:rsidRPr="00C84644" w:rsidRDefault="00C84644" w:rsidP="00C84644">
      <w:pPr>
        <w:spacing w:before="40" w:after="40" w:line="218" w:lineRule="atLeast"/>
        <w:ind w:left="640" w:hanging="40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i)    příspěvková organizace zřízená územním samosprávným celkem, dobrovolným svazkem obcí nebo městskou částí hlavního města Prahy,</w:t>
      </w:r>
    </w:p>
    <w:p w:rsidR="00C84644" w:rsidRPr="00C84644" w:rsidRDefault="00C84644" w:rsidP="00C84644">
      <w:pPr>
        <w:spacing w:before="40" w:after="40" w:line="218" w:lineRule="atLeast"/>
        <w:ind w:left="640" w:hanging="40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j)    jiný ekonomický subjekt, který splňuje znaky instituce sektoru vládních institucí podle přímo použitelného předpisu Evropské unie upravujícího Evropský systém národních a regionálních účtů v Evropské unii</w:t>
      </w:r>
      <w:hyperlink r:id="rId6" w:anchor="note_3" w:tooltip="3) Nařízení Evropského parlamentu a Rady (EU) č. 549/2013 ze dne 21. května 2013 o Evropském systému národních a regionálních účtů v Evropské unii." w:history="1">
        <w:r w:rsidRPr="00C84644">
          <w:rPr>
            <w:rFonts w:ascii="Arial" w:eastAsia="Times New Roman" w:hAnsi="Arial" w:cs="Arial"/>
            <w:color w:val="CC3300"/>
            <w:sz w:val="17"/>
            <w:vertAlign w:val="superscript"/>
            <w:lang w:eastAsia="cs-CZ"/>
          </w:rPr>
          <w:t>3</w:t>
        </w:r>
        <w:r w:rsidRPr="00C84644">
          <w:rPr>
            <w:rFonts w:ascii="Arial" w:eastAsia="Times New Roman" w:hAnsi="Arial" w:cs="Arial"/>
            <w:color w:val="CC3300"/>
            <w:sz w:val="17"/>
            <w:lang w:eastAsia="cs-CZ"/>
          </w:rPr>
          <w:t>)</w:t>
        </w:r>
      </w:hyperlink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a který je zároveň jako jednotka institucionálního sektoru ústředních vládních institucí zapsán v registru ekonomických subjektů, který vede Český statistický úřad podle zákona upravujícího státní statistickou službu</w:t>
      </w:r>
      <w:hyperlink r:id="rId7" w:anchor="note_4" w:tooltip="4) Zákon č. 89/1995 Sb., o státní statistické službě, ve znění pozdějších předpisů." w:history="1">
        <w:r w:rsidRPr="00C84644">
          <w:rPr>
            <w:rFonts w:ascii="Arial" w:eastAsia="Times New Roman" w:hAnsi="Arial" w:cs="Arial"/>
            <w:color w:val="CC3300"/>
            <w:sz w:val="17"/>
            <w:vertAlign w:val="superscript"/>
            <w:lang w:eastAsia="cs-CZ"/>
          </w:rPr>
          <w:t>4</w:t>
        </w:r>
        <w:r w:rsidRPr="00C84644">
          <w:rPr>
            <w:rFonts w:ascii="Arial" w:eastAsia="Times New Roman" w:hAnsi="Arial" w:cs="Arial"/>
            <w:color w:val="CC3300"/>
            <w:sz w:val="17"/>
            <w:lang w:eastAsia="cs-CZ"/>
          </w:rPr>
          <w:t>)</w:t>
        </w:r>
      </w:hyperlink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, a to vždy k 1. lednu příslušného roku, nebo</w:t>
      </w:r>
    </w:p>
    <w:p w:rsidR="00C84644" w:rsidRPr="00C84644" w:rsidRDefault="00C84644" w:rsidP="00C84644">
      <w:pPr>
        <w:spacing w:before="40" w:after="40" w:line="218" w:lineRule="atLeast"/>
        <w:ind w:left="640" w:hanging="40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k)   jiný ekonomický subjekt, který splňuje znaky instituce sektoru vládních institucí podle přímo použitelného předpisu Evropské unie upravujícího Evropský systém národních a regionálních účtů v Evropské unii</w:t>
      </w:r>
      <w:hyperlink r:id="rId8" w:anchor="note_3" w:tooltip="Nařízení Evropského parlamentu a Rady (EU) č. 549/2013 ze dne 21. května 2013 o Evropském systému národních a regionálních účtů v Evropské unii." w:history="1">
        <w:r w:rsidRPr="00C84644">
          <w:rPr>
            <w:rFonts w:ascii="Arial" w:eastAsia="Times New Roman" w:hAnsi="Arial" w:cs="Arial"/>
            <w:color w:val="CC3300"/>
            <w:sz w:val="17"/>
            <w:vertAlign w:val="superscript"/>
            <w:lang w:eastAsia="cs-CZ"/>
          </w:rPr>
          <w:t>3</w:t>
        </w:r>
        <w:r w:rsidRPr="00C84644">
          <w:rPr>
            <w:rFonts w:ascii="Arial" w:eastAsia="Times New Roman" w:hAnsi="Arial" w:cs="Arial"/>
            <w:color w:val="CC3300"/>
            <w:sz w:val="17"/>
            <w:lang w:eastAsia="cs-CZ"/>
          </w:rPr>
          <w:t>)</w:t>
        </w:r>
      </w:hyperlink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, který je jako jednotka institucionálního sektoru místních vládních institucí zapsán v registru ekonomických subjektů uvedeném v písmenu j), a to vždy k 1. lednu příslušného roku, a který je zároveň poskytovatelem zdravotních služeb nebo provozovatelem městské hromadné dopravy.</w:t>
      </w:r>
    </w:p>
    <w:p w:rsidR="00C84644" w:rsidRPr="00C84644" w:rsidRDefault="00C84644" w:rsidP="00C84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  <w:bookmarkStart w:id="2" w:name="P003"/>
      <w:bookmarkEnd w:id="2"/>
    </w:p>
    <w:p w:rsidR="00C84644" w:rsidRPr="00C84644" w:rsidRDefault="00C84644" w:rsidP="00C8464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§ 3</w:t>
      </w:r>
    </w:p>
    <w:p w:rsidR="00C84644" w:rsidRPr="00C84644" w:rsidRDefault="00C84644" w:rsidP="00C84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</w:p>
    <w:p w:rsidR="00C84644" w:rsidRPr="00C84644" w:rsidRDefault="00C84644" w:rsidP="00C8464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lastRenderedPageBreak/>
        <w:t>Měsíční údaje o příjmech a výdajích</w:t>
      </w:r>
    </w:p>
    <w:p w:rsidR="00C84644" w:rsidRPr="00C84644" w:rsidRDefault="00C84644" w:rsidP="00C84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</w:p>
    <w:p w:rsidR="00C84644" w:rsidRPr="00C84644" w:rsidRDefault="00C84644" w:rsidP="00C84644">
      <w:pPr>
        <w:spacing w:before="240" w:after="240" w:line="218" w:lineRule="atLeast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        (1)  Dotčená osoba uvedená v</w:t>
      </w:r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hyperlink r:id="rId9" w:anchor="P002" w:tooltip="§ 2 Rozsah působnosti" w:history="1">
        <w:r w:rsidRPr="00C84644">
          <w:rPr>
            <w:rFonts w:ascii="Arial" w:eastAsia="Times New Roman" w:hAnsi="Arial" w:cs="Arial"/>
            <w:color w:val="CC3300"/>
            <w:sz w:val="17"/>
            <w:lang w:eastAsia="cs-CZ"/>
          </w:rPr>
          <w:t>§ 2</w:t>
        </w:r>
      </w:hyperlink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písm. c) až e) a j) předkládá měsíční údaje o svých příjmech a výdajích vždy ve stavu k poslednímu dni příslušného kalendářního měsíce, a to do patnáctého dne následujícího kalendářního měsíce. Strukturu předkládaných údajů stanoví ministerstvo vyhláškou.</w:t>
      </w:r>
    </w:p>
    <w:p w:rsidR="00C84644" w:rsidRPr="00C84644" w:rsidRDefault="00C84644" w:rsidP="00C84644">
      <w:pPr>
        <w:spacing w:before="240" w:after="240" w:line="218" w:lineRule="atLeast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        (2)  Pokud dotčená osoba nesplní řádně svoji povinnost podle odstavce  1, ministerstvo ji vyzve, aby ve lhůtě 3 pracovních dnů ode dne doručení této výzvy provedla nápravu nebo podala vysvětlení.</w:t>
      </w:r>
    </w:p>
    <w:p w:rsidR="00C84644" w:rsidRPr="00C84644" w:rsidRDefault="00C84644" w:rsidP="00C84644">
      <w:pPr>
        <w:spacing w:before="240" w:after="240" w:line="218" w:lineRule="atLeast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        (3)  Dotčená osoba je od povinnosti podle odstavce  1 osvobozena, pokud průměrná výše jejích celkových ročních nákladů podle výkazu zisku a ztráty za poslední 2 kalendářní roky, za které jsou údaje účetní závěrky</w:t>
      </w:r>
      <w:hyperlink r:id="rId10" w:anchor="note_5" w:tooltip="5) § 18 odst. 1 zákona č. 563/1991 Sb., o účetnictví, ve znění pozdějších předpisů." w:history="1">
        <w:r w:rsidRPr="00C84644">
          <w:rPr>
            <w:rFonts w:ascii="Arial" w:eastAsia="Times New Roman" w:hAnsi="Arial" w:cs="Arial"/>
            <w:color w:val="CC3300"/>
            <w:sz w:val="17"/>
            <w:vertAlign w:val="superscript"/>
            <w:lang w:eastAsia="cs-CZ"/>
          </w:rPr>
          <w:t>5</w:t>
        </w:r>
        <w:r w:rsidRPr="00C84644">
          <w:rPr>
            <w:rFonts w:ascii="Arial" w:eastAsia="Times New Roman" w:hAnsi="Arial" w:cs="Arial"/>
            <w:color w:val="CC3300"/>
            <w:sz w:val="17"/>
            <w:lang w:eastAsia="cs-CZ"/>
          </w:rPr>
          <w:t>)</w:t>
        </w:r>
      </w:hyperlink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k dispozici, nedosahuje částky, kterou stanoví ministerstvo vyhláškou, a to maximálně do výše 0,01 % nominálního hrubého domácího produktu za předchozí kalendářní rok, který je v běžném roce naposledy zveřejněn Českým statistickým úřadem.</w:t>
      </w:r>
    </w:p>
    <w:p w:rsidR="00C84644" w:rsidRPr="00C84644" w:rsidRDefault="00C84644" w:rsidP="00C84644">
      <w:pPr>
        <w:spacing w:before="240" w:after="240" w:line="218" w:lineRule="atLeast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        (4)  Dotčená osoba podle odstavce  3 postupuje při předkládání údajů o svých příjmech a výdajích podle</w:t>
      </w:r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hyperlink r:id="rId11" w:anchor="P004" w:tooltip="§ 4 Čtvrtletní údaje o příjmech a výdajích" w:history="1">
        <w:r w:rsidRPr="00C84644">
          <w:rPr>
            <w:rFonts w:ascii="Arial" w:eastAsia="Times New Roman" w:hAnsi="Arial" w:cs="Arial"/>
            <w:color w:val="CC3300"/>
            <w:sz w:val="17"/>
            <w:lang w:eastAsia="cs-CZ"/>
          </w:rPr>
          <w:t>§ 4</w:t>
        </w:r>
      </w:hyperlink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.</w:t>
      </w:r>
    </w:p>
    <w:p w:rsidR="00C84644" w:rsidRPr="00C84644" w:rsidRDefault="00C84644" w:rsidP="00C84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  <w:bookmarkStart w:id="3" w:name="P004"/>
      <w:bookmarkEnd w:id="3"/>
    </w:p>
    <w:p w:rsidR="00C84644" w:rsidRPr="00C84644" w:rsidRDefault="00C84644" w:rsidP="00C8464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§ 4</w:t>
      </w:r>
    </w:p>
    <w:p w:rsidR="00C84644" w:rsidRPr="00C84644" w:rsidRDefault="00C84644" w:rsidP="00C84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</w:p>
    <w:p w:rsidR="00C84644" w:rsidRPr="00C84644" w:rsidRDefault="00C84644" w:rsidP="00C8464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>Čtvrtletní údaje o příjmech a výdajích</w:t>
      </w:r>
    </w:p>
    <w:p w:rsidR="00C84644" w:rsidRPr="00C84644" w:rsidRDefault="00C84644" w:rsidP="00C84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</w:p>
    <w:p w:rsidR="00C84644" w:rsidRPr="00C84644" w:rsidRDefault="00C84644" w:rsidP="00C84644">
      <w:pPr>
        <w:spacing w:before="240" w:after="240" w:line="218" w:lineRule="atLeast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        (1)  Dotčená osoba uvedená v</w:t>
      </w:r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hyperlink r:id="rId12" w:anchor="P002" w:tooltip="§ 2 Rozsah působnosti" w:history="1">
        <w:r w:rsidRPr="00C84644">
          <w:rPr>
            <w:rFonts w:ascii="Arial" w:eastAsia="Times New Roman" w:hAnsi="Arial" w:cs="Arial"/>
            <w:color w:val="CC3300"/>
            <w:sz w:val="17"/>
            <w:lang w:eastAsia="cs-CZ"/>
          </w:rPr>
          <w:t>§ 2</w:t>
        </w:r>
      </w:hyperlink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písm. k) předkládá čtvrtletní údaje o svých příjmech a výdajích vždy ve stavu k poslednímu dni příslušného kalendářního čtvrtletí, a to do 30 dnů po uplynutí prvního, druhého nebo třetího čtvrtletí; za čtvrté čtvrtletí předkládá tyto údaje do 25. února následujícího kalendářního roku. Strukturu předkládaných údajů stanoví ministerstvo vyhláškou.</w:t>
      </w:r>
    </w:p>
    <w:p w:rsidR="00C84644" w:rsidRPr="00C84644" w:rsidRDefault="00C84644" w:rsidP="00C84644">
      <w:pPr>
        <w:spacing w:before="240" w:after="240" w:line="218" w:lineRule="atLeast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        (2)  Pokud dotčená osoba nesplní řádně svoji povinnost podle odstavce  1, ministerstvo ji vyzve, aby ve lhůtě 10 pracovních dnů ode dne doručení této výzvy provedla nápravu nebo podala vysvětlení.</w:t>
      </w:r>
    </w:p>
    <w:p w:rsidR="00C84644" w:rsidRPr="00C84644" w:rsidRDefault="00C84644" w:rsidP="00C84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  <w:bookmarkStart w:id="4" w:name="P005"/>
      <w:bookmarkEnd w:id="4"/>
    </w:p>
    <w:p w:rsidR="00C84644" w:rsidRPr="00C84644" w:rsidRDefault="00C84644" w:rsidP="00C8464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§ 5</w:t>
      </w:r>
    </w:p>
    <w:p w:rsidR="00C84644" w:rsidRPr="00C84644" w:rsidRDefault="00C84644" w:rsidP="00C84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</w:p>
    <w:p w:rsidR="00C84644" w:rsidRPr="00C84644" w:rsidRDefault="00C84644" w:rsidP="00C8464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>Roční údaje o poskytnutých garancích</w:t>
      </w:r>
    </w:p>
    <w:p w:rsidR="00C84644" w:rsidRPr="00C84644" w:rsidRDefault="00C84644" w:rsidP="00C84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</w:p>
    <w:p w:rsidR="00C84644" w:rsidRPr="00C84644" w:rsidRDefault="00C84644" w:rsidP="00C84644">
      <w:pPr>
        <w:spacing w:before="240" w:after="240" w:line="218" w:lineRule="atLeast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        (1)  Dotčená osoba uvedená v</w:t>
      </w:r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hyperlink r:id="rId13" w:anchor="P002" w:tooltip="§ 2 Rozsah působnosti" w:history="1">
        <w:r w:rsidRPr="00C84644">
          <w:rPr>
            <w:rFonts w:ascii="Arial" w:eastAsia="Times New Roman" w:hAnsi="Arial" w:cs="Arial"/>
            <w:color w:val="CC3300"/>
            <w:sz w:val="17"/>
            <w:lang w:eastAsia="cs-CZ"/>
          </w:rPr>
          <w:t>§ 2</w:t>
        </w:r>
      </w:hyperlink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písm. b), f) až h) a k) předkládá údaje o svých podmíněných závazcích z poskytnutých garancí jednou ročně ve stavu k poslednímu dni příslušného kalendářního roku, a to do 25. února následujícího kalendářního roku. Strukturu předkládaných údajů stanoví ministerstvo vyhláškou.</w:t>
      </w:r>
    </w:p>
    <w:p w:rsidR="00C84644" w:rsidRPr="00C84644" w:rsidRDefault="00C84644" w:rsidP="00C84644">
      <w:pPr>
        <w:spacing w:before="240" w:after="240" w:line="218" w:lineRule="atLeast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        (2)  Pokud dotčená osoba nesplní řádně svoji povinnost podle odstavce  1, ministerstvo ji vyzve, aby ve lhůtě 10 pracovních dnů ode dne doručení této výzvy provedla nápravu nebo podala vysvětlení.</w:t>
      </w:r>
    </w:p>
    <w:p w:rsidR="00C84644" w:rsidRPr="00C84644" w:rsidRDefault="00C84644" w:rsidP="00C84644">
      <w:pPr>
        <w:spacing w:before="240" w:after="240" w:line="218" w:lineRule="atLeast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        (3)  Garancemi se pro účely tohoto zákona rozumí</w:t>
      </w:r>
    </w:p>
    <w:p w:rsidR="00C84644" w:rsidRPr="00C84644" w:rsidRDefault="00C84644" w:rsidP="00C84644">
      <w:pPr>
        <w:spacing w:before="40" w:after="40" w:line="218" w:lineRule="atLeast"/>
        <w:ind w:left="640" w:hanging="40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a)   ručení nebo finanční záruka podle občanského zákoníku,</w:t>
      </w:r>
    </w:p>
    <w:p w:rsidR="00C84644" w:rsidRPr="00C84644" w:rsidRDefault="00C84644" w:rsidP="00C84644">
      <w:pPr>
        <w:spacing w:before="40" w:after="40" w:line="218" w:lineRule="atLeast"/>
        <w:ind w:left="640" w:hanging="40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b)   směnečné rukojemství podle zákona upravujícího směnky, nebo</w:t>
      </w:r>
    </w:p>
    <w:p w:rsidR="00C84644" w:rsidRPr="00C84644" w:rsidRDefault="00C84644" w:rsidP="00C84644">
      <w:pPr>
        <w:spacing w:before="40" w:after="40" w:line="218" w:lineRule="atLeast"/>
        <w:ind w:left="640" w:hanging="40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c)   záruka poskytnutá Českou republikou na základě jiného zákona.</w:t>
      </w:r>
    </w:p>
    <w:p w:rsidR="00C84644" w:rsidRPr="00C84644" w:rsidRDefault="00C84644" w:rsidP="00C84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  <w:bookmarkStart w:id="5" w:name="P006"/>
      <w:bookmarkEnd w:id="5"/>
    </w:p>
    <w:p w:rsidR="00C84644" w:rsidRPr="00C84644" w:rsidRDefault="00C84644" w:rsidP="00C8464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§ 6</w:t>
      </w:r>
    </w:p>
    <w:p w:rsidR="00C84644" w:rsidRPr="00C84644" w:rsidRDefault="00C84644" w:rsidP="00C84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lastRenderedPageBreak/>
        <w:br/>
      </w:r>
    </w:p>
    <w:p w:rsidR="00C84644" w:rsidRPr="00C84644" w:rsidRDefault="00C84644" w:rsidP="00C8464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>Roční údaje o projektech partnerství veřejného a soukromého sektoru</w:t>
      </w:r>
    </w:p>
    <w:p w:rsidR="00C84644" w:rsidRPr="00C84644" w:rsidRDefault="00C84644" w:rsidP="00C84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</w:p>
    <w:p w:rsidR="00C84644" w:rsidRPr="00C84644" w:rsidRDefault="00C84644" w:rsidP="00C84644">
      <w:pPr>
        <w:spacing w:before="240" w:after="240" w:line="218" w:lineRule="atLeast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        (1)  Dotčená osoba uvedená v</w:t>
      </w:r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hyperlink r:id="rId14" w:anchor="P002" w:tooltip="§ 2 Rozsah působnosti" w:history="1">
        <w:r w:rsidRPr="00C84644">
          <w:rPr>
            <w:rFonts w:ascii="Arial" w:eastAsia="Times New Roman" w:hAnsi="Arial" w:cs="Arial"/>
            <w:color w:val="CC3300"/>
            <w:sz w:val="17"/>
            <w:lang w:eastAsia="cs-CZ"/>
          </w:rPr>
          <w:t>§ 2</w:t>
        </w:r>
      </w:hyperlink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písm. a) až g), i) a k) předkládá údaje o svých projektech partnerství veřejného a soukromého sektoru jednou ročně ve stavu k poslednímu dni příslušného kalendářního roku, a to do 25. února následujícího kalendářního roku. Strukturu předkládaných údajů stanoví ministerstvo vyhláškou.</w:t>
      </w:r>
    </w:p>
    <w:p w:rsidR="00C84644" w:rsidRPr="00C84644" w:rsidRDefault="00C84644" w:rsidP="00C84644">
      <w:pPr>
        <w:spacing w:before="240" w:after="240" w:line="218" w:lineRule="atLeast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        (2)  Pokud dotčená osoba nesplní řádně svoji povinnost podle odstavce  1, ministerstvo ji vyzve, aby ve lhůtě 10 pracovních dnů ode dne doručení této výzvy provedla nápravu nebo podala vysvětlení.</w:t>
      </w:r>
    </w:p>
    <w:p w:rsidR="00C84644" w:rsidRPr="00C84644" w:rsidRDefault="00C84644" w:rsidP="00C84644">
      <w:pPr>
        <w:spacing w:before="240" w:after="240" w:line="218" w:lineRule="atLeast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        (3)  Projekty partnerství veřejného a soukromého sektoru se pro účely tohoto zákona rozumí veřejné zakázky a koncese o předpokládané hodnotě 300 000 </w:t>
      </w:r>
      <w:proofErr w:type="spellStart"/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000</w:t>
      </w:r>
      <w:proofErr w:type="spellEnd"/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 Kč a vyšší podle zákona upravujícího zadávání veřejných zakázek, jejichž předmětem je využití zdrojů a schopností osob soukromého sektoru při zajištění veřejné infrastruktury</w:t>
      </w:r>
      <w:hyperlink r:id="rId15" w:anchor="note_6" w:tooltip="6) § 2 odst. 1 písm. k) zákona č. 183/2006 Sb., o územním plánování a stavebním řádu (stavební zákon), ve znění pozdějších předpisů." w:history="1">
        <w:r w:rsidRPr="00C84644">
          <w:rPr>
            <w:rFonts w:ascii="Arial" w:eastAsia="Times New Roman" w:hAnsi="Arial" w:cs="Arial"/>
            <w:color w:val="CC3300"/>
            <w:sz w:val="17"/>
            <w:vertAlign w:val="superscript"/>
            <w:lang w:eastAsia="cs-CZ"/>
          </w:rPr>
          <w:t>6</w:t>
        </w:r>
        <w:r w:rsidRPr="00C84644">
          <w:rPr>
            <w:rFonts w:ascii="Arial" w:eastAsia="Times New Roman" w:hAnsi="Arial" w:cs="Arial"/>
            <w:color w:val="CC3300"/>
            <w:sz w:val="17"/>
            <w:lang w:eastAsia="cs-CZ"/>
          </w:rPr>
          <w:t>)</w:t>
        </w:r>
      </w:hyperlink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nebo veřejných služeb související s údržbou a provozem dlouhodobého nehmotného nebo dlouhodobého hmotného majetku, pokud je smlouva uzavírána na dobu nejméně 2 let.</w:t>
      </w:r>
    </w:p>
    <w:p w:rsidR="00C84644" w:rsidRPr="00C84644" w:rsidRDefault="00C84644" w:rsidP="00C8464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bookmarkStart w:id="6" w:name="P007"/>
      <w:bookmarkEnd w:id="6"/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§ 7</w:t>
      </w:r>
    </w:p>
    <w:p w:rsidR="00C84644" w:rsidRPr="00C84644" w:rsidRDefault="00C84644" w:rsidP="00C8464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>Způsob předkládání údajů</w:t>
      </w:r>
    </w:p>
    <w:p w:rsidR="00C84644" w:rsidRPr="00C84644" w:rsidRDefault="00C84644" w:rsidP="00C84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</w:p>
    <w:p w:rsidR="00C84644" w:rsidRPr="00C84644" w:rsidRDefault="00C84644" w:rsidP="00C84644">
      <w:pPr>
        <w:spacing w:before="240" w:after="240" w:line="218" w:lineRule="atLeast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        (1)  Dotčená osoba předkládá ministerstvu údaje podle</w:t>
      </w:r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hyperlink r:id="rId16" w:anchor="P003" w:tooltip="§ 3 Měsíční údaje o příjmech a výdajích" w:history="1">
        <w:r w:rsidRPr="00C84644">
          <w:rPr>
            <w:rFonts w:ascii="Arial" w:eastAsia="Times New Roman" w:hAnsi="Arial" w:cs="Arial"/>
            <w:color w:val="CC3300"/>
            <w:sz w:val="17"/>
            <w:lang w:eastAsia="cs-CZ"/>
          </w:rPr>
          <w:t>§ 3</w:t>
        </w:r>
      </w:hyperlink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až 6 prostřednictvím centrálního systému účetních informací státu podle vyhlášky upravující účetní záznamy</w:t>
      </w:r>
      <w:hyperlink r:id="rId17" w:anchor="note_7" w:tooltip="7) Vyhláška č. 383/2009 Sb., o účetních záznamech v technické formě vybraných účetních jednotek a jejich předávání do centrálního systému účetních informací státu a o požadavcích na technické a smíšené formy účetních záznamů (technická vyhláška o účetních záznamech), ve znění pozdějších předpisů." w:history="1">
        <w:r w:rsidRPr="00C84644">
          <w:rPr>
            <w:rFonts w:ascii="Arial" w:eastAsia="Times New Roman" w:hAnsi="Arial" w:cs="Arial"/>
            <w:color w:val="CC3300"/>
            <w:sz w:val="17"/>
            <w:vertAlign w:val="superscript"/>
            <w:lang w:eastAsia="cs-CZ"/>
          </w:rPr>
          <w:t>7</w:t>
        </w:r>
        <w:r w:rsidRPr="00C84644">
          <w:rPr>
            <w:rFonts w:ascii="Arial" w:eastAsia="Times New Roman" w:hAnsi="Arial" w:cs="Arial"/>
            <w:color w:val="CC3300"/>
            <w:sz w:val="17"/>
            <w:lang w:eastAsia="cs-CZ"/>
          </w:rPr>
          <w:t>)</w:t>
        </w:r>
      </w:hyperlink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. Dotčená osoba uvedená v</w:t>
      </w:r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hyperlink r:id="rId18" w:anchor="P002" w:tooltip="§ 2 Rozsah působnosti" w:history="1">
        <w:r w:rsidRPr="00C84644">
          <w:rPr>
            <w:rFonts w:ascii="Arial" w:eastAsia="Times New Roman" w:hAnsi="Arial" w:cs="Arial"/>
            <w:color w:val="CC3300"/>
            <w:sz w:val="17"/>
            <w:lang w:eastAsia="cs-CZ"/>
          </w:rPr>
          <w:t>§ 2</w:t>
        </w:r>
      </w:hyperlink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písm. e) a k) tak může učinit pomocí svého zřizovatele, nemá-li do centrálního systému účetních informací státu přímý přístup.</w:t>
      </w:r>
    </w:p>
    <w:p w:rsidR="00C84644" w:rsidRPr="00C84644" w:rsidRDefault="00C84644" w:rsidP="00C84644">
      <w:pPr>
        <w:spacing w:before="240" w:after="240" w:line="218" w:lineRule="atLeast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        (2)  Pokud jsou údaje podle odstavce  1 předmětem nebo součástí utajované informace</w:t>
      </w:r>
      <w:hyperlink r:id="rId19" w:anchor="note_8" w:tooltip="8) § 2 písm. a) zákona č. 412/2005 Sb., o ochraně utajovaných informací a o bezpečnostní způsobilosti, ve znění pozdějších předpisů." w:history="1">
        <w:r w:rsidRPr="00C84644">
          <w:rPr>
            <w:rFonts w:ascii="Arial" w:eastAsia="Times New Roman" w:hAnsi="Arial" w:cs="Arial"/>
            <w:color w:val="CC3300"/>
            <w:sz w:val="17"/>
            <w:vertAlign w:val="superscript"/>
            <w:lang w:eastAsia="cs-CZ"/>
          </w:rPr>
          <w:t>8</w:t>
        </w:r>
        <w:r w:rsidRPr="00C84644">
          <w:rPr>
            <w:rFonts w:ascii="Arial" w:eastAsia="Times New Roman" w:hAnsi="Arial" w:cs="Arial"/>
            <w:color w:val="CC3300"/>
            <w:sz w:val="17"/>
            <w:lang w:eastAsia="cs-CZ"/>
          </w:rPr>
          <w:t>)</w:t>
        </w:r>
      </w:hyperlink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, předkládají se ministerstvu pouze v písemné podobě s vyznačením příslušného stupně utajení.</w:t>
      </w:r>
    </w:p>
    <w:p w:rsidR="00C84644" w:rsidRPr="00C84644" w:rsidRDefault="00C84644" w:rsidP="00C84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  <w:bookmarkStart w:id="7" w:name="P008"/>
      <w:bookmarkEnd w:id="7"/>
    </w:p>
    <w:p w:rsidR="00C84644" w:rsidRPr="00C84644" w:rsidRDefault="00C84644" w:rsidP="00C8464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§ 8</w:t>
      </w:r>
    </w:p>
    <w:p w:rsidR="00C84644" w:rsidRPr="00C84644" w:rsidRDefault="00C84644" w:rsidP="00C84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</w:p>
    <w:p w:rsidR="00C84644" w:rsidRPr="00C84644" w:rsidRDefault="00C84644" w:rsidP="00C8464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>Správní delikty</w:t>
      </w:r>
    </w:p>
    <w:p w:rsidR="00C84644" w:rsidRPr="00C84644" w:rsidRDefault="00C84644" w:rsidP="00C84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</w:p>
    <w:p w:rsidR="00C84644" w:rsidRPr="00C84644" w:rsidRDefault="00C84644" w:rsidP="00C84644">
      <w:pPr>
        <w:spacing w:before="240" w:after="240" w:line="218" w:lineRule="atLeast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        (1)  Dotčená osoba uvedená v</w:t>
      </w:r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hyperlink r:id="rId20" w:anchor="P002" w:tooltip="§ 2 Rozsah působnosti" w:history="1">
        <w:r w:rsidRPr="00C84644">
          <w:rPr>
            <w:rFonts w:ascii="Arial" w:eastAsia="Times New Roman" w:hAnsi="Arial" w:cs="Arial"/>
            <w:color w:val="CC3300"/>
            <w:sz w:val="17"/>
            <w:lang w:eastAsia="cs-CZ"/>
          </w:rPr>
          <w:t>§ 2</w:t>
        </w:r>
      </w:hyperlink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písm. c) až e) a j) se dopustí správního deliktu tím, že nepředloží měsíční údaje o svých příjmech a výdajích ani v dodatečné lhůtě stanovené v</w:t>
      </w:r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hyperlink r:id="rId21" w:anchor="P003" w:tooltip="§ 3 Měsíční údaje o příjmech a výdajích" w:history="1">
        <w:r w:rsidRPr="00C84644">
          <w:rPr>
            <w:rFonts w:ascii="Arial" w:eastAsia="Times New Roman" w:hAnsi="Arial" w:cs="Arial"/>
            <w:color w:val="CC3300"/>
            <w:sz w:val="17"/>
            <w:lang w:eastAsia="cs-CZ"/>
          </w:rPr>
          <w:t>§ 3</w:t>
        </w:r>
      </w:hyperlink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odst. 2.</w:t>
      </w:r>
    </w:p>
    <w:p w:rsidR="00C84644" w:rsidRPr="00C84644" w:rsidRDefault="00C84644" w:rsidP="00C84644">
      <w:pPr>
        <w:spacing w:before="240" w:after="240" w:line="218" w:lineRule="atLeast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        (2)  Dotčená osoba uvedená v</w:t>
      </w:r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hyperlink r:id="rId22" w:anchor="P002" w:tooltip="§ 2 Rozsah působnosti" w:history="1">
        <w:r w:rsidRPr="00C84644">
          <w:rPr>
            <w:rFonts w:ascii="Arial" w:eastAsia="Times New Roman" w:hAnsi="Arial" w:cs="Arial"/>
            <w:color w:val="CC3300"/>
            <w:sz w:val="17"/>
            <w:lang w:eastAsia="cs-CZ"/>
          </w:rPr>
          <w:t>§ 2</w:t>
        </w:r>
      </w:hyperlink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písm. k) se dopustí správního deliktu tím, že nepředloží čtvrtletní údaje o svých příjmech a výdajích ani v dodatečné lhůtě stanovené v</w:t>
      </w:r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hyperlink r:id="rId23" w:anchor="P004" w:tooltip="§ 4 Čtvrtletní údaje o příjmech a výdajích" w:history="1">
        <w:r w:rsidRPr="00C84644">
          <w:rPr>
            <w:rFonts w:ascii="Arial" w:eastAsia="Times New Roman" w:hAnsi="Arial" w:cs="Arial"/>
            <w:color w:val="CC3300"/>
            <w:sz w:val="17"/>
            <w:lang w:eastAsia="cs-CZ"/>
          </w:rPr>
          <w:t>§ 4</w:t>
        </w:r>
      </w:hyperlink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odst. 2.</w:t>
      </w:r>
    </w:p>
    <w:p w:rsidR="00C84644" w:rsidRPr="00C84644" w:rsidRDefault="00C84644" w:rsidP="00C84644">
      <w:pPr>
        <w:spacing w:before="240" w:after="240" w:line="218" w:lineRule="atLeast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        (3)  Dotčená osoba uvedená v</w:t>
      </w:r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hyperlink r:id="rId24" w:anchor="P002" w:tooltip="§ 2 Rozsah působnosti" w:history="1">
        <w:r w:rsidRPr="00C84644">
          <w:rPr>
            <w:rFonts w:ascii="Arial" w:eastAsia="Times New Roman" w:hAnsi="Arial" w:cs="Arial"/>
            <w:color w:val="CC3300"/>
            <w:sz w:val="17"/>
            <w:lang w:eastAsia="cs-CZ"/>
          </w:rPr>
          <w:t>§ 2</w:t>
        </w:r>
      </w:hyperlink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písm. b) a f) až  h) se dopustí správního deliktu tím, že nepředloží údaje o svých podmíněných závazcích z poskytnutých garancí ani v dodatečné lhůtě stanovené v</w:t>
      </w:r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hyperlink r:id="rId25" w:anchor="P005" w:tooltip="§ 5 Roční údaje o poskytnutých garancích" w:history="1">
        <w:r w:rsidRPr="00C84644">
          <w:rPr>
            <w:rFonts w:ascii="Arial" w:eastAsia="Times New Roman" w:hAnsi="Arial" w:cs="Arial"/>
            <w:color w:val="CC3300"/>
            <w:sz w:val="17"/>
            <w:lang w:eastAsia="cs-CZ"/>
          </w:rPr>
          <w:t>§ 5</w:t>
        </w:r>
      </w:hyperlink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odst. 2.</w:t>
      </w:r>
    </w:p>
    <w:p w:rsidR="00C84644" w:rsidRPr="00C84644" w:rsidRDefault="00C84644" w:rsidP="00C84644">
      <w:pPr>
        <w:spacing w:before="240" w:after="240" w:line="218" w:lineRule="atLeast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        (4)  Dotčená osoba uvedená v</w:t>
      </w:r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hyperlink r:id="rId26" w:anchor="P002" w:tooltip="§ 2 Rozsah působnosti" w:history="1">
        <w:r w:rsidRPr="00C84644">
          <w:rPr>
            <w:rFonts w:ascii="Arial" w:eastAsia="Times New Roman" w:hAnsi="Arial" w:cs="Arial"/>
            <w:color w:val="CC3300"/>
            <w:sz w:val="17"/>
            <w:lang w:eastAsia="cs-CZ"/>
          </w:rPr>
          <w:t>§ 2</w:t>
        </w:r>
      </w:hyperlink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písm. a) až g) a i) se dopustí správního deliktu tím, že nepředloží údaje o svých projektech partnerství veřejného a soukromého sektoru ani v dodatečné lhůtě stanovené v</w:t>
      </w:r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hyperlink r:id="rId27" w:anchor="P006" w:tooltip="§ 6 Roční údaje o projektech partnerství veřejného a soukromého sektoru" w:history="1">
        <w:r w:rsidRPr="00C84644">
          <w:rPr>
            <w:rFonts w:ascii="Arial" w:eastAsia="Times New Roman" w:hAnsi="Arial" w:cs="Arial"/>
            <w:color w:val="CC3300"/>
            <w:sz w:val="17"/>
            <w:lang w:eastAsia="cs-CZ"/>
          </w:rPr>
          <w:t>§ 6</w:t>
        </w:r>
      </w:hyperlink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odst. 2.</w:t>
      </w:r>
    </w:p>
    <w:p w:rsidR="00C84644" w:rsidRPr="00C84644" w:rsidRDefault="00C84644" w:rsidP="00C84644">
      <w:pPr>
        <w:spacing w:before="240" w:after="240" w:line="218" w:lineRule="atLeast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 xml:space="preserve">        (5)  Za správní delikt se uloží pokuta </w:t>
      </w:r>
      <w:proofErr w:type="gramStart"/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do</w:t>
      </w:r>
      <w:proofErr w:type="gramEnd"/>
    </w:p>
    <w:p w:rsidR="00C84644" w:rsidRPr="00C84644" w:rsidRDefault="00C84644" w:rsidP="00C84644">
      <w:pPr>
        <w:spacing w:before="40" w:after="40" w:line="218" w:lineRule="atLeast"/>
        <w:ind w:left="640" w:hanging="40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a)   20 000 Kč, jde-li o správní delikt podle odstavce  1,</w:t>
      </w:r>
    </w:p>
    <w:p w:rsidR="00C84644" w:rsidRPr="00C84644" w:rsidRDefault="00C84644" w:rsidP="00C84644">
      <w:pPr>
        <w:spacing w:before="40" w:after="40" w:line="218" w:lineRule="atLeast"/>
        <w:ind w:left="640" w:hanging="40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b)   50 000 Kč, jde-li o správní delikt podle odstavce  2,</w:t>
      </w:r>
    </w:p>
    <w:p w:rsidR="00C84644" w:rsidRPr="00C84644" w:rsidRDefault="00C84644" w:rsidP="00C84644">
      <w:pPr>
        <w:spacing w:before="40" w:after="40" w:line="218" w:lineRule="atLeast"/>
        <w:ind w:left="640" w:hanging="40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c)   100 000 Kč, jde-li o správní delikt podle odstavce  3 nebo 4.</w:t>
      </w:r>
    </w:p>
    <w:p w:rsidR="00C84644" w:rsidRPr="00C84644" w:rsidRDefault="00C84644" w:rsidP="00C84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  <w:bookmarkStart w:id="8" w:name="P009"/>
      <w:bookmarkEnd w:id="8"/>
    </w:p>
    <w:p w:rsidR="00C84644" w:rsidRPr="00C84644" w:rsidRDefault="00C84644" w:rsidP="00C8464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§ 9</w:t>
      </w:r>
    </w:p>
    <w:p w:rsidR="00C84644" w:rsidRPr="00C84644" w:rsidRDefault="00C84644" w:rsidP="00C84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lastRenderedPageBreak/>
        <w:br/>
      </w:r>
    </w:p>
    <w:p w:rsidR="00C84644" w:rsidRPr="00C84644" w:rsidRDefault="00C84644" w:rsidP="00C8464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>Společná ustanovení ke správním deliktům</w:t>
      </w:r>
    </w:p>
    <w:p w:rsidR="00C84644" w:rsidRPr="00C84644" w:rsidRDefault="00C84644" w:rsidP="00C84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</w:p>
    <w:p w:rsidR="00C84644" w:rsidRPr="00C84644" w:rsidRDefault="00C84644" w:rsidP="00C84644">
      <w:pPr>
        <w:spacing w:before="240" w:after="240" w:line="218" w:lineRule="atLeast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        (1)  Dotčená osoba za správní delikt neodpovídá, jestliže prokáže, že vynaložila veškeré úsilí, které bylo možno požadovat, aby porušení právní povinnosti zabránila.</w:t>
      </w:r>
    </w:p>
    <w:p w:rsidR="00C84644" w:rsidRPr="00C84644" w:rsidRDefault="00C84644" w:rsidP="00C84644">
      <w:pPr>
        <w:spacing w:before="240" w:after="240" w:line="218" w:lineRule="atLeast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        (2)  Při určení výměry pokuty dotčené osobě se přihlédne k závažnosti správního deliktu, zejména ke způsobu jeho spáchání, k následkům a k okolnostem, za nichž byl spáchán.</w:t>
      </w:r>
    </w:p>
    <w:p w:rsidR="00C84644" w:rsidRPr="00C84644" w:rsidRDefault="00C84644" w:rsidP="00C84644">
      <w:pPr>
        <w:spacing w:before="240" w:after="240" w:line="218" w:lineRule="atLeast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        (3)  Odpovědnost dotčené osoby za správní delikt zaniká, jestliže správní orgán o něm nezahájil řízení do 1 roku ode dne, kdy se o něm dozvěděl, nejpozději však do 3 let ode dne, kdy byl spáchán.</w:t>
      </w:r>
    </w:p>
    <w:p w:rsidR="00C84644" w:rsidRPr="00C84644" w:rsidRDefault="00C84644" w:rsidP="00C84644">
      <w:pPr>
        <w:spacing w:before="240" w:after="240" w:line="218" w:lineRule="atLeast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        (4)  Správní delikty podle tohoto zákona v prvním stupni projednává ministerstvo.</w:t>
      </w:r>
    </w:p>
    <w:p w:rsidR="00C84644" w:rsidRPr="00C84644" w:rsidRDefault="00C84644" w:rsidP="00C84644">
      <w:pPr>
        <w:spacing w:before="240" w:after="240" w:line="218" w:lineRule="atLeast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        (5)  Pokutu vybírá a vymáhá ministerstvo. Pokuta je splatná do 30 kalendářních dnů ode dne, kdy rozhodnutí o jejím uložení nabylo právní moci.</w:t>
      </w:r>
    </w:p>
    <w:p w:rsidR="00C84644" w:rsidRPr="00C84644" w:rsidRDefault="00C84644" w:rsidP="00C84644">
      <w:pPr>
        <w:spacing w:before="240" w:after="240" w:line="218" w:lineRule="atLeast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        (6)  Příjem z pokut je příjmem státního rozpočtu.</w:t>
      </w:r>
    </w:p>
    <w:p w:rsidR="00C84644" w:rsidRPr="00C84644" w:rsidRDefault="00C84644" w:rsidP="00C84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  <w:bookmarkStart w:id="9" w:name="P010"/>
      <w:bookmarkEnd w:id="9"/>
    </w:p>
    <w:p w:rsidR="00C84644" w:rsidRPr="00C84644" w:rsidRDefault="00C84644" w:rsidP="00C8464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§ 10</w:t>
      </w:r>
    </w:p>
    <w:p w:rsidR="00C84644" w:rsidRPr="00C84644" w:rsidRDefault="00C84644" w:rsidP="00C84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</w:p>
    <w:p w:rsidR="00C84644" w:rsidRPr="00C84644" w:rsidRDefault="00C84644" w:rsidP="00C8464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>Závěrečná ustanovení</w:t>
      </w:r>
    </w:p>
    <w:p w:rsidR="00C84644" w:rsidRPr="00C84644" w:rsidRDefault="00C84644" w:rsidP="00C84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</w:p>
    <w:p w:rsidR="00C84644" w:rsidRPr="00C84644" w:rsidRDefault="00C84644" w:rsidP="00C84644">
      <w:pPr>
        <w:spacing w:before="240" w:after="240" w:line="218" w:lineRule="atLeast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        (1)  První předložení údajů podle</w:t>
      </w:r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hyperlink r:id="rId28" w:anchor="P003" w:tooltip="§ 3 Měsíční údaje o příjmech a výdajích" w:history="1">
        <w:r w:rsidRPr="00C84644">
          <w:rPr>
            <w:rFonts w:ascii="Arial" w:eastAsia="Times New Roman" w:hAnsi="Arial" w:cs="Arial"/>
            <w:color w:val="CC3300"/>
            <w:sz w:val="17"/>
            <w:lang w:eastAsia="cs-CZ"/>
          </w:rPr>
          <w:t>§ 3</w:t>
        </w:r>
      </w:hyperlink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odst. 1 provede dotčená osoba ve stavu k 31. lednu 2017, a to do 15. února 2017.</w:t>
      </w:r>
    </w:p>
    <w:p w:rsidR="00C84644" w:rsidRPr="00C84644" w:rsidRDefault="00C84644" w:rsidP="00C84644">
      <w:pPr>
        <w:spacing w:before="240" w:after="240" w:line="218" w:lineRule="atLeast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        (2)  První předložení údajů podle</w:t>
      </w:r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hyperlink r:id="rId29" w:anchor="P004" w:tooltip="§ 4 Čtvrtletní údaje o příjmech a výdajích" w:history="1">
        <w:r w:rsidRPr="00C84644">
          <w:rPr>
            <w:rFonts w:ascii="Arial" w:eastAsia="Times New Roman" w:hAnsi="Arial" w:cs="Arial"/>
            <w:color w:val="CC3300"/>
            <w:sz w:val="17"/>
            <w:lang w:eastAsia="cs-CZ"/>
          </w:rPr>
          <w:t>§ 4</w:t>
        </w:r>
      </w:hyperlink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odst. 1 provede dotčená osoba ve stavu k 31. březnu, a to do 2. května 2017.</w:t>
      </w:r>
    </w:p>
    <w:p w:rsidR="00C84644" w:rsidRPr="00C84644" w:rsidRDefault="00C84644" w:rsidP="00C84644">
      <w:pPr>
        <w:spacing w:before="240" w:after="240" w:line="218" w:lineRule="atLeast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        (3)  První předložení údajů podle</w:t>
      </w:r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hyperlink r:id="rId30" w:anchor="P005" w:tooltip="§ 5 Roční údaje o poskytnutých garancích" w:history="1">
        <w:r w:rsidRPr="00C84644">
          <w:rPr>
            <w:rFonts w:ascii="Arial" w:eastAsia="Times New Roman" w:hAnsi="Arial" w:cs="Arial"/>
            <w:color w:val="CC3300"/>
            <w:sz w:val="17"/>
            <w:lang w:eastAsia="cs-CZ"/>
          </w:rPr>
          <w:t>§ 5</w:t>
        </w:r>
      </w:hyperlink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odst. 1 a</w:t>
      </w:r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hyperlink r:id="rId31" w:anchor="P006" w:tooltip="§ 6 Roční údaje o projektech partnerství veřejného a soukromého sektoru" w:history="1">
        <w:r w:rsidRPr="00C84644">
          <w:rPr>
            <w:rFonts w:ascii="Arial" w:eastAsia="Times New Roman" w:hAnsi="Arial" w:cs="Arial"/>
            <w:color w:val="CC3300"/>
            <w:sz w:val="17"/>
            <w:lang w:eastAsia="cs-CZ"/>
          </w:rPr>
          <w:t>§ 6</w:t>
        </w:r>
      </w:hyperlink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odst. 1 provede dotčená osoba ve stavu k 31. prosinci 2017, a to do 26. února 2018.</w:t>
      </w:r>
    </w:p>
    <w:p w:rsidR="00C84644" w:rsidRPr="00C84644" w:rsidRDefault="00C84644" w:rsidP="00C84644">
      <w:pPr>
        <w:spacing w:before="240" w:after="240" w:line="218" w:lineRule="atLeast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        (4)  Dotčená osoba uvedená v</w:t>
      </w:r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hyperlink r:id="rId32" w:anchor="P002" w:tooltip="§ 2 Rozsah působnosti" w:history="1">
        <w:r w:rsidRPr="00C84644">
          <w:rPr>
            <w:rFonts w:ascii="Arial" w:eastAsia="Times New Roman" w:hAnsi="Arial" w:cs="Arial"/>
            <w:color w:val="CC3300"/>
            <w:sz w:val="17"/>
            <w:lang w:eastAsia="cs-CZ"/>
          </w:rPr>
          <w:t>§ 2</w:t>
        </w:r>
      </w:hyperlink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písm. d) předloží údaje vztahující se k roku 2017 vždy podle</w:t>
      </w:r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hyperlink r:id="rId33" w:anchor="P004" w:tooltip="§ 4 Čtvrtletní údaje o příjmech a výdajích" w:history="1">
        <w:r w:rsidRPr="00C84644">
          <w:rPr>
            <w:rFonts w:ascii="Arial" w:eastAsia="Times New Roman" w:hAnsi="Arial" w:cs="Arial"/>
            <w:color w:val="CC3300"/>
            <w:sz w:val="17"/>
            <w:lang w:eastAsia="cs-CZ"/>
          </w:rPr>
          <w:t>§ 4</w:t>
        </w:r>
      </w:hyperlink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odst. 1.</w:t>
      </w:r>
    </w:p>
    <w:p w:rsidR="00C84644" w:rsidRPr="00C84644" w:rsidRDefault="00C84644" w:rsidP="00C84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  <w:bookmarkStart w:id="10" w:name="P011"/>
      <w:bookmarkEnd w:id="10"/>
    </w:p>
    <w:p w:rsidR="00C84644" w:rsidRPr="00C84644" w:rsidRDefault="00C84644" w:rsidP="00C8464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§ 11</w:t>
      </w: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  <w:r w:rsidRPr="00C84644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>Účinnost</w:t>
      </w:r>
    </w:p>
    <w:p w:rsidR="00C84644" w:rsidRPr="00C84644" w:rsidRDefault="00C84644" w:rsidP="00C84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</w:p>
    <w:p w:rsidR="00C84644" w:rsidRPr="00C84644" w:rsidRDefault="00C84644" w:rsidP="00C84644">
      <w:pPr>
        <w:spacing w:before="240" w:after="240" w:line="218" w:lineRule="atLeast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        Tento zákon nabývá účinnosti dnem 1. ledna 2017.</w:t>
      </w:r>
    </w:p>
    <w:p w:rsidR="00C84644" w:rsidRPr="00C84644" w:rsidRDefault="00C84644" w:rsidP="00C84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</w:p>
    <w:p w:rsidR="00C84644" w:rsidRPr="00C84644" w:rsidRDefault="00C84644" w:rsidP="00C8464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>Hamáček</w:t>
      </w:r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v. r.</w:t>
      </w:r>
    </w:p>
    <w:p w:rsidR="00C84644" w:rsidRPr="00C84644" w:rsidRDefault="00C84644" w:rsidP="00C84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</w:p>
    <w:p w:rsidR="00C84644" w:rsidRPr="00C84644" w:rsidRDefault="00C84644" w:rsidP="00C8464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>Zeman</w:t>
      </w:r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v. r.</w:t>
      </w:r>
    </w:p>
    <w:p w:rsidR="00C84644" w:rsidRPr="00C84644" w:rsidRDefault="00C84644" w:rsidP="00C846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</w:p>
    <w:p w:rsidR="00C84644" w:rsidRPr="00C84644" w:rsidRDefault="00C84644" w:rsidP="00C8464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b/>
          <w:bCs/>
          <w:color w:val="000000"/>
          <w:sz w:val="17"/>
          <w:szCs w:val="17"/>
          <w:lang w:eastAsia="cs-CZ"/>
        </w:rPr>
        <w:t>Sobotka</w:t>
      </w:r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v. r.</w:t>
      </w:r>
    </w:p>
    <w:p w:rsidR="00C84644" w:rsidRPr="00C84644" w:rsidRDefault="00C84644" w:rsidP="00C84644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  <w:r w:rsidRPr="00C84644">
        <w:rPr>
          <w:rFonts w:ascii="Arial" w:eastAsia="Times New Roman" w:hAnsi="Arial" w:cs="Arial"/>
          <w:color w:val="000000"/>
          <w:sz w:val="17"/>
          <w:szCs w:val="17"/>
          <w:shd w:val="clear" w:color="auto" w:fill="FFFFFF"/>
          <w:lang w:eastAsia="cs-CZ"/>
        </w:rPr>
        <w:t>_______________________________</w:t>
      </w: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br/>
      </w:r>
      <w:bookmarkStart w:id="11" w:name="note_1"/>
      <w:bookmarkEnd w:id="11"/>
    </w:p>
    <w:p w:rsidR="00C84644" w:rsidRPr="00C84644" w:rsidRDefault="00C84644" w:rsidP="00C84644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cs-CZ"/>
        </w:rPr>
        <w:lastRenderedPageBreak/>
        <w:t>1</w:t>
      </w: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)</w:t>
      </w:r>
    </w:p>
    <w:p w:rsidR="00C84644" w:rsidRPr="00C84644" w:rsidRDefault="00C84644" w:rsidP="00C8464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Zákon č.</w:t>
      </w:r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hyperlink r:id="rId34" w:tgtFrame="_blank" w:tooltip="Zákon o pravidlech rozpočtové odpovědnosti" w:history="1">
        <w:r w:rsidRPr="00C84644">
          <w:rPr>
            <w:rFonts w:ascii="Arial" w:eastAsia="Times New Roman" w:hAnsi="Arial" w:cs="Arial"/>
            <w:color w:val="CC3300"/>
            <w:sz w:val="17"/>
            <w:lang w:eastAsia="cs-CZ"/>
          </w:rPr>
          <w:t>23/2017 Sb.</w:t>
        </w:r>
      </w:hyperlink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, o pravidlech rozpočtové odpovědnosti.</w:t>
      </w:r>
      <w:bookmarkStart w:id="12" w:name="note_2"/>
      <w:bookmarkEnd w:id="12"/>
    </w:p>
    <w:p w:rsidR="00C84644" w:rsidRPr="00C84644" w:rsidRDefault="00C84644" w:rsidP="00C84644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cs-CZ"/>
        </w:rPr>
        <w:t>2</w:t>
      </w: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)</w:t>
      </w:r>
    </w:p>
    <w:p w:rsidR="00C84644" w:rsidRPr="00C84644" w:rsidRDefault="00C84644" w:rsidP="00C8464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Čl. 3 odst. 2 písm. a) směrnice Rady</w:t>
      </w:r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hyperlink r:id="rId35" w:tgtFrame="_blank" w:tooltip="Směrnice Rady 2011/85/EU ze dne 8. listopadu 2011 o požadavcích na rozpočtové rámce členských států" w:history="1">
        <w:r w:rsidRPr="00C84644">
          <w:rPr>
            <w:rFonts w:ascii="Arial" w:eastAsia="Times New Roman" w:hAnsi="Arial" w:cs="Arial"/>
            <w:color w:val="CC3300"/>
            <w:sz w:val="17"/>
            <w:lang w:eastAsia="cs-CZ"/>
          </w:rPr>
          <w:t>2011/85/EU</w:t>
        </w:r>
      </w:hyperlink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ze dne 8. listopadu 2011 o požadavcích na rozpočtové rámce členských států.</w:t>
      </w:r>
      <w:bookmarkStart w:id="13" w:name="note_3"/>
      <w:bookmarkEnd w:id="13"/>
    </w:p>
    <w:p w:rsidR="00C84644" w:rsidRPr="00C84644" w:rsidRDefault="00C84644" w:rsidP="00C84644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cs-CZ"/>
        </w:rPr>
        <w:t>3</w:t>
      </w: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)</w:t>
      </w:r>
    </w:p>
    <w:p w:rsidR="00C84644" w:rsidRPr="00C84644" w:rsidRDefault="00C84644" w:rsidP="00C8464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Nařízení Evropského parlamentu a Rady</w:t>
      </w:r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hyperlink r:id="rId36" w:tgtFrame="_blank" w:tooltip="Nařízení Evropského parlamentu a Rady (EU) č. 549/2013 ze dne 21. května 2013 o Evropském systému národních a regionálních účtů v Evropské unii Text s významem pro EHP" w:history="1">
        <w:r w:rsidRPr="00C84644">
          <w:rPr>
            <w:rFonts w:ascii="Arial" w:eastAsia="Times New Roman" w:hAnsi="Arial" w:cs="Arial"/>
            <w:color w:val="CC3300"/>
            <w:sz w:val="17"/>
            <w:lang w:eastAsia="cs-CZ"/>
          </w:rPr>
          <w:t>(EU) č. 549/2013</w:t>
        </w:r>
      </w:hyperlink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ze dne 21. května 2013 o Evropském systému národních a regionálních účtů v Evropské unii.</w:t>
      </w:r>
      <w:bookmarkStart w:id="14" w:name="note_4"/>
      <w:bookmarkEnd w:id="14"/>
    </w:p>
    <w:p w:rsidR="00C84644" w:rsidRPr="00C84644" w:rsidRDefault="00C84644" w:rsidP="00C84644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cs-CZ"/>
        </w:rPr>
        <w:t>4</w:t>
      </w: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)</w:t>
      </w:r>
    </w:p>
    <w:p w:rsidR="00C84644" w:rsidRPr="00C84644" w:rsidRDefault="00C84644" w:rsidP="00C8464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Zákon č.</w:t>
      </w:r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hyperlink r:id="rId37" w:tgtFrame="_blank" w:tooltip="Zákon o státní statistické službě" w:history="1">
        <w:r w:rsidRPr="00C84644">
          <w:rPr>
            <w:rFonts w:ascii="Arial" w:eastAsia="Times New Roman" w:hAnsi="Arial" w:cs="Arial"/>
            <w:color w:val="CC3300"/>
            <w:sz w:val="17"/>
            <w:lang w:eastAsia="cs-CZ"/>
          </w:rPr>
          <w:t>89/1995 Sb.</w:t>
        </w:r>
      </w:hyperlink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, o státní statistické službě, ve znění pozdějších předpisů.</w:t>
      </w:r>
      <w:bookmarkStart w:id="15" w:name="note_5"/>
      <w:bookmarkEnd w:id="15"/>
    </w:p>
    <w:p w:rsidR="00C84644" w:rsidRPr="00C84644" w:rsidRDefault="00C84644" w:rsidP="00C84644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cs-CZ"/>
        </w:rPr>
        <w:t>5</w:t>
      </w: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)</w:t>
      </w:r>
    </w:p>
    <w:p w:rsidR="00C84644" w:rsidRPr="00C84644" w:rsidRDefault="00C84644" w:rsidP="00C8464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hyperlink r:id="rId38" w:anchor="C03_P018" w:tgtFrame="_blank" w:tooltip="§ 18 Účetní závěrka" w:history="1">
        <w:r w:rsidRPr="00C84644">
          <w:rPr>
            <w:rFonts w:ascii="Arial" w:eastAsia="Times New Roman" w:hAnsi="Arial" w:cs="Arial"/>
            <w:color w:val="CC3300"/>
            <w:sz w:val="17"/>
            <w:lang w:eastAsia="cs-CZ"/>
          </w:rPr>
          <w:t>§ 18</w:t>
        </w:r>
      </w:hyperlink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odst. 1 zákona č.</w:t>
      </w:r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hyperlink r:id="rId39" w:tgtFrame="_blank" w:tooltip="Zákon o účetnictví" w:history="1">
        <w:r w:rsidRPr="00C84644">
          <w:rPr>
            <w:rFonts w:ascii="Arial" w:eastAsia="Times New Roman" w:hAnsi="Arial" w:cs="Arial"/>
            <w:color w:val="CC3300"/>
            <w:sz w:val="17"/>
            <w:lang w:eastAsia="cs-CZ"/>
          </w:rPr>
          <w:t>563/1991 Sb.</w:t>
        </w:r>
      </w:hyperlink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, o účetnictví, ve znění pozdějších předpisů.</w:t>
      </w:r>
      <w:bookmarkStart w:id="16" w:name="note_6"/>
      <w:bookmarkEnd w:id="16"/>
    </w:p>
    <w:p w:rsidR="00C84644" w:rsidRPr="00C84644" w:rsidRDefault="00C84644" w:rsidP="00C84644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cs-CZ"/>
        </w:rPr>
        <w:t>6</w:t>
      </w: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)</w:t>
      </w:r>
    </w:p>
    <w:p w:rsidR="00C84644" w:rsidRPr="00C84644" w:rsidRDefault="00C84644" w:rsidP="00C8464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hyperlink r:id="rId40" w:anchor="C01_P002" w:tgtFrame="_blank" w:tooltip="§ 2 Základní pojmy" w:history="1">
        <w:r w:rsidRPr="00C84644">
          <w:rPr>
            <w:rFonts w:ascii="Arial" w:eastAsia="Times New Roman" w:hAnsi="Arial" w:cs="Arial"/>
            <w:color w:val="CC3300"/>
            <w:sz w:val="17"/>
            <w:lang w:eastAsia="cs-CZ"/>
          </w:rPr>
          <w:t>§ 2</w:t>
        </w:r>
      </w:hyperlink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odst. 1 písm. k) zákona č.</w:t>
      </w:r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hyperlink r:id="rId41" w:tgtFrame="_blank" w:tooltip="Zákon o územním plánování a stavebním řádu (stavební zákon)" w:history="1">
        <w:r w:rsidRPr="00C84644">
          <w:rPr>
            <w:rFonts w:ascii="Arial" w:eastAsia="Times New Roman" w:hAnsi="Arial" w:cs="Arial"/>
            <w:color w:val="CC3300"/>
            <w:sz w:val="17"/>
            <w:lang w:eastAsia="cs-CZ"/>
          </w:rPr>
          <w:t>183/2006 Sb.</w:t>
        </w:r>
      </w:hyperlink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, o územním plánování a stavebním řádu (stavební zákon), ve znění pozdějších předpisů.</w:t>
      </w:r>
      <w:bookmarkStart w:id="17" w:name="note_7"/>
      <w:bookmarkEnd w:id="17"/>
    </w:p>
    <w:p w:rsidR="00C84644" w:rsidRPr="00C84644" w:rsidRDefault="00C84644" w:rsidP="00C84644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cs-CZ"/>
        </w:rPr>
        <w:t>7</w:t>
      </w: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)</w:t>
      </w:r>
    </w:p>
    <w:p w:rsidR="00C84644" w:rsidRPr="00C84644" w:rsidRDefault="00C84644" w:rsidP="00C8464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Vyhláška č.</w:t>
      </w:r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hyperlink r:id="rId42" w:tgtFrame="_blank" w:tooltip="Vyhláška o účetních záznamech v technické formě vybraných účetních jednotek a jejich předávání do centrálního systému účetních informací státu a o požadavcích na technické a smíšené formy účetních záznamů (technická vyhláška o účetních záznamech)" w:history="1">
        <w:r w:rsidRPr="00C84644">
          <w:rPr>
            <w:rFonts w:ascii="Arial" w:eastAsia="Times New Roman" w:hAnsi="Arial" w:cs="Arial"/>
            <w:color w:val="CC3300"/>
            <w:sz w:val="17"/>
            <w:lang w:eastAsia="cs-CZ"/>
          </w:rPr>
          <w:t>383/2009 Sb.</w:t>
        </w:r>
      </w:hyperlink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, o účetních záznamech v technické formě vybraných účetních jednotek a jejich předávání do centrálního systému účetních informací státu a o požadavcích na technické a smíšené formy účetních záznamů (technická vyhláška o účetních záznamech), ve znění pozdějších předpisů.</w:t>
      </w:r>
      <w:bookmarkStart w:id="18" w:name="note_8"/>
      <w:bookmarkEnd w:id="18"/>
    </w:p>
    <w:p w:rsidR="00C84644" w:rsidRPr="00C84644" w:rsidRDefault="00C84644" w:rsidP="00C84644">
      <w:pPr>
        <w:spacing w:after="0" w:line="240" w:lineRule="auto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r w:rsidRPr="00C84644">
        <w:rPr>
          <w:rFonts w:ascii="Arial" w:eastAsia="Times New Roman" w:hAnsi="Arial" w:cs="Arial"/>
          <w:color w:val="000000"/>
          <w:sz w:val="17"/>
          <w:szCs w:val="17"/>
          <w:vertAlign w:val="superscript"/>
          <w:lang w:eastAsia="cs-CZ"/>
        </w:rPr>
        <w:t>8</w:t>
      </w: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)</w:t>
      </w:r>
    </w:p>
    <w:p w:rsidR="00C84644" w:rsidRPr="00C84644" w:rsidRDefault="00C84644" w:rsidP="00C84644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17"/>
          <w:szCs w:val="17"/>
          <w:lang w:eastAsia="cs-CZ"/>
        </w:rPr>
      </w:pPr>
      <w:hyperlink r:id="rId43" w:anchor="C01_P002" w:tgtFrame="_blank" w:tooltip="§ 2 Vymezení pojmů" w:history="1">
        <w:r w:rsidRPr="00C84644">
          <w:rPr>
            <w:rFonts w:ascii="Arial" w:eastAsia="Times New Roman" w:hAnsi="Arial" w:cs="Arial"/>
            <w:color w:val="CC3300"/>
            <w:sz w:val="17"/>
            <w:lang w:eastAsia="cs-CZ"/>
          </w:rPr>
          <w:t>§ 2</w:t>
        </w:r>
      </w:hyperlink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písm. a) zákona č.</w:t>
      </w:r>
      <w:r w:rsidRPr="00C84644">
        <w:rPr>
          <w:rFonts w:ascii="Arial" w:eastAsia="Times New Roman" w:hAnsi="Arial" w:cs="Arial"/>
          <w:color w:val="000000"/>
          <w:sz w:val="17"/>
          <w:lang w:eastAsia="cs-CZ"/>
        </w:rPr>
        <w:t> </w:t>
      </w:r>
      <w:hyperlink r:id="rId44" w:tgtFrame="_blank" w:tooltip="Zákon o ochraně utajovaných informací a o bezpečnostní způsobilosti" w:history="1">
        <w:r w:rsidRPr="00C84644">
          <w:rPr>
            <w:rFonts w:ascii="Arial" w:eastAsia="Times New Roman" w:hAnsi="Arial" w:cs="Arial"/>
            <w:color w:val="CC3300"/>
            <w:sz w:val="17"/>
            <w:lang w:eastAsia="cs-CZ"/>
          </w:rPr>
          <w:t>412/2005 Sb.</w:t>
        </w:r>
      </w:hyperlink>
      <w:r w:rsidRPr="00C84644">
        <w:rPr>
          <w:rFonts w:ascii="Arial" w:eastAsia="Times New Roman" w:hAnsi="Arial" w:cs="Arial"/>
          <w:color w:val="000000"/>
          <w:sz w:val="17"/>
          <w:szCs w:val="17"/>
          <w:lang w:eastAsia="cs-CZ"/>
        </w:rPr>
        <w:t>, o ochraně utajovaných informací a o bezpečnostní způsobilosti, ve znění pozdějších předpisů.</w:t>
      </w:r>
    </w:p>
    <w:p w:rsidR="00B30931" w:rsidRDefault="00B30931"/>
    <w:sectPr w:rsidR="00B30931" w:rsidSect="00B30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4644"/>
    <w:rsid w:val="004521C2"/>
    <w:rsid w:val="00B30931"/>
    <w:rsid w:val="00C8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09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84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84644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C846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ipa.cz/sbirka/sbsrv.dll/sb?DR=SB&amp;CP=2017s025" TargetMode="External"/><Relationship Id="rId13" Type="http://schemas.openxmlformats.org/officeDocument/2006/relationships/hyperlink" Target="http://www.esipa.cz/sbirka/sbsrv.dll/sb?DR=SB&amp;CP=2017s025" TargetMode="External"/><Relationship Id="rId18" Type="http://schemas.openxmlformats.org/officeDocument/2006/relationships/hyperlink" Target="http://www.esipa.cz/sbirka/sbsrv.dll/sb?DR=SB&amp;CP=2017s025" TargetMode="External"/><Relationship Id="rId26" Type="http://schemas.openxmlformats.org/officeDocument/2006/relationships/hyperlink" Target="http://www.esipa.cz/sbirka/sbsrv.dll/sb?DR=SB&amp;CP=2017s025" TargetMode="External"/><Relationship Id="rId39" Type="http://schemas.openxmlformats.org/officeDocument/2006/relationships/hyperlink" Target="http://www.esipa.cz/sbirka/sbsrv.dll/sb?DR=SB&amp;CP=1991s56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sipa.cz/sbirka/sbsrv.dll/sb?DR=SB&amp;CP=2017s025" TargetMode="External"/><Relationship Id="rId34" Type="http://schemas.openxmlformats.org/officeDocument/2006/relationships/hyperlink" Target="http://www.esipa.cz/sbirka/sbsrv.dll/sb?DR=SB&amp;CP=2017s023" TargetMode="External"/><Relationship Id="rId42" Type="http://schemas.openxmlformats.org/officeDocument/2006/relationships/hyperlink" Target="http://www.esipa.cz/sbirka/sbsrv.dll/sb?DR=SB&amp;CP=2009s383" TargetMode="External"/><Relationship Id="rId7" Type="http://schemas.openxmlformats.org/officeDocument/2006/relationships/hyperlink" Target="http://www.esipa.cz/sbirka/sbsrv.dll/sb?DR=SB&amp;CP=2017s025" TargetMode="External"/><Relationship Id="rId12" Type="http://schemas.openxmlformats.org/officeDocument/2006/relationships/hyperlink" Target="http://www.esipa.cz/sbirka/sbsrv.dll/sb?DR=SB&amp;CP=2017s025" TargetMode="External"/><Relationship Id="rId17" Type="http://schemas.openxmlformats.org/officeDocument/2006/relationships/hyperlink" Target="http://www.esipa.cz/sbirka/sbsrv.dll/sb?DR=SB&amp;CP=2017s025" TargetMode="External"/><Relationship Id="rId25" Type="http://schemas.openxmlformats.org/officeDocument/2006/relationships/hyperlink" Target="http://www.esipa.cz/sbirka/sbsrv.dll/sb?DR=SB&amp;CP=2017s025" TargetMode="External"/><Relationship Id="rId33" Type="http://schemas.openxmlformats.org/officeDocument/2006/relationships/hyperlink" Target="http://www.esipa.cz/sbirka/sbsrv.dll/sb?DR=SB&amp;CP=2017s025" TargetMode="External"/><Relationship Id="rId38" Type="http://schemas.openxmlformats.org/officeDocument/2006/relationships/hyperlink" Target="http://www.esipa.cz/sbirka/sbsrv.dll/sb?DR=AZ&amp;CP=1991s563-2016s462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esipa.cz/sbirka/sbsrv.dll/sb?DR=SB&amp;CP=2017s025" TargetMode="External"/><Relationship Id="rId20" Type="http://schemas.openxmlformats.org/officeDocument/2006/relationships/hyperlink" Target="http://www.esipa.cz/sbirka/sbsrv.dll/sb?DR=SB&amp;CP=2017s025" TargetMode="External"/><Relationship Id="rId29" Type="http://schemas.openxmlformats.org/officeDocument/2006/relationships/hyperlink" Target="http://www.esipa.cz/sbirka/sbsrv.dll/sb?DR=SB&amp;CP=2017s025" TargetMode="External"/><Relationship Id="rId41" Type="http://schemas.openxmlformats.org/officeDocument/2006/relationships/hyperlink" Target="http://www.esipa.cz/sbirka/sbsrv.dll/sb?DR=SB&amp;CP=2006s18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sipa.cz/sbirka/sbsrv.dll/sb?DR=SB&amp;CP=2017s025" TargetMode="External"/><Relationship Id="rId11" Type="http://schemas.openxmlformats.org/officeDocument/2006/relationships/hyperlink" Target="http://www.esipa.cz/sbirka/sbsrv.dll/sb?DR=SB&amp;CP=2017s025" TargetMode="External"/><Relationship Id="rId24" Type="http://schemas.openxmlformats.org/officeDocument/2006/relationships/hyperlink" Target="http://www.esipa.cz/sbirka/sbsrv.dll/sb?DR=SB&amp;CP=2017s025" TargetMode="External"/><Relationship Id="rId32" Type="http://schemas.openxmlformats.org/officeDocument/2006/relationships/hyperlink" Target="http://www.esipa.cz/sbirka/sbsrv.dll/sb?DR=SB&amp;CP=2017s025" TargetMode="External"/><Relationship Id="rId37" Type="http://schemas.openxmlformats.org/officeDocument/2006/relationships/hyperlink" Target="http://www.esipa.cz/sbirka/sbsrv.dll/sb?DR=SB&amp;CP=1995s089" TargetMode="External"/><Relationship Id="rId40" Type="http://schemas.openxmlformats.org/officeDocument/2006/relationships/hyperlink" Target="http://www.esipa.cz/sbirka/sbsrv.dll/sb?DR=AZ&amp;CP=2006s183-2016s264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esipa.cz/sbirka/sbsrv.dll/sb?DR=SB&amp;CP=2017s025" TargetMode="External"/><Relationship Id="rId15" Type="http://schemas.openxmlformats.org/officeDocument/2006/relationships/hyperlink" Target="http://www.esipa.cz/sbirka/sbsrv.dll/sb?DR=SB&amp;CP=2017s025" TargetMode="External"/><Relationship Id="rId23" Type="http://schemas.openxmlformats.org/officeDocument/2006/relationships/hyperlink" Target="http://www.esipa.cz/sbirka/sbsrv.dll/sb?DR=SB&amp;CP=2017s025" TargetMode="External"/><Relationship Id="rId28" Type="http://schemas.openxmlformats.org/officeDocument/2006/relationships/hyperlink" Target="http://www.esipa.cz/sbirka/sbsrv.dll/sb?DR=SB&amp;CP=2017s025" TargetMode="External"/><Relationship Id="rId36" Type="http://schemas.openxmlformats.org/officeDocument/2006/relationships/hyperlink" Target="http://eur-lex.europa.eu/legal-content/CS/ALL/?uri=CELEX:32013R0549" TargetMode="External"/><Relationship Id="rId10" Type="http://schemas.openxmlformats.org/officeDocument/2006/relationships/hyperlink" Target="http://www.esipa.cz/sbirka/sbsrv.dll/sb?DR=SB&amp;CP=2017s025" TargetMode="External"/><Relationship Id="rId19" Type="http://schemas.openxmlformats.org/officeDocument/2006/relationships/hyperlink" Target="http://www.esipa.cz/sbirka/sbsrv.dll/sb?DR=SB&amp;CP=2017s025" TargetMode="External"/><Relationship Id="rId31" Type="http://schemas.openxmlformats.org/officeDocument/2006/relationships/hyperlink" Target="http://www.esipa.cz/sbirka/sbsrv.dll/sb?DR=SB&amp;CP=2017s025" TargetMode="External"/><Relationship Id="rId44" Type="http://schemas.openxmlformats.org/officeDocument/2006/relationships/hyperlink" Target="http://www.esipa.cz/sbirka/sbsrv.dll/sb?DR=SB&amp;CP=2005s412" TargetMode="External"/><Relationship Id="rId4" Type="http://schemas.openxmlformats.org/officeDocument/2006/relationships/hyperlink" Target="http://www.esipa.cz/sbirka/sbsrv.dll/sb?DR=SB&amp;CP=2017s025" TargetMode="External"/><Relationship Id="rId9" Type="http://schemas.openxmlformats.org/officeDocument/2006/relationships/hyperlink" Target="http://www.esipa.cz/sbirka/sbsrv.dll/sb?DR=SB&amp;CP=2017s025" TargetMode="External"/><Relationship Id="rId14" Type="http://schemas.openxmlformats.org/officeDocument/2006/relationships/hyperlink" Target="http://www.esipa.cz/sbirka/sbsrv.dll/sb?DR=SB&amp;CP=2017s025" TargetMode="External"/><Relationship Id="rId22" Type="http://schemas.openxmlformats.org/officeDocument/2006/relationships/hyperlink" Target="http://www.esipa.cz/sbirka/sbsrv.dll/sb?DR=SB&amp;CP=2017s025" TargetMode="External"/><Relationship Id="rId27" Type="http://schemas.openxmlformats.org/officeDocument/2006/relationships/hyperlink" Target="http://www.esipa.cz/sbirka/sbsrv.dll/sb?DR=SB&amp;CP=2017s025" TargetMode="External"/><Relationship Id="rId30" Type="http://schemas.openxmlformats.org/officeDocument/2006/relationships/hyperlink" Target="http://www.esipa.cz/sbirka/sbsrv.dll/sb?DR=SB&amp;CP=2017s025" TargetMode="External"/><Relationship Id="rId35" Type="http://schemas.openxmlformats.org/officeDocument/2006/relationships/hyperlink" Target="http://eur-lex.europa.eu/legal-content/CS/ALL/?uri=CELEX:32011L0085" TargetMode="External"/><Relationship Id="rId43" Type="http://schemas.openxmlformats.org/officeDocument/2006/relationships/hyperlink" Target="http://www.esipa.cz/sbirka/sbsrv.dll/sb?DR=AZ&amp;CP=2005s412-2016s135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2395</Words>
  <Characters>14132</Characters>
  <Application>Microsoft Office Word</Application>
  <DocSecurity>0</DocSecurity>
  <Lines>117</Lines>
  <Paragraphs>32</Paragraphs>
  <ScaleCrop>false</ScaleCrop>
  <Company>FNOL</Company>
  <LinksUpToDate>false</LinksUpToDate>
  <CharactersWithSpaces>16495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01372</dc:creator>
  <cp:lastModifiedBy>01372</cp:lastModifiedBy>
  <cp:revision>2</cp:revision>
  <cp:lastPrinted>2017-02-06T14:08:00Z</cp:lastPrinted>
  <dcterms:created xsi:type="dcterms:W3CDTF">2017-02-06T14:08:00Z</dcterms:created>
  <dcterms:modified xsi:type="dcterms:W3CDTF">2017-02-06T14:11:00Z</dcterms:modified>
</cp:coreProperties>
</file>