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06" w:rsidRDefault="00B65606" w:rsidP="00B65606">
      <w:pPr>
        <w:spacing w:before="100" w:beforeAutospacing="1" w:after="0"/>
        <w:jc w:val="right"/>
        <w:rPr>
          <w:b/>
          <w:sz w:val="36"/>
          <w:szCs w:val="36"/>
        </w:rPr>
      </w:pPr>
      <w:r>
        <w:rPr>
          <w:b/>
          <w:sz w:val="36"/>
          <w:szCs w:val="36"/>
        </w:rPr>
        <w:t>Ministerstvo financí</w:t>
      </w:r>
    </w:p>
    <w:p w:rsidR="00B65606" w:rsidRPr="00B65606" w:rsidRDefault="00B65606" w:rsidP="00B65606">
      <w:pPr>
        <w:jc w:val="right"/>
        <w:rPr>
          <w:sz w:val="28"/>
          <w:szCs w:val="28"/>
        </w:rPr>
      </w:pPr>
      <w:r w:rsidRPr="00B65606">
        <w:rPr>
          <w:sz w:val="28"/>
          <w:szCs w:val="28"/>
        </w:rPr>
        <w:t>odbor Hospodářská politika</w:t>
      </w:r>
    </w:p>
    <w:p w:rsidR="00B65606" w:rsidRDefault="00B65606" w:rsidP="00B65606">
      <w:pPr>
        <w:jc w:val="center"/>
        <w:rPr>
          <w:b/>
          <w:sz w:val="36"/>
          <w:szCs w:val="36"/>
        </w:rPr>
      </w:pPr>
    </w:p>
    <w:p w:rsidR="00B65606" w:rsidRDefault="00E20ED7" w:rsidP="00B65606">
      <w:pPr>
        <w:jc w:val="center"/>
        <w:rPr>
          <w:b/>
          <w:sz w:val="36"/>
          <w:szCs w:val="36"/>
        </w:rPr>
      </w:pPr>
      <w:r>
        <w:rPr>
          <w:noProof/>
          <w:lang w:eastAsia="cs-CZ"/>
        </w:rPr>
        <w:drawing>
          <wp:inline distT="0" distB="0" distL="0" distR="0">
            <wp:extent cx="1667022" cy="1914821"/>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41636" t="37703" r="40293" b="29087"/>
                    <a:stretch/>
                  </pic:blipFill>
                  <pic:spPr bwMode="auto">
                    <a:xfrm>
                      <a:off x="0" y="0"/>
                      <a:ext cx="1667021" cy="19148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65606" w:rsidRDefault="00B65606" w:rsidP="00B65606">
      <w:pPr>
        <w:jc w:val="center"/>
        <w:rPr>
          <w:b/>
          <w:sz w:val="36"/>
          <w:szCs w:val="36"/>
        </w:rPr>
      </w:pPr>
    </w:p>
    <w:p w:rsidR="001203D0" w:rsidRDefault="00420E8B" w:rsidP="009D1155">
      <w:pPr>
        <w:jc w:val="both"/>
        <w:rPr>
          <w:b/>
          <w:sz w:val="36"/>
          <w:szCs w:val="36"/>
        </w:rPr>
      </w:pPr>
      <w:r w:rsidRPr="00EB04AA">
        <w:rPr>
          <w:b/>
          <w:sz w:val="36"/>
          <w:szCs w:val="36"/>
        </w:rPr>
        <w:t>Metodický pokyn k</w:t>
      </w:r>
      <w:r>
        <w:rPr>
          <w:b/>
          <w:sz w:val="36"/>
          <w:szCs w:val="36"/>
        </w:rPr>
        <w:t xml:space="preserve"> </w:t>
      </w:r>
      <w:r w:rsidRPr="00EB04AA">
        <w:rPr>
          <w:b/>
          <w:sz w:val="36"/>
          <w:szCs w:val="36"/>
        </w:rPr>
        <w:t xml:space="preserve">naplnění </w:t>
      </w:r>
      <w:r>
        <w:rPr>
          <w:b/>
          <w:sz w:val="36"/>
          <w:szCs w:val="36"/>
        </w:rPr>
        <w:t>v</w:t>
      </w:r>
      <w:r w:rsidRPr="00EB04AA">
        <w:rPr>
          <w:b/>
          <w:sz w:val="36"/>
          <w:szCs w:val="36"/>
        </w:rPr>
        <w:t>ýkaz</w:t>
      </w:r>
      <w:r>
        <w:rPr>
          <w:b/>
          <w:sz w:val="36"/>
          <w:szCs w:val="36"/>
        </w:rPr>
        <w:t>ů</w:t>
      </w:r>
      <w:r w:rsidRPr="00EB04AA">
        <w:rPr>
          <w:b/>
          <w:sz w:val="36"/>
          <w:szCs w:val="36"/>
        </w:rPr>
        <w:t>, je</w:t>
      </w:r>
      <w:r>
        <w:rPr>
          <w:b/>
          <w:sz w:val="36"/>
          <w:szCs w:val="36"/>
        </w:rPr>
        <w:t>jichž</w:t>
      </w:r>
      <w:r w:rsidRPr="00EB04AA">
        <w:rPr>
          <w:b/>
          <w:sz w:val="36"/>
          <w:szCs w:val="36"/>
        </w:rPr>
        <w:t xml:space="preserve"> závazn</w:t>
      </w:r>
      <w:r>
        <w:rPr>
          <w:b/>
          <w:sz w:val="36"/>
          <w:szCs w:val="36"/>
        </w:rPr>
        <w:t>é</w:t>
      </w:r>
      <w:r w:rsidRPr="00EB04AA">
        <w:rPr>
          <w:b/>
          <w:sz w:val="36"/>
          <w:szCs w:val="36"/>
        </w:rPr>
        <w:t xml:space="preserve"> vzor</w:t>
      </w:r>
      <w:r>
        <w:rPr>
          <w:b/>
          <w:sz w:val="36"/>
          <w:szCs w:val="36"/>
        </w:rPr>
        <w:t>y</w:t>
      </w:r>
      <w:r w:rsidRPr="00EB04AA">
        <w:rPr>
          <w:b/>
          <w:sz w:val="36"/>
          <w:szCs w:val="36"/>
        </w:rPr>
        <w:t xml:space="preserve"> j</w:t>
      </w:r>
      <w:r>
        <w:rPr>
          <w:b/>
          <w:sz w:val="36"/>
          <w:szCs w:val="36"/>
        </w:rPr>
        <w:t>sou</w:t>
      </w:r>
      <w:r w:rsidRPr="00EB04AA">
        <w:rPr>
          <w:b/>
          <w:sz w:val="36"/>
          <w:szCs w:val="36"/>
        </w:rPr>
        <w:t xml:space="preserve"> uveden</w:t>
      </w:r>
      <w:r>
        <w:rPr>
          <w:b/>
          <w:sz w:val="36"/>
          <w:szCs w:val="36"/>
        </w:rPr>
        <w:t>y</w:t>
      </w:r>
      <w:r w:rsidRPr="00EB04AA">
        <w:rPr>
          <w:b/>
          <w:sz w:val="36"/>
          <w:szCs w:val="36"/>
        </w:rPr>
        <w:t xml:space="preserve"> v přílo</w:t>
      </w:r>
      <w:r>
        <w:rPr>
          <w:b/>
          <w:sz w:val="36"/>
          <w:szCs w:val="36"/>
        </w:rPr>
        <w:t>hách</w:t>
      </w:r>
      <w:r w:rsidRPr="00EB04AA">
        <w:rPr>
          <w:b/>
          <w:sz w:val="36"/>
          <w:szCs w:val="36"/>
        </w:rPr>
        <w:t xml:space="preserve"> </w:t>
      </w:r>
      <w:r>
        <w:rPr>
          <w:b/>
          <w:sz w:val="36"/>
          <w:szCs w:val="36"/>
        </w:rPr>
        <w:t>č. 1 až 3 vyhlášky</w:t>
      </w:r>
      <w:r w:rsidRPr="00EB04AA">
        <w:rPr>
          <w:b/>
          <w:sz w:val="36"/>
          <w:szCs w:val="36"/>
        </w:rPr>
        <w:t xml:space="preserve"> č. …/2017 Sb.</w:t>
      </w:r>
      <w:r>
        <w:rPr>
          <w:b/>
          <w:sz w:val="36"/>
          <w:szCs w:val="36"/>
        </w:rPr>
        <w:t xml:space="preserve">, </w:t>
      </w:r>
      <w:r w:rsidRPr="00977218">
        <w:rPr>
          <w:b/>
          <w:sz w:val="36"/>
          <w:szCs w:val="36"/>
        </w:rPr>
        <w:t>k</w:t>
      </w:r>
      <w:r>
        <w:rPr>
          <w:b/>
          <w:sz w:val="36"/>
          <w:szCs w:val="36"/>
        </w:rPr>
        <w:t> </w:t>
      </w:r>
      <w:r w:rsidRPr="00977218">
        <w:rPr>
          <w:b/>
          <w:sz w:val="36"/>
          <w:szCs w:val="36"/>
        </w:rPr>
        <w:t>provedení některých ustanovení zákona o sběru vybraných údajů pro účely monitorování a řízení veřejných financí</w:t>
      </w:r>
    </w:p>
    <w:p w:rsidR="00E20ED7" w:rsidRDefault="00E20ED7" w:rsidP="009D1155">
      <w:pPr>
        <w:jc w:val="both"/>
        <w:rPr>
          <w:b/>
          <w:sz w:val="36"/>
          <w:szCs w:val="36"/>
        </w:rPr>
      </w:pPr>
    </w:p>
    <w:p w:rsidR="00E20ED7" w:rsidRDefault="00E20ED7" w:rsidP="009D1155">
      <w:pPr>
        <w:jc w:val="both"/>
        <w:rPr>
          <w:b/>
          <w:sz w:val="36"/>
          <w:szCs w:val="36"/>
        </w:rPr>
      </w:pPr>
    </w:p>
    <w:p w:rsidR="00E20ED7" w:rsidRDefault="00E20ED7" w:rsidP="00E20ED7">
      <w:pPr>
        <w:jc w:val="center"/>
        <w:rPr>
          <w:b/>
          <w:sz w:val="36"/>
          <w:szCs w:val="36"/>
        </w:rPr>
      </w:pPr>
      <w:r>
        <w:rPr>
          <w:b/>
          <w:sz w:val="36"/>
          <w:szCs w:val="36"/>
        </w:rPr>
        <w:t>2017</w:t>
      </w:r>
    </w:p>
    <w:p w:rsidR="00E20ED7" w:rsidRDefault="00E20ED7" w:rsidP="00E20ED7">
      <w:pPr>
        <w:jc w:val="center"/>
        <w:rPr>
          <w:b/>
          <w:sz w:val="36"/>
          <w:szCs w:val="36"/>
        </w:rPr>
      </w:pPr>
    </w:p>
    <w:p w:rsidR="00E20ED7" w:rsidRDefault="00E20ED7" w:rsidP="00E20ED7">
      <w:pPr>
        <w:jc w:val="center"/>
        <w:rPr>
          <w:b/>
          <w:sz w:val="36"/>
          <w:szCs w:val="36"/>
        </w:rPr>
      </w:pPr>
    </w:p>
    <w:p w:rsidR="00E20ED7" w:rsidRPr="00E20ED7" w:rsidRDefault="00E20ED7" w:rsidP="00E20ED7">
      <w:pPr>
        <w:jc w:val="center"/>
        <w:rPr>
          <w:b/>
          <w:i/>
          <w:sz w:val="24"/>
          <w:szCs w:val="24"/>
        </w:rPr>
      </w:pPr>
      <w:r w:rsidRPr="00E20ED7">
        <w:rPr>
          <w:b/>
          <w:i/>
          <w:sz w:val="24"/>
          <w:szCs w:val="24"/>
        </w:rPr>
        <w:t>(verze 1.0)</w:t>
      </w:r>
    </w:p>
    <w:p w:rsidR="000B3AA5" w:rsidRDefault="00EB04AA">
      <w:pPr>
        <w:sectPr w:rsidR="000B3AA5" w:rsidSect="00362FA2">
          <w:footerReference w:type="default" r:id="rId9"/>
          <w:pgSz w:w="11906" w:h="16838"/>
          <w:pgMar w:top="1417" w:right="1417" w:bottom="1417" w:left="1417" w:header="708" w:footer="708" w:gutter="0"/>
          <w:cols w:space="708"/>
          <w:docGrid w:linePitch="360"/>
        </w:sectPr>
      </w:pPr>
      <w:r>
        <w:br w:type="page"/>
      </w:r>
    </w:p>
    <w:sdt>
      <w:sdtPr>
        <w:rPr>
          <w:rFonts w:asciiTheme="minorHAnsi" w:eastAsiaTheme="minorHAnsi" w:hAnsiTheme="minorHAnsi" w:cstheme="minorBidi"/>
          <w:b w:val="0"/>
          <w:bCs w:val="0"/>
          <w:color w:val="auto"/>
          <w:sz w:val="22"/>
          <w:szCs w:val="22"/>
          <w:lang w:eastAsia="en-US"/>
        </w:rPr>
        <w:id w:val="-1124612570"/>
        <w:docPartObj>
          <w:docPartGallery w:val="Table of Contents"/>
          <w:docPartUnique/>
        </w:docPartObj>
      </w:sdtPr>
      <w:sdtContent>
        <w:p w:rsidR="00522316" w:rsidRDefault="00522316">
          <w:pPr>
            <w:pStyle w:val="Nadpisobsahu"/>
          </w:pPr>
          <w:r>
            <w:t>Obsah</w:t>
          </w:r>
        </w:p>
        <w:p w:rsidR="00890B19" w:rsidRDefault="00E21BC0">
          <w:pPr>
            <w:pStyle w:val="Obsah1"/>
            <w:rPr>
              <w:rFonts w:eastAsiaTheme="minorEastAsia"/>
              <w:noProof/>
              <w:lang w:eastAsia="cs-CZ"/>
            </w:rPr>
          </w:pPr>
          <w:r>
            <w:fldChar w:fldCharType="begin"/>
          </w:r>
          <w:r w:rsidR="000C4058">
            <w:instrText xml:space="preserve"> TOC \h \z \t "Nadpis 1;2;Nadpis 2;3;Nadpis 3;4;Název;1" </w:instrText>
          </w:r>
          <w:r>
            <w:fldChar w:fldCharType="separate"/>
          </w:r>
          <w:hyperlink w:anchor="_Toc483906409" w:history="1">
            <w:r w:rsidR="00890B19" w:rsidRPr="00C72BC3">
              <w:rPr>
                <w:rStyle w:val="Hypertextovodkaz"/>
                <w:noProof/>
              </w:rPr>
              <w:t>I.</w:t>
            </w:r>
            <w:r w:rsidR="00890B19">
              <w:rPr>
                <w:rFonts w:eastAsiaTheme="minorEastAsia"/>
                <w:noProof/>
                <w:lang w:eastAsia="cs-CZ"/>
              </w:rPr>
              <w:tab/>
            </w:r>
            <w:r w:rsidR="00890B19" w:rsidRPr="00C72BC3">
              <w:rPr>
                <w:rStyle w:val="Hypertextovodkaz"/>
                <w:noProof/>
              </w:rPr>
              <w:t>Metodický pokyn k Výkazu peněžních příjmů a výdajů</w:t>
            </w:r>
            <w:r w:rsidR="00890B19">
              <w:rPr>
                <w:noProof/>
                <w:webHidden/>
              </w:rPr>
              <w:tab/>
            </w:r>
            <w:r>
              <w:rPr>
                <w:noProof/>
                <w:webHidden/>
              </w:rPr>
              <w:fldChar w:fldCharType="begin"/>
            </w:r>
            <w:r w:rsidR="00890B19">
              <w:rPr>
                <w:noProof/>
                <w:webHidden/>
              </w:rPr>
              <w:instrText xml:space="preserve"> PAGEREF _Toc483906409 \h </w:instrText>
            </w:r>
            <w:r>
              <w:rPr>
                <w:noProof/>
                <w:webHidden/>
              </w:rPr>
            </w:r>
            <w:r>
              <w:rPr>
                <w:noProof/>
                <w:webHidden/>
              </w:rPr>
              <w:fldChar w:fldCharType="separate"/>
            </w:r>
            <w:r w:rsidR="00984EDE">
              <w:rPr>
                <w:noProof/>
                <w:webHidden/>
              </w:rPr>
              <w:t>2</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10" w:history="1">
            <w:r w:rsidR="00890B19" w:rsidRPr="00C72BC3">
              <w:rPr>
                <w:rStyle w:val="Hypertextovodkaz"/>
                <w:rFonts w:eastAsia="Times New Roman"/>
                <w:noProof/>
                <w:lang w:eastAsia="cs-CZ"/>
              </w:rPr>
              <w:t>1.</w:t>
            </w:r>
            <w:r w:rsidR="00890B19">
              <w:rPr>
                <w:rFonts w:eastAsiaTheme="minorEastAsia"/>
                <w:noProof/>
                <w:lang w:eastAsia="cs-CZ"/>
              </w:rPr>
              <w:tab/>
            </w:r>
            <w:r w:rsidR="00890B19" w:rsidRPr="00C72BC3">
              <w:rPr>
                <w:rStyle w:val="Hypertextovodkaz"/>
                <w:rFonts w:eastAsia="Times New Roman"/>
                <w:noProof/>
                <w:lang w:eastAsia="cs-CZ"/>
              </w:rPr>
              <w:t>Základní informace</w:t>
            </w:r>
            <w:r w:rsidR="00890B19">
              <w:rPr>
                <w:noProof/>
                <w:webHidden/>
              </w:rPr>
              <w:tab/>
            </w:r>
            <w:r>
              <w:rPr>
                <w:noProof/>
                <w:webHidden/>
              </w:rPr>
              <w:fldChar w:fldCharType="begin"/>
            </w:r>
            <w:r w:rsidR="00890B19">
              <w:rPr>
                <w:noProof/>
                <w:webHidden/>
              </w:rPr>
              <w:instrText xml:space="preserve"> PAGEREF _Toc483906410 \h </w:instrText>
            </w:r>
            <w:r>
              <w:rPr>
                <w:noProof/>
                <w:webHidden/>
              </w:rPr>
            </w:r>
            <w:r>
              <w:rPr>
                <w:noProof/>
                <w:webHidden/>
              </w:rPr>
              <w:fldChar w:fldCharType="separate"/>
            </w:r>
            <w:r w:rsidR="00984EDE">
              <w:rPr>
                <w:noProof/>
                <w:webHidden/>
              </w:rPr>
              <w:t>2</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11" w:history="1">
            <w:r w:rsidR="00890B19" w:rsidRPr="00C72BC3">
              <w:rPr>
                <w:rStyle w:val="Hypertextovodkaz"/>
                <w:rFonts w:eastAsia="Times New Roman"/>
                <w:noProof/>
                <w:lang w:eastAsia="cs-CZ"/>
              </w:rPr>
              <w:t>2.</w:t>
            </w:r>
            <w:r w:rsidR="00890B19">
              <w:rPr>
                <w:rFonts w:eastAsiaTheme="minorEastAsia"/>
                <w:noProof/>
                <w:lang w:eastAsia="cs-CZ"/>
              </w:rPr>
              <w:tab/>
            </w:r>
            <w:r w:rsidR="00890B19" w:rsidRPr="00C72BC3">
              <w:rPr>
                <w:rStyle w:val="Hypertextovodkaz"/>
                <w:rFonts w:eastAsia="Times New Roman"/>
                <w:noProof/>
                <w:lang w:eastAsia="cs-CZ"/>
              </w:rPr>
              <w:t>Úvod do metodiky</w:t>
            </w:r>
            <w:r w:rsidR="00890B19">
              <w:rPr>
                <w:noProof/>
                <w:webHidden/>
              </w:rPr>
              <w:tab/>
            </w:r>
            <w:r>
              <w:rPr>
                <w:noProof/>
                <w:webHidden/>
              </w:rPr>
              <w:fldChar w:fldCharType="begin"/>
            </w:r>
            <w:r w:rsidR="00890B19">
              <w:rPr>
                <w:noProof/>
                <w:webHidden/>
              </w:rPr>
              <w:instrText xml:space="preserve"> PAGEREF _Toc483906411 \h </w:instrText>
            </w:r>
            <w:r>
              <w:rPr>
                <w:noProof/>
                <w:webHidden/>
              </w:rPr>
            </w:r>
            <w:r>
              <w:rPr>
                <w:noProof/>
                <w:webHidden/>
              </w:rPr>
              <w:fldChar w:fldCharType="separate"/>
            </w:r>
            <w:r w:rsidR="00984EDE">
              <w:rPr>
                <w:noProof/>
                <w:webHidden/>
              </w:rPr>
              <w:t>2</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12" w:history="1">
            <w:r w:rsidR="00890B19" w:rsidRPr="00C72BC3">
              <w:rPr>
                <w:rStyle w:val="Hypertextovodkaz"/>
                <w:rFonts w:eastAsia="Times New Roman"/>
                <w:noProof/>
                <w:lang w:eastAsia="cs-CZ"/>
              </w:rPr>
              <w:t>3.</w:t>
            </w:r>
            <w:r w:rsidR="00890B19">
              <w:rPr>
                <w:rFonts w:eastAsiaTheme="minorEastAsia"/>
                <w:noProof/>
                <w:lang w:eastAsia="cs-CZ"/>
              </w:rPr>
              <w:tab/>
            </w:r>
            <w:r w:rsidR="00890B19" w:rsidRPr="00C72BC3">
              <w:rPr>
                <w:rStyle w:val="Hypertextovodkaz"/>
                <w:rFonts w:eastAsia="Times New Roman"/>
                <w:noProof/>
                <w:lang w:eastAsia="cs-CZ"/>
              </w:rPr>
              <w:t>Kontrolní vazby</w:t>
            </w:r>
            <w:r w:rsidR="00890B19">
              <w:rPr>
                <w:noProof/>
                <w:webHidden/>
              </w:rPr>
              <w:tab/>
            </w:r>
            <w:r>
              <w:rPr>
                <w:noProof/>
                <w:webHidden/>
              </w:rPr>
              <w:fldChar w:fldCharType="begin"/>
            </w:r>
            <w:r w:rsidR="00890B19">
              <w:rPr>
                <w:noProof/>
                <w:webHidden/>
              </w:rPr>
              <w:instrText xml:space="preserve"> PAGEREF _Toc483906412 \h </w:instrText>
            </w:r>
            <w:r>
              <w:rPr>
                <w:noProof/>
                <w:webHidden/>
              </w:rPr>
            </w:r>
            <w:r>
              <w:rPr>
                <w:noProof/>
                <w:webHidden/>
              </w:rPr>
              <w:fldChar w:fldCharType="separate"/>
            </w:r>
            <w:r w:rsidR="00984EDE">
              <w:rPr>
                <w:noProof/>
                <w:webHidden/>
              </w:rPr>
              <w:t>3</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13" w:history="1">
            <w:r w:rsidR="00890B19" w:rsidRPr="00C72BC3">
              <w:rPr>
                <w:rStyle w:val="Hypertextovodkaz"/>
                <w:rFonts w:eastAsia="Times New Roman"/>
                <w:noProof/>
                <w:lang w:eastAsia="cs-CZ"/>
              </w:rPr>
              <w:t>4.</w:t>
            </w:r>
            <w:r w:rsidR="00890B19">
              <w:rPr>
                <w:rFonts w:eastAsiaTheme="minorEastAsia"/>
                <w:noProof/>
                <w:lang w:eastAsia="cs-CZ"/>
              </w:rPr>
              <w:tab/>
            </w:r>
            <w:r w:rsidR="00890B19" w:rsidRPr="00C72BC3">
              <w:rPr>
                <w:rStyle w:val="Hypertextovodkaz"/>
                <w:rFonts w:eastAsia="Times New Roman"/>
                <w:noProof/>
                <w:lang w:eastAsia="cs-CZ"/>
              </w:rPr>
              <w:t>Institucionální vymezení sektoru vládních institucí</w:t>
            </w:r>
            <w:r w:rsidR="00890B19">
              <w:rPr>
                <w:noProof/>
                <w:webHidden/>
              </w:rPr>
              <w:tab/>
            </w:r>
            <w:r>
              <w:rPr>
                <w:noProof/>
                <w:webHidden/>
              </w:rPr>
              <w:fldChar w:fldCharType="begin"/>
            </w:r>
            <w:r w:rsidR="00890B19">
              <w:rPr>
                <w:noProof/>
                <w:webHidden/>
              </w:rPr>
              <w:instrText xml:space="preserve"> PAGEREF _Toc483906413 \h </w:instrText>
            </w:r>
            <w:r>
              <w:rPr>
                <w:noProof/>
                <w:webHidden/>
              </w:rPr>
            </w:r>
            <w:r>
              <w:rPr>
                <w:noProof/>
                <w:webHidden/>
              </w:rPr>
              <w:fldChar w:fldCharType="separate"/>
            </w:r>
            <w:r w:rsidR="00984EDE">
              <w:rPr>
                <w:noProof/>
                <w:webHidden/>
              </w:rPr>
              <w:t>5</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14" w:history="1">
            <w:r w:rsidR="00890B19" w:rsidRPr="00C72BC3">
              <w:rPr>
                <w:rStyle w:val="Hypertextovodkaz"/>
                <w:rFonts w:eastAsia="Times New Roman"/>
                <w:noProof/>
                <w:lang w:eastAsia="cs-CZ"/>
              </w:rPr>
              <w:t>5.</w:t>
            </w:r>
            <w:r w:rsidR="00890B19">
              <w:rPr>
                <w:rFonts w:eastAsiaTheme="minorEastAsia"/>
                <w:noProof/>
                <w:lang w:eastAsia="cs-CZ"/>
              </w:rPr>
              <w:tab/>
            </w:r>
            <w:r w:rsidR="00890B19" w:rsidRPr="00C72BC3">
              <w:rPr>
                <w:rStyle w:val="Hypertextovodkaz"/>
                <w:rFonts w:eastAsia="Times New Roman"/>
                <w:noProof/>
                <w:lang w:eastAsia="cs-CZ"/>
              </w:rPr>
              <w:t>Obecné principy zaznamenání některých účetních operací</w:t>
            </w:r>
            <w:r w:rsidR="00890B19">
              <w:rPr>
                <w:noProof/>
                <w:webHidden/>
              </w:rPr>
              <w:tab/>
            </w:r>
            <w:r>
              <w:rPr>
                <w:noProof/>
                <w:webHidden/>
              </w:rPr>
              <w:fldChar w:fldCharType="begin"/>
            </w:r>
            <w:r w:rsidR="00890B19">
              <w:rPr>
                <w:noProof/>
                <w:webHidden/>
              </w:rPr>
              <w:instrText xml:space="preserve"> PAGEREF _Toc483906414 \h </w:instrText>
            </w:r>
            <w:r>
              <w:rPr>
                <w:noProof/>
                <w:webHidden/>
              </w:rPr>
            </w:r>
            <w:r>
              <w:rPr>
                <w:noProof/>
                <w:webHidden/>
              </w:rPr>
              <w:fldChar w:fldCharType="separate"/>
            </w:r>
            <w:r w:rsidR="00984EDE">
              <w:rPr>
                <w:noProof/>
                <w:webHidden/>
              </w:rPr>
              <w:t>7</w:t>
            </w:r>
            <w:r>
              <w:rPr>
                <w:noProof/>
                <w:webHidden/>
              </w:rPr>
              <w:fldChar w:fldCharType="end"/>
            </w:r>
          </w:hyperlink>
        </w:p>
        <w:p w:rsidR="00890B19" w:rsidRDefault="00E21BC0">
          <w:pPr>
            <w:pStyle w:val="Obsah3"/>
            <w:tabs>
              <w:tab w:val="left" w:pos="1100"/>
              <w:tab w:val="right" w:leader="dot" w:pos="9062"/>
            </w:tabs>
            <w:rPr>
              <w:rFonts w:eastAsiaTheme="minorEastAsia"/>
              <w:noProof/>
              <w:lang w:eastAsia="cs-CZ"/>
            </w:rPr>
          </w:pPr>
          <w:hyperlink w:anchor="_Toc483906415" w:history="1">
            <w:r w:rsidR="00890B19" w:rsidRPr="00C72BC3">
              <w:rPr>
                <w:rStyle w:val="Hypertextovodkaz"/>
                <w:noProof/>
              </w:rPr>
              <w:t>5.1.</w:t>
            </w:r>
            <w:r w:rsidR="00890B19">
              <w:rPr>
                <w:rFonts w:eastAsiaTheme="minorEastAsia"/>
                <w:noProof/>
                <w:lang w:eastAsia="cs-CZ"/>
              </w:rPr>
              <w:tab/>
            </w:r>
            <w:r w:rsidR="00890B19" w:rsidRPr="00C72BC3">
              <w:rPr>
                <w:rStyle w:val="Hypertextovodkaz"/>
                <w:noProof/>
              </w:rPr>
              <w:t>Daň z přidané hodnoty (DPH)</w:t>
            </w:r>
            <w:r w:rsidR="00890B19">
              <w:rPr>
                <w:noProof/>
                <w:webHidden/>
              </w:rPr>
              <w:tab/>
            </w:r>
            <w:r>
              <w:rPr>
                <w:noProof/>
                <w:webHidden/>
              </w:rPr>
              <w:fldChar w:fldCharType="begin"/>
            </w:r>
            <w:r w:rsidR="00890B19">
              <w:rPr>
                <w:noProof/>
                <w:webHidden/>
              </w:rPr>
              <w:instrText xml:space="preserve"> PAGEREF _Toc483906415 \h </w:instrText>
            </w:r>
            <w:r>
              <w:rPr>
                <w:noProof/>
                <w:webHidden/>
              </w:rPr>
            </w:r>
            <w:r>
              <w:rPr>
                <w:noProof/>
                <w:webHidden/>
              </w:rPr>
              <w:fldChar w:fldCharType="separate"/>
            </w:r>
            <w:r w:rsidR="00984EDE">
              <w:rPr>
                <w:noProof/>
                <w:webHidden/>
              </w:rPr>
              <w:t>7</w:t>
            </w:r>
            <w:r>
              <w:rPr>
                <w:noProof/>
                <w:webHidden/>
              </w:rPr>
              <w:fldChar w:fldCharType="end"/>
            </w:r>
          </w:hyperlink>
        </w:p>
        <w:p w:rsidR="00890B19" w:rsidRDefault="00E21BC0">
          <w:pPr>
            <w:pStyle w:val="Obsah3"/>
            <w:tabs>
              <w:tab w:val="left" w:pos="1100"/>
              <w:tab w:val="right" w:leader="dot" w:pos="9062"/>
            </w:tabs>
            <w:rPr>
              <w:rFonts w:eastAsiaTheme="minorEastAsia"/>
              <w:noProof/>
              <w:lang w:eastAsia="cs-CZ"/>
            </w:rPr>
          </w:pPr>
          <w:hyperlink w:anchor="_Toc483906416" w:history="1">
            <w:r w:rsidR="00890B19" w:rsidRPr="00C72BC3">
              <w:rPr>
                <w:rStyle w:val="Hypertextovodkaz"/>
                <w:noProof/>
              </w:rPr>
              <w:t>5.2.</w:t>
            </w:r>
            <w:r w:rsidR="00890B19">
              <w:rPr>
                <w:rFonts w:eastAsiaTheme="minorEastAsia"/>
                <w:noProof/>
                <w:lang w:eastAsia="cs-CZ"/>
              </w:rPr>
              <w:tab/>
            </w:r>
            <w:r w:rsidR="00890B19" w:rsidRPr="00C72BC3">
              <w:rPr>
                <w:rStyle w:val="Hypertextovodkaz"/>
                <w:noProof/>
              </w:rPr>
              <w:t>Ostatní daně a platby sociálního a zdravotního pojištění</w:t>
            </w:r>
            <w:r w:rsidR="00890B19">
              <w:rPr>
                <w:noProof/>
                <w:webHidden/>
              </w:rPr>
              <w:tab/>
            </w:r>
            <w:r>
              <w:rPr>
                <w:noProof/>
                <w:webHidden/>
              </w:rPr>
              <w:fldChar w:fldCharType="begin"/>
            </w:r>
            <w:r w:rsidR="00890B19">
              <w:rPr>
                <w:noProof/>
                <w:webHidden/>
              </w:rPr>
              <w:instrText xml:space="preserve"> PAGEREF _Toc483906416 \h </w:instrText>
            </w:r>
            <w:r>
              <w:rPr>
                <w:noProof/>
                <w:webHidden/>
              </w:rPr>
            </w:r>
            <w:r>
              <w:rPr>
                <w:noProof/>
                <w:webHidden/>
              </w:rPr>
              <w:fldChar w:fldCharType="separate"/>
            </w:r>
            <w:r w:rsidR="00984EDE">
              <w:rPr>
                <w:noProof/>
                <w:webHidden/>
              </w:rPr>
              <w:t>7</w:t>
            </w:r>
            <w:r>
              <w:rPr>
                <w:noProof/>
                <w:webHidden/>
              </w:rPr>
              <w:fldChar w:fldCharType="end"/>
            </w:r>
          </w:hyperlink>
        </w:p>
        <w:p w:rsidR="00890B19" w:rsidRDefault="00E21BC0">
          <w:pPr>
            <w:pStyle w:val="Obsah3"/>
            <w:tabs>
              <w:tab w:val="left" w:pos="1100"/>
              <w:tab w:val="right" w:leader="dot" w:pos="9062"/>
            </w:tabs>
            <w:rPr>
              <w:rFonts w:eastAsiaTheme="minorEastAsia"/>
              <w:noProof/>
              <w:lang w:eastAsia="cs-CZ"/>
            </w:rPr>
          </w:pPr>
          <w:hyperlink w:anchor="_Toc483906417" w:history="1">
            <w:r w:rsidR="00890B19" w:rsidRPr="00C72BC3">
              <w:rPr>
                <w:rStyle w:val="Hypertextovodkaz"/>
                <w:noProof/>
              </w:rPr>
              <w:t>5.3.</w:t>
            </w:r>
            <w:r w:rsidR="00890B19">
              <w:rPr>
                <w:rFonts w:eastAsiaTheme="minorEastAsia"/>
                <w:noProof/>
                <w:lang w:eastAsia="cs-CZ"/>
              </w:rPr>
              <w:tab/>
            </w:r>
            <w:r w:rsidR="00890B19" w:rsidRPr="00C72BC3">
              <w:rPr>
                <w:rStyle w:val="Hypertextovodkaz"/>
                <w:noProof/>
              </w:rPr>
              <w:t>Vrácené platby (např. vratky, dobropisy)</w:t>
            </w:r>
            <w:r w:rsidR="00890B19">
              <w:rPr>
                <w:noProof/>
                <w:webHidden/>
              </w:rPr>
              <w:tab/>
            </w:r>
            <w:r>
              <w:rPr>
                <w:noProof/>
                <w:webHidden/>
              </w:rPr>
              <w:fldChar w:fldCharType="begin"/>
            </w:r>
            <w:r w:rsidR="00890B19">
              <w:rPr>
                <w:noProof/>
                <w:webHidden/>
              </w:rPr>
              <w:instrText xml:space="preserve"> PAGEREF _Toc483906417 \h </w:instrText>
            </w:r>
            <w:r>
              <w:rPr>
                <w:noProof/>
                <w:webHidden/>
              </w:rPr>
            </w:r>
            <w:r>
              <w:rPr>
                <w:noProof/>
                <w:webHidden/>
              </w:rPr>
              <w:fldChar w:fldCharType="separate"/>
            </w:r>
            <w:r w:rsidR="00984EDE">
              <w:rPr>
                <w:noProof/>
                <w:webHidden/>
              </w:rPr>
              <w:t>7</w:t>
            </w:r>
            <w:r>
              <w:rPr>
                <w:noProof/>
                <w:webHidden/>
              </w:rPr>
              <w:fldChar w:fldCharType="end"/>
            </w:r>
          </w:hyperlink>
        </w:p>
        <w:p w:rsidR="00890B19" w:rsidRDefault="00E21BC0">
          <w:pPr>
            <w:pStyle w:val="Obsah3"/>
            <w:tabs>
              <w:tab w:val="left" w:pos="1100"/>
              <w:tab w:val="right" w:leader="dot" w:pos="9062"/>
            </w:tabs>
            <w:rPr>
              <w:rFonts w:eastAsiaTheme="minorEastAsia"/>
              <w:noProof/>
              <w:lang w:eastAsia="cs-CZ"/>
            </w:rPr>
          </w:pPr>
          <w:hyperlink w:anchor="_Toc483906418" w:history="1">
            <w:r w:rsidR="00890B19" w:rsidRPr="00C72BC3">
              <w:rPr>
                <w:rStyle w:val="Hypertextovodkaz"/>
                <w:noProof/>
              </w:rPr>
              <w:t>5.4.</w:t>
            </w:r>
            <w:r w:rsidR="00890B19">
              <w:rPr>
                <w:rFonts w:eastAsiaTheme="minorEastAsia"/>
                <w:noProof/>
                <w:lang w:eastAsia="cs-CZ"/>
              </w:rPr>
              <w:tab/>
            </w:r>
            <w:r w:rsidR="00890B19" w:rsidRPr="00C72BC3">
              <w:rPr>
                <w:rStyle w:val="Hypertextovodkaz"/>
                <w:noProof/>
              </w:rPr>
              <w:t>Drobný dlouhodobý majetek a peněžní toky s ním spojené</w:t>
            </w:r>
            <w:r w:rsidR="00890B19">
              <w:rPr>
                <w:noProof/>
                <w:webHidden/>
              </w:rPr>
              <w:tab/>
            </w:r>
            <w:r>
              <w:rPr>
                <w:noProof/>
                <w:webHidden/>
              </w:rPr>
              <w:fldChar w:fldCharType="begin"/>
            </w:r>
            <w:r w:rsidR="00890B19">
              <w:rPr>
                <w:noProof/>
                <w:webHidden/>
              </w:rPr>
              <w:instrText xml:space="preserve"> PAGEREF _Toc483906418 \h </w:instrText>
            </w:r>
            <w:r>
              <w:rPr>
                <w:noProof/>
                <w:webHidden/>
              </w:rPr>
            </w:r>
            <w:r>
              <w:rPr>
                <w:noProof/>
                <w:webHidden/>
              </w:rPr>
              <w:fldChar w:fldCharType="separate"/>
            </w:r>
            <w:r w:rsidR="00984EDE">
              <w:rPr>
                <w:noProof/>
                <w:webHidden/>
              </w:rPr>
              <w:t>8</w:t>
            </w:r>
            <w:r>
              <w:rPr>
                <w:noProof/>
                <w:webHidden/>
              </w:rPr>
              <w:fldChar w:fldCharType="end"/>
            </w:r>
          </w:hyperlink>
        </w:p>
        <w:p w:rsidR="00890B19" w:rsidRDefault="00E21BC0">
          <w:pPr>
            <w:pStyle w:val="Obsah3"/>
            <w:tabs>
              <w:tab w:val="left" w:pos="1100"/>
              <w:tab w:val="right" w:leader="dot" w:pos="9062"/>
            </w:tabs>
            <w:rPr>
              <w:rFonts w:eastAsiaTheme="minorEastAsia"/>
              <w:noProof/>
              <w:lang w:eastAsia="cs-CZ"/>
            </w:rPr>
          </w:pPr>
          <w:hyperlink w:anchor="_Toc483906419" w:history="1">
            <w:r w:rsidR="00890B19" w:rsidRPr="00C72BC3">
              <w:rPr>
                <w:rStyle w:val="Hypertextovodkaz"/>
                <w:noProof/>
              </w:rPr>
              <w:t>5.5.</w:t>
            </w:r>
            <w:r w:rsidR="00890B19">
              <w:rPr>
                <w:rFonts w:eastAsiaTheme="minorEastAsia"/>
                <w:noProof/>
                <w:lang w:eastAsia="cs-CZ"/>
              </w:rPr>
              <w:tab/>
            </w:r>
            <w:r w:rsidR="00890B19" w:rsidRPr="00C72BC3">
              <w:rPr>
                <w:rStyle w:val="Hypertextovodkaz"/>
                <w:noProof/>
              </w:rPr>
              <w:t>Přijaté a poskytnuté zálohy</w:t>
            </w:r>
            <w:r w:rsidR="00890B19">
              <w:rPr>
                <w:noProof/>
                <w:webHidden/>
              </w:rPr>
              <w:tab/>
            </w:r>
            <w:r>
              <w:rPr>
                <w:noProof/>
                <w:webHidden/>
              </w:rPr>
              <w:fldChar w:fldCharType="begin"/>
            </w:r>
            <w:r w:rsidR="00890B19">
              <w:rPr>
                <w:noProof/>
                <w:webHidden/>
              </w:rPr>
              <w:instrText xml:space="preserve"> PAGEREF _Toc483906419 \h </w:instrText>
            </w:r>
            <w:r>
              <w:rPr>
                <w:noProof/>
                <w:webHidden/>
              </w:rPr>
            </w:r>
            <w:r>
              <w:rPr>
                <w:noProof/>
                <w:webHidden/>
              </w:rPr>
              <w:fldChar w:fldCharType="separate"/>
            </w:r>
            <w:r w:rsidR="00984EDE">
              <w:rPr>
                <w:noProof/>
                <w:webHidden/>
              </w:rPr>
              <w:t>8</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20" w:history="1">
            <w:r w:rsidR="00890B19" w:rsidRPr="00C72BC3">
              <w:rPr>
                <w:rStyle w:val="Hypertextovodkaz"/>
                <w:rFonts w:eastAsia="Times New Roman"/>
                <w:noProof/>
                <w:lang w:eastAsia="cs-CZ"/>
              </w:rPr>
              <w:t>6.</w:t>
            </w:r>
            <w:r w:rsidR="00890B19">
              <w:rPr>
                <w:rFonts w:eastAsiaTheme="minorEastAsia"/>
                <w:noProof/>
                <w:lang w:eastAsia="cs-CZ"/>
              </w:rPr>
              <w:tab/>
            </w:r>
            <w:r w:rsidR="00890B19" w:rsidRPr="00C72BC3">
              <w:rPr>
                <w:rStyle w:val="Hypertextovodkaz"/>
                <w:rFonts w:eastAsia="Times New Roman"/>
                <w:noProof/>
                <w:lang w:eastAsia="cs-CZ"/>
              </w:rPr>
              <w:t>Obsahová náplň jednotlivých položek příjmů a výdajů</w:t>
            </w:r>
            <w:r w:rsidR="00890B19">
              <w:rPr>
                <w:noProof/>
                <w:webHidden/>
              </w:rPr>
              <w:tab/>
            </w:r>
            <w:r>
              <w:rPr>
                <w:noProof/>
                <w:webHidden/>
              </w:rPr>
              <w:fldChar w:fldCharType="begin"/>
            </w:r>
            <w:r w:rsidR="00890B19">
              <w:rPr>
                <w:noProof/>
                <w:webHidden/>
              </w:rPr>
              <w:instrText xml:space="preserve"> PAGEREF _Toc483906420 \h </w:instrText>
            </w:r>
            <w:r>
              <w:rPr>
                <w:noProof/>
                <w:webHidden/>
              </w:rPr>
            </w:r>
            <w:r>
              <w:rPr>
                <w:noProof/>
                <w:webHidden/>
              </w:rPr>
              <w:fldChar w:fldCharType="separate"/>
            </w:r>
            <w:r w:rsidR="00984EDE">
              <w:rPr>
                <w:noProof/>
                <w:webHidden/>
              </w:rPr>
              <w:t>9</w:t>
            </w:r>
            <w:r>
              <w:rPr>
                <w:noProof/>
                <w:webHidden/>
              </w:rPr>
              <w:fldChar w:fldCharType="end"/>
            </w:r>
          </w:hyperlink>
        </w:p>
        <w:p w:rsidR="00890B19" w:rsidRDefault="00E21BC0">
          <w:pPr>
            <w:pStyle w:val="Obsah4"/>
            <w:tabs>
              <w:tab w:val="right" w:leader="dot" w:pos="9062"/>
            </w:tabs>
            <w:rPr>
              <w:rFonts w:eastAsiaTheme="minorEastAsia"/>
              <w:noProof/>
              <w:lang w:eastAsia="cs-CZ"/>
            </w:rPr>
          </w:pPr>
          <w:hyperlink w:anchor="_Toc483906421" w:history="1">
            <w:r w:rsidR="00890B19">
              <w:rPr>
                <w:rStyle w:val="Hypertextovodkaz"/>
                <w:rFonts w:eastAsia="Times New Roman"/>
                <w:noProof/>
                <w:lang w:eastAsia="cs-CZ"/>
              </w:rPr>
              <w:t>Příjmy z provozní činnosti</w:t>
            </w:r>
            <w:r w:rsidR="00890B19">
              <w:rPr>
                <w:noProof/>
                <w:webHidden/>
              </w:rPr>
              <w:tab/>
            </w:r>
            <w:r>
              <w:rPr>
                <w:noProof/>
                <w:webHidden/>
              </w:rPr>
              <w:fldChar w:fldCharType="begin"/>
            </w:r>
            <w:r w:rsidR="00890B19">
              <w:rPr>
                <w:noProof/>
                <w:webHidden/>
              </w:rPr>
              <w:instrText xml:space="preserve"> PAGEREF _Toc483906421 \h </w:instrText>
            </w:r>
            <w:r>
              <w:rPr>
                <w:noProof/>
                <w:webHidden/>
              </w:rPr>
            </w:r>
            <w:r>
              <w:rPr>
                <w:noProof/>
                <w:webHidden/>
              </w:rPr>
              <w:fldChar w:fldCharType="separate"/>
            </w:r>
            <w:r w:rsidR="00984EDE">
              <w:rPr>
                <w:noProof/>
                <w:webHidden/>
              </w:rPr>
              <w:t>9</w:t>
            </w:r>
            <w:r>
              <w:rPr>
                <w:noProof/>
                <w:webHidden/>
              </w:rPr>
              <w:fldChar w:fldCharType="end"/>
            </w:r>
          </w:hyperlink>
        </w:p>
        <w:p w:rsidR="00890B19" w:rsidRDefault="00E21BC0">
          <w:pPr>
            <w:pStyle w:val="Obsah4"/>
            <w:tabs>
              <w:tab w:val="right" w:leader="dot" w:pos="9062"/>
            </w:tabs>
            <w:rPr>
              <w:rFonts w:eastAsiaTheme="minorEastAsia"/>
              <w:noProof/>
              <w:lang w:eastAsia="cs-CZ"/>
            </w:rPr>
          </w:pPr>
          <w:hyperlink w:anchor="_Toc483906422" w:history="1">
            <w:r w:rsidR="00890B19">
              <w:rPr>
                <w:rStyle w:val="Hypertextovodkaz"/>
                <w:rFonts w:eastAsia="Times New Roman"/>
                <w:noProof/>
                <w:lang w:eastAsia="cs-CZ"/>
              </w:rPr>
              <w:t>Výdaje na provozní činnost</w:t>
            </w:r>
            <w:r w:rsidR="00890B19">
              <w:rPr>
                <w:noProof/>
                <w:webHidden/>
              </w:rPr>
              <w:tab/>
            </w:r>
            <w:r>
              <w:rPr>
                <w:noProof/>
                <w:webHidden/>
              </w:rPr>
              <w:fldChar w:fldCharType="begin"/>
            </w:r>
            <w:r w:rsidR="00890B19">
              <w:rPr>
                <w:noProof/>
                <w:webHidden/>
              </w:rPr>
              <w:instrText xml:space="preserve"> PAGEREF _Toc483906422 \h </w:instrText>
            </w:r>
            <w:r>
              <w:rPr>
                <w:noProof/>
                <w:webHidden/>
              </w:rPr>
            </w:r>
            <w:r>
              <w:rPr>
                <w:noProof/>
                <w:webHidden/>
              </w:rPr>
              <w:fldChar w:fldCharType="separate"/>
            </w:r>
            <w:r w:rsidR="00984EDE">
              <w:rPr>
                <w:noProof/>
                <w:webHidden/>
              </w:rPr>
              <w:t>12</w:t>
            </w:r>
            <w:r>
              <w:rPr>
                <w:noProof/>
                <w:webHidden/>
              </w:rPr>
              <w:fldChar w:fldCharType="end"/>
            </w:r>
          </w:hyperlink>
        </w:p>
        <w:p w:rsidR="00890B19" w:rsidRDefault="00E21BC0">
          <w:pPr>
            <w:pStyle w:val="Obsah4"/>
            <w:tabs>
              <w:tab w:val="right" w:leader="dot" w:pos="9062"/>
            </w:tabs>
            <w:rPr>
              <w:rFonts w:eastAsiaTheme="minorEastAsia"/>
              <w:noProof/>
              <w:lang w:eastAsia="cs-CZ"/>
            </w:rPr>
          </w:pPr>
          <w:hyperlink w:anchor="_Toc483906423" w:history="1">
            <w:r w:rsidR="00890B19">
              <w:rPr>
                <w:rStyle w:val="Hypertextovodkaz"/>
                <w:rFonts w:eastAsia="Times New Roman"/>
                <w:noProof/>
                <w:lang w:eastAsia="cs-CZ"/>
              </w:rPr>
              <w:t>Peněžní toky do nefinančních aktiv</w:t>
            </w:r>
            <w:r w:rsidR="00890B19">
              <w:rPr>
                <w:noProof/>
                <w:webHidden/>
              </w:rPr>
              <w:tab/>
            </w:r>
            <w:r>
              <w:rPr>
                <w:noProof/>
                <w:webHidden/>
              </w:rPr>
              <w:fldChar w:fldCharType="begin"/>
            </w:r>
            <w:r w:rsidR="00890B19">
              <w:rPr>
                <w:noProof/>
                <w:webHidden/>
              </w:rPr>
              <w:instrText xml:space="preserve"> PAGEREF _Toc483906423 \h </w:instrText>
            </w:r>
            <w:r>
              <w:rPr>
                <w:noProof/>
                <w:webHidden/>
              </w:rPr>
            </w:r>
            <w:r>
              <w:rPr>
                <w:noProof/>
                <w:webHidden/>
              </w:rPr>
              <w:fldChar w:fldCharType="separate"/>
            </w:r>
            <w:r w:rsidR="00984EDE">
              <w:rPr>
                <w:noProof/>
                <w:webHidden/>
              </w:rPr>
              <w:t>17</w:t>
            </w:r>
            <w:r>
              <w:rPr>
                <w:noProof/>
                <w:webHidden/>
              </w:rPr>
              <w:fldChar w:fldCharType="end"/>
            </w:r>
          </w:hyperlink>
        </w:p>
        <w:p w:rsidR="00890B19" w:rsidRDefault="00E21BC0">
          <w:pPr>
            <w:pStyle w:val="Obsah4"/>
            <w:tabs>
              <w:tab w:val="right" w:leader="dot" w:pos="9062"/>
            </w:tabs>
            <w:rPr>
              <w:rFonts w:eastAsiaTheme="minorEastAsia"/>
              <w:noProof/>
              <w:lang w:eastAsia="cs-CZ"/>
            </w:rPr>
          </w:pPr>
          <w:hyperlink w:anchor="_Toc483906424" w:history="1">
            <w:r w:rsidR="00890B19">
              <w:rPr>
                <w:rStyle w:val="Hypertextovodkaz"/>
                <w:rFonts w:eastAsia="Times New Roman"/>
                <w:noProof/>
                <w:lang w:eastAsia="cs-CZ"/>
              </w:rPr>
              <w:t>Peněžní toky z financování</w:t>
            </w:r>
            <w:r w:rsidR="00890B19">
              <w:rPr>
                <w:noProof/>
                <w:webHidden/>
              </w:rPr>
              <w:tab/>
            </w:r>
            <w:r>
              <w:rPr>
                <w:noProof/>
                <w:webHidden/>
              </w:rPr>
              <w:fldChar w:fldCharType="begin"/>
            </w:r>
            <w:r w:rsidR="00890B19">
              <w:rPr>
                <w:noProof/>
                <w:webHidden/>
              </w:rPr>
              <w:instrText xml:space="preserve"> PAGEREF _Toc483906424 \h </w:instrText>
            </w:r>
            <w:r>
              <w:rPr>
                <w:noProof/>
                <w:webHidden/>
              </w:rPr>
            </w:r>
            <w:r>
              <w:rPr>
                <w:noProof/>
                <w:webHidden/>
              </w:rPr>
              <w:fldChar w:fldCharType="separate"/>
            </w:r>
            <w:r w:rsidR="00984EDE">
              <w:rPr>
                <w:noProof/>
                <w:webHidden/>
              </w:rPr>
              <w:t>18</w:t>
            </w:r>
            <w:r>
              <w:rPr>
                <w:noProof/>
                <w:webHidden/>
              </w:rPr>
              <w:fldChar w:fldCharType="end"/>
            </w:r>
          </w:hyperlink>
        </w:p>
        <w:p w:rsidR="00890B19" w:rsidRDefault="00E21BC0">
          <w:pPr>
            <w:pStyle w:val="Obsah1"/>
            <w:rPr>
              <w:rFonts w:eastAsiaTheme="minorEastAsia"/>
              <w:noProof/>
              <w:lang w:eastAsia="cs-CZ"/>
            </w:rPr>
          </w:pPr>
          <w:hyperlink w:anchor="_Toc483906425" w:history="1">
            <w:r w:rsidR="00890B19" w:rsidRPr="00C72BC3">
              <w:rPr>
                <w:rStyle w:val="Hypertextovodkaz"/>
                <w:noProof/>
              </w:rPr>
              <w:t>II.</w:t>
            </w:r>
            <w:r w:rsidR="00890B19">
              <w:rPr>
                <w:rFonts w:eastAsiaTheme="minorEastAsia"/>
                <w:noProof/>
                <w:lang w:eastAsia="cs-CZ"/>
              </w:rPr>
              <w:tab/>
            </w:r>
            <w:r w:rsidR="00890B19" w:rsidRPr="00C72BC3">
              <w:rPr>
                <w:rStyle w:val="Hypertextovodkaz"/>
                <w:noProof/>
              </w:rPr>
              <w:t>Metodický pokyn k Výkazu o poskytnutých garancích</w:t>
            </w:r>
            <w:r w:rsidR="00890B19">
              <w:rPr>
                <w:noProof/>
                <w:webHidden/>
              </w:rPr>
              <w:tab/>
            </w:r>
            <w:r>
              <w:rPr>
                <w:noProof/>
                <w:webHidden/>
              </w:rPr>
              <w:fldChar w:fldCharType="begin"/>
            </w:r>
            <w:r w:rsidR="00890B19">
              <w:rPr>
                <w:noProof/>
                <w:webHidden/>
              </w:rPr>
              <w:instrText xml:space="preserve"> PAGEREF _Toc483906425 \h </w:instrText>
            </w:r>
            <w:r>
              <w:rPr>
                <w:noProof/>
                <w:webHidden/>
              </w:rPr>
            </w:r>
            <w:r>
              <w:rPr>
                <w:noProof/>
                <w:webHidden/>
              </w:rPr>
              <w:fldChar w:fldCharType="separate"/>
            </w:r>
            <w:r w:rsidR="00984EDE">
              <w:rPr>
                <w:noProof/>
                <w:webHidden/>
              </w:rPr>
              <w:t>21</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26" w:history="1">
            <w:r w:rsidR="00890B19" w:rsidRPr="00C72BC3">
              <w:rPr>
                <w:rStyle w:val="Hypertextovodkaz"/>
                <w:rFonts w:eastAsia="Times New Roman"/>
                <w:noProof/>
                <w:lang w:eastAsia="cs-CZ"/>
              </w:rPr>
              <w:t>1.</w:t>
            </w:r>
            <w:r w:rsidR="00890B19">
              <w:rPr>
                <w:rFonts w:eastAsiaTheme="minorEastAsia"/>
                <w:noProof/>
                <w:lang w:eastAsia="cs-CZ"/>
              </w:rPr>
              <w:tab/>
            </w:r>
            <w:r w:rsidR="00890B19" w:rsidRPr="00C72BC3">
              <w:rPr>
                <w:rStyle w:val="Hypertextovodkaz"/>
                <w:rFonts w:eastAsia="Times New Roman"/>
                <w:noProof/>
                <w:lang w:eastAsia="cs-CZ"/>
              </w:rPr>
              <w:t>Základní informace</w:t>
            </w:r>
            <w:r w:rsidR="00890B19">
              <w:rPr>
                <w:noProof/>
                <w:webHidden/>
              </w:rPr>
              <w:tab/>
            </w:r>
            <w:r>
              <w:rPr>
                <w:noProof/>
                <w:webHidden/>
              </w:rPr>
              <w:fldChar w:fldCharType="begin"/>
            </w:r>
            <w:r w:rsidR="00890B19">
              <w:rPr>
                <w:noProof/>
                <w:webHidden/>
              </w:rPr>
              <w:instrText xml:space="preserve"> PAGEREF _Toc483906426 \h </w:instrText>
            </w:r>
            <w:r>
              <w:rPr>
                <w:noProof/>
                <w:webHidden/>
              </w:rPr>
            </w:r>
            <w:r>
              <w:rPr>
                <w:noProof/>
                <w:webHidden/>
              </w:rPr>
              <w:fldChar w:fldCharType="separate"/>
            </w:r>
            <w:r w:rsidR="00984EDE">
              <w:rPr>
                <w:noProof/>
                <w:webHidden/>
              </w:rPr>
              <w:t>21</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27" w:history="1">
            <w:r w:rsidR="00890B19" w:rsidRPr="00C72BC3">
              <w:rPr>
                <w:rStyle w:val="Hypertextovodkaz"/>
                <w:rFonts w:eastAsia="Times New Roman"/>
                <w:noProof/>
                <w:lang w:eastAsia="cs-CZ"/>
              </w:rPr>
              <w:t>2.</w:t>
            </w:r>
            <w:r w:rsidR="00890B19">
              <w:rPr>
                <w:rFonts w:eastAsiaTheme="minorEastAsia"/>
                <w:noProof/>
                <w:lang w:eastAsia="cs-CZ"/>
              </w:rPr>
              <w:tab/>
            </w:r>
            <w:r w:rsidR="00890B19" w:rsidRPr="00C72BC3">
              <w:rPr>
                <w:rStyle w:val="Hypertextovodkaz"/>
                <w:rFonts w:eastAsia="Times New Roman"/>
                <w:noProof/>
                <w:lang w:eastAsia="cs-CZ"/>
              </w:rPr>
              <w:t>Kontrolní vazby</w:t>
            </w:r>
            <w:r w:rsidR="00890B19">
              <w:rPr>
                <w:noProof/>
                <w:webHidden/>
              </w:rPr>
              <w:tab/>
            </w:r>
            <w:r>
              <w:rPr>
                <w:noProof/>
                <w:webHidden/>
              </w:rPr>
              <w:fldChar w:fldCharType="begin"/>
            </w:r>
            <w:r w:rsidR="00890B19">
              <w:rPr>
                <w:noProof/>
                <w:webHidden/>
              </w:rPr>
              <w:instrText xml:space="preserve"> PAGEREF _Toc483906427 \h </w:instrText>
            </w:r>
            <w:r>
              <w:rPr>
                <w:noProof/>
                <w:webHidden/>
              </w:rPr>
            </w:r>
            <w:r>
              <w:rPr>
                <w:noProof/>
                <w:webHidden/>
              </w:rPr>
              <w:fldChar w:fldCharType="separate"/>
            </w:r>
            <w:r w:rsidR="00984EDE">
              <w:rPr>
                <w:noProof/>
                <w:webHidden/>
              </w:rPr>
              <w:t>22</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28" w:history="1">
            <w:r w:rsidR="00890B19" w:rsidRPr="00C72BC3">
              <w:rPr>
                <w:rStyle w:val="Hypertextovodkaz"/>
                <w:rFonts w:eastAsia="Times New Roman"/>
                <w:noProof/>
                <w:lang w:eastAsia="cs-CZ"/>
              </w:rPr>
              <w:t>3.</w:t>
            </w:r>
            <w:r w:rsidR="00890B19">
              <w:rPr>
                <w:rFonts w:eastAsiaTheme="minorEastAsia"/>
                <w:noProof/>
                <w:lang w:eastAsia="cs-CZ"/>
              </w:rPr>
              <w:tab/>
            </w:r>
            <w:r w:rsidR="00890B19" w:rsidRPr="00C72BC3">
              <w:rPr>
                <w:rStyle w:val="Hypertextovodkaz"/>
                <w:rFonts w:eastAsia="Times New Roman"/>
                <w:noProof/>
                <w:lang w:eastAsia="cs-CZ"/>
              </w:rPr>
              <w:t>Obsahová náplň jednotlivých položek výkazu</w:t>
            </w:r>
            <w:r w:rsidR="00890B19">
              <w:rPr>
                <w:noProof/>
                <w:webHidden/>
              </w:rPr>
              <w:tab/>
            </w:r>
            <w:r>
              <w:rPr>
                <w:noProof/>
                <w:webHidden/>
              </w:rPr>
              <w:fldChar w:fldCharType="begin"/>
            </w:r>
            <w:r w:rsidR="00890B19">
              <w:rPr>
                <w:noProof/>
                <w:webHidden/>
              </w:rPr>
              <w:instrText xml:space="preserve"> PAGEREF _Toc483906428 \h </w:instrText>
            </w:r>
            <w:r>
              <w:rPr>
                <w:noProof/>
                <w:webHidden/>
              </w:rPr>
            </w:r>
            <w:r>
              <w:rPr>
                <w:noProof/>
                <w:webHidden/>
              </w:rPr>
              <w:fldChar w:fldCharType="separate"/>
            </w:r>
            <w:r w:rsidR="00984EDE">
              <w:rPr>
                <w:noProof/>
                <w:webHidden/>
              </w:rPr>
              <w:t>22</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29" w:history="1">
            <w:r w:rsidR="00890B19" w:rsidRPr="00C72BC3">
              <w:rPr>
                <w:rStyle w:val="Hypertextovodkaz"/>
                <w:rFonts w:eastAsia="Times New Roman"/>
                <w:noProof/>
                <w:lang w:eastAsia="cs-CZ"/>
              </w:rPr>
              <w:t>4.</w:t>
            </w:r>
            <w:r w:rsidR="00890B19">
              <w:rPr>
                <w:rFonts w:eastAsiaTheme="minorEastAsia"/>
                <w:noProof/>
                <w:lang w:eastAsia="cs-CZ"/>
              </w:rPr>
              <w:tab/>
            </w:r>
            <w:r w:rsidR="00890B19" w:rsidRPr="00C72BC3">
              <w:rPr>
                <w:rStyle w:val="Hypertextovodkaz"/>
                <w:rFonts w:eastAsia="Times New Roman"/>
                <w:noProof/>
                <w:lang w:eastAsia="cs-CZ"/>
              </w:rPr>
              <w:t>Ilustrativní příklad</w:t>
            </w:r>
            <w:r w:rsidR="00890B19">
              <w:rPr>
                <w:noProof/>
                <w:webHidden/>
              </w:rPr>
              <w:tab/>
            </w:r>
            <w:r>
              <w:rPr>
                <w:noProof/>
                <w:webHidden/>
              </w:rPr>
              <w:fldChar w:fldCharType="begin"/>
            </w:r>
            <w:r w:rsidR="00890B19">
              <w:rPr>
                <w:noProof/>
                <w:webHidden/>
              </w:rPr>
              <w:instrText xml:space="preserve"> PAGEREF _Toc483906429 \h </w:instrText>
            </w:r>
            <w:r>
              <w:rPr>
                <w:noProof/>
                <w:webHidden/>
              </w:rPr>
            </w:r>
            <w:r>
              <w:rPr>
                <w:noProof/>
                <w:webHidden/>
              </w:rPr>
              <w:fldChar w:fldCharType="separate"/>
            </w:r>
            <w:r w:rsidR="00984EDE">
              <w:rPr>
                <w:noProof/>
                <w:webHidden/>
              </w:rPr>
              <w:t>24</w:t>
            </w:r>
            <w:r>
              <w:rPr>
                <w:noProof/>
                <w:webHidden/>
              </w:rPr>
              <w:fldChar w:fldCharType="end"/>
            </w:r>
          </w:hyperlink>
        </w:p>
        <w:p w:rsidR="00890B19" w:rsidRDefault="00E21BC0">
          <w:pPr>
            <w:pStyle w:val="Obsah1"/>
            <w:rPr>
              <w:rFonts w:eastAsiaTheme="minorEastAsia"/>
              <w:noProof/>
              <w:lang w:eastAsia="cs-CZ"/>
            </w:rPr>
          </w:pPr>
          <w:hyperlink w:anchor="_Toc483906430" w:history="1">
            <w:r w:rsidR="00890B19" w:rsidRPr="00C72BC3">
              <w:rPr>
                <w:rStyle w:val="Hypertextovodkaz"/>
                <w:noProof/>
              </w:rPr>
              <w:t>III.</w:t>
            </w:r>
            <w:r w:rsidR="00890B19">
              <w:rPr>
                <w:rFonts w:eastAsiaTheme="minorEastAsia"/>
                <w:noProof/>
                <w:lang w:eastAsia="cs-CZ"/>
              </w:rPr>
              <w:tab/>
            </w:r>
            <w:r w:rsidR="00890B19" w:rsidRPr="00C72BC3">
              <w:rPr>
                <w:rStyle w:val="Hypertextovodkaz"/>
                <w:noProof/>
              </w:rPr>
              <w:t>Metodický pokyn k Výkazu o projektech partnerství veřejného a soukromého sektoru</w:t>
            </w:r>
            <w:r w:rsidR="00890B19">
              <w:rPr>
                <w:noProof/>
                <w:webHidden/>
              </w:rPr>
              <w:tab/>
            </w:r>
            <w:r>
              <w:rPr>
                <w:noProof/>
                <w:webHidden/>
              </w:rPr>
              <w:fldChar w:fldCharType="begin"/>
            </w:r>
            <w:r w:rsidR="00890B19">
              <w:rPr>
                <w:noProof/>
                <w:webHidden/>
              </w:rPr>
              <w:instrText xml:space="preserve"> PAGEREF _Toc483906430 \h </w:instrText>
            </w:r>
            <w:r>
              <w:rPr>
                <w:noProof/>
                <w:webHidden/>
              </w:rPr>
            </w:r>
            <w:r>
              <w:rPr>
                <w:noProof/>
                <w:webHidden/>
              </w:rPr>
              <w:fldChar w:fldCharType="separate"/>
            </w:r>
            <w:r w:rsidR="00984EDE">
              <w:rPr>
                <w:noProof/>
                <w:webHidden/>
              </w:rPr>
              <w:t>25</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31" w:history="1">
            <w:r w:rsidR="00890B19" w:rsidRPr="00C72BC3">
              <w:rPr>
                <w:rStyle w:val="Hypertextovodkaz"/>
                <w:noProof/>
              </w:rPr>
              <w:t>1.</w:t>
            </w:r>
            <w:r w:rsidR="00890B19">
              <w:rPr>
                <w:rFonts w:eastAsiaTheme="minorEastAsia"/>
                <w:noProof/>
                <w:lang w:eastAsia="cs-CZ"/>
              </w:rPr>
              <w:tab/>
            </w:r>
            <w:r w:rsidR="00890B19" w:rsidRPr="00C72BC3">
              <w:rPr>
                <w:rStyle w:val="Hypertextovodkaz"/>
                <w:noProof/>
              </w:rPr>
              <w:t>Základní informace</w:t>
            </w:r>
            <w:r w:rsidR="00890B19">
              <w:rPr>
                <w:noProof/>
                <w:webHidden/>
              </w:rPr>
              <w:tab/>
            </w:r>
            <w:r>
              <w:rPr>
                <w:noProof/>
                <w:webHidden/>
              </w:rPr>
              <w:fldChar w:fldCharType="begin"/>
            </w:r>
            <w:r w:rsidR="00890B19">
              <w:rPr>
                <w:noProof/>
                <w:webHidden/>
              </w:rPr>
              <w:instrText xml:space="preserve"> PAGEREF _Toc483906431 \h </w:instrText>
            </w:r>
            <w:r>
              <w:rPr>
                <w:noProof/>
                <w:webHidden/>
              </w:rPr>
            </w:r>
            <w:r>
              <w:rPr>
                <w:noProof/>
                <w:webHidden/>
              </w:rPr>
              <w:fldChar w:fldCharType="separate"/>
            </w:r>
            <w:r w:rsidR="00984EDE">
              <w:rPr>
                <w:noProof/>
                <w:webHidden/>
              </w:rPr>
              <w:t>25</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32" w:history="1">
            <w:r w:rsidR="00890B19" w:rsidRPr="00C72BC3">
              <w:rPr>
                <w:rStyle w:val="Hypertextovodkaz"/>
                <w:noProof/>
              </w:rPr>
              <w:t>2.</w:t>
            </w:r>
            <w:r w:rsidR="00890B19">
              <w:rPr>
                <w:rFonts w:eastAsiaTheme="minorEastAsia"/>
                <w:noProof/>
                <w:lang w:eastAsia="cs-CZ"/>
              </w:rPr>
              <w:tab/>
            </w:r>
            <w:r w:rsidR="00890B19" w:rsidRPr="00C72BC3">
              <w:rPr>
                <w:rStyle w:val="Hypertextovodkaz"/>
                <w:noProof/>
              </w:rPr>
              <w:t>Kontrolní vazby</w:t>
            </w:r>
            <w:r w:rsidR="00890B19">
              <w:rPr>
                <w:noProof/>
                <w:webHidden/>
              </w:rPr>
              <w:tab/>
            </w:r>
            <w:r>
              <w:rPr>
                <w:noProof/>
                <w:webHidden/>
              </w:rPr>
              <w:fldChar w:fldCharType="begin"/>
            </w:r>
            <w:r w:rsidR="00890B19">
              <w:rPr>
                <w:noProof/>
                <w:webHidden/>
              </w:rPr>
              <w:instrText xml:space="preserve"> PAGEREF _Toc483906432 \h </w:instrText>
            </w:r>
            <w:r>
              <w:rPr>
                <w:noProof/>
                <w:webHidden/>
              </w:rPr>
            </w:r>
            <w:r>
              <w:rPr>
                <w:noProof/>
                <w:webHidden/>
              </w:rPr>
              <w:fldChar w:fldCharType="separate"/>
            </w:r>
            <w:r w:rsidR="00984EDE">
              <w:rPr>
                <w:noProof/>
                <w:webHidden/>
              </w:rPr>
              <w:t>26</w:t>
            </w:r>
            <w:r>
              <w:rPr>
                <w:noProof/>
                <w:webHidden/>
              </w:rPr>
              <w:fldChar w:fldCharType="end"/>
            </w:r>
          </w:hyperlink>
        </w:p>
        <w:p w:rsidR="00890B19" w:rsidRDefault="00E21BC0">
          <w:pPr>
            <w:pStyle w:val="Obsah2"/>
            <w:tabs>
              <w:tab w:val="left" w:pos="660"/>
              <w:tab w:val="right" w:leader="dot" w:pos="9062"/>
            </w:tabs>
            <w:rPr>
              <w:rFonts w:eastAsiaTheme="minorEastAsia"/>
              <w:noProof/>
              <w:lang w:eastAsia="cs-CZ"/>
            </w:rPr>
          </w:pPr>
          <w:hyperlink w:anchor="_Toc483906433" w:history="1">
            <w:r w:rsidR="00890B19" w:rsidRPr="00C72BC3">
              <w:rPr>
                <w:rStyle w:val="Hypertextovodkaz"/>
                <w:noProof/>
              </w:rPr>
              <w:t>3.</w:t>
            </w:r>
            <w:r w:rsidR="00890B19">
              <w:rPr>
                <w:rFonts w:eastAsiaTheme="minorEastAsia"/>
                <w:noProof/>
                <w:lang w:eastAsia="cs-CZ"/>
              </w:rPr>
              <w:tab/>
            </w:r>
            <w:r w:rsidR="00890B19" w:rsidRPr="00C72BC3">
              <w:rPr>
                <w:rStyle w:val="Hypertextovodkaz"/>
                <w:noProof/>
              </w:rPr>
              <w:t>Obsahová náplň jednotlivých položek výkazu</w:t>
            </w:r>
            <w:r w:rsidR="00890B19">
              <w:rPr>
                <w:noProof/>
                <w:webHidden/>
              </w:rPr>
              <w:tab/>
            </w:r>
            <w:r>
              <w:rPr>
                <w:noProof/>
                <w:webHidden/>
              </w:rPr>
              <w:fldChar w:fldCharType="begin"/>
            </w:r>
            <w:r w:rsidR="00890B19">
              <w:rPr>
                <w:noProof/>
                <w:webHidden/>
              </w:rPr>
              <w:instrText xml:space="preserve"> PAGEREF _Toc483906433 \h </w:instrText>
            </w:r>
            <w:r>
              <w:rPr>
                <w:noProof/>
                <w:webHidden/>
              </w:rPr>
            </w:r>
            <w:r>
              <w:rPr>
                <w:noProof/>
                <w:webHidden/>
              </w:rPr>
              <w:fldChar w:fldCharType="separate"/>
            </w:r>
            <w:r w:rsidR="00984EDE">
              <w:rPr>
                <w:noProof/>
                <w:webHidden/>
              </w:rPr>
              <w:t>26</w:t>
            </w:r>
            <w:r>
              <w:rPr>
                <w:noProof/>
                <w:webHidden/>
              </w:rPr>
              <w:fldChar w:fldCharType="end"/>
            </w:r>
          </w:hyperlink>
        </w:p>
        <w:p w:rsidR="00522316" w:rsidRDefault="00E21BC0">
          <w:r>
            <w:fldChar w:fldCharType="end"/>
          </w:r>
        </w:p>
      </w:sdtContent>
    </w:sdt>
    <w:p w:rsidR="00522316" w:rsidRDefault="00522316">
      <w:pPr>
        <w:rPr>
          <w:rFonts w:eastAsia="Times New Roman"/>
          <w:lang w:eastAsia="cs-CZ"/>
        </w:rPr>
      </w:pPr>
    </w:p>
    <w:p w:rsidR="00522316" w:rsidRDefault="00522316">
      <w:pPr>
        <w:rPr>
          <w:rFonts w:asciiTheme="majorHAnsi" w:eastAsia="Times New Roman" w:hAnsiTheme="majorHAnsi" w:cstheme="majorBidi"/>
          <w:b/>
          <w:bCs/>
          <w:color w:val="365F91" w:themeColor="accent1" w:themeShade="BF"/>
          <w:sz w:val="28"/>
          <w:szCs w:val="28"/>
          <w:lang w:eastAsia="cs-CZ"/>
        </w:rPr>
      </w:pPr>
      <w:r>
        <w:rPr>
          <w:rFonts w:eastAsia="Times New Roman"/>
          <w:lang w:eastAsia="cs-CZ"/>
        </w:rPr>
        <w:br w:type="page"/>
      </w:r>
    </w:p>
    <w:p w:rsidR="000C4058" w:rsidRPr="007D4954" w:rsidRDefault="000C4058" w:rsidP="006164E6">
      <w:pPr>
        <w:pStyle w:val="Nzev"/>
        <w:tabs>
          <w:tab w:val="left" w:pos="284"/>
        </w:tabs>
        <w:ind w:left="284" w:hanging="142"/>
      </w:pPr>
      <w:bookmarkStart w:id="0" w:name="_Toc483906409"/>
      <w:r w:rsidRPr="007D4954">
        <w:lastRenderedPageBreak/>
        <w:t>Metodický pokyn</w:t>
      </w:r>
      <w:r w:rsidR="008C65BC" w:rsidRPr="007D4954">
        <w:t xml:space="preserve"> k Výkazu peněžních příjmů a</w:t>
      </w:r>
      <w:r w:rsidR="0069033A">
        <w:t> </w:t>
      </w:r>
      <w:r w:rsidR="008C65BC" w:rsidRPr="007D4954">
        <w:t>výdajů</w:t>
      </w:r>
      <w:bookmarkEnd w:id="0"/>
    </w:p>
    <w:p w:rsidR="00463E57" w:rsidRPr="00463E57" w:rsidRDefault="00A0752D" w:rsidP="005219A6">
      <w:pPr>
        <w:pStyle w:val="Nadpis1"/>
        <w:numPr>
          <w:ilvl w:val="0"/>
          <w:numId w:val="6"/>
        </w:numPr>
        <w:spacing w:before="360" w:after="120"/>
        <w:ind w:left="357" w:hanging="357"/>
        <w:rPr>
          <w:rFonts w:asciiTheme="minorHAnsi" w:eastAsia="Times New Roman" w:hAnsiTheme="minorHAnsi"/>
          <w:lang w:eastAsia="cs-CZ"/>
        </w:rPr>
      </w:pPr>
      <w:bookmarkStart w:id="1" w:name="_Toc483906410"/>
      <w:r>
        <w:rPr>
          <w:rFonts w:eastAsia="Times New Roman"/>
          <w:lang w:eastAsia="cs-CZ"/>
        </w:rPr>
        <w:t>Základní informace</w:t>
      </w:r>
      <w:bookmarkEnd w:id="1"/>
    </w:p>
    <w:p w:rsidR="00133FF0" w:rsidRDefault="004E63E1" w:rsidP="00A356FF">
      <w:pPr>
        <w:jc w:val="both"/>
      </w:pPr>
      <w:r>
        <w:t xml:space="preserve">Ministerstvo financí vydává metodický pokyn k naplnění </w:t>
      </w:r>
      <w:r w:rsidR="00CE61EB" w:rsidRPr="00E1402B">
        <w:rPr>
          <w:b/>
        </w:rPr>
        <w:t>Výkazu peněžních příjmů a výdajů</w:t>
      </w:r>
      <w:r w:rsidR="00BD5384">
        <w:t xml:space="preserve"> (dále jen „výkaz“)</w:t>
      </w:r>
      <w:r>
        <w:t>, jehož závazný vzor je uveden v </w:t>
      </w:r>
      <w:r w:rsidR="009A1771">
        <w:t>P</w:t>
      </w:r>
      <w:r>
        <w:t>říloze č. 1 vyhlášky č. …/2017 Sb.</w:t>
      </w:r>
      <w:r w:rsidR="00555E72">
        <w:t>,</w:t>
      </w:r>
      <w:r w:rsidR="000C5EB0">
        <w:t xml:space="preserve"> </w:t>
      </w:r>
      <w:r w:rsidR="000C5EB0" w:rsidRPr="0011558C">
        <w:t>k provedení některých ustanovení zákona o sběru vybraných údajů pro účely monitorování a řízení veřejných financí</w:t>
      </w:r>
      <w:r w:rsidR="00555E72">
        <w:t>.</w:t>
      </w:r>
      <w:r w:rsidR="00E43D51">
        <w:t xml:space="preserve"> </w:t>
      </w:r>
      <w:hyperlink r:id="rId10" w:history="1">
        <w:r w:rsidR="00E43D51" w:rsidRPr="00E43D51">
          <w:rPr>
            <w:rStyle w:val="Hypertextovodkaz"/>
          </w:rPr>
          <w:t>Metodický pokyn</w:t>
        </w:r>
      </w:hyperlink>
      <w:r w:rsidR="005531C1">
        <w:t xml:space="preserve"> a </w:t>
      </w:r>
      <w:hyperlink r:id="rId11" w:history="1">
        <w:r w:rsidR="005531C1" w:rsidRPr="00130EA0">
          <w:rPr>
            <w:rStyle w:val="Hypertextovodkaz"/>
          </w:rPr>
          <w:t>metodická pomůcka MF</w:t>
        </w:r>
      </w:hyperlink>
      <w:r w:rsidR="00E43D51">
        <w:t xml:space="preserve">, určené </w:t>
      </w:r>
      <w:r w:rsidR="005531C1">
        <w:t xml:space="preserve">státním příspěvkovým organizacím pro naplňování </w:t>
      </w:r>
      <w:r w:rsidR="00F8114E">
        <w:t xml:space="preserve">části M Přílohy 5 podle § 45 odst. 1 písm. m) vyhlášky č. 410/2009 Sb., </w:t>
      </w:r>
      <w:r w:rsidR="00280C33">
        <w:t xml:space="preserve">nejsou ve vztahu k výkazu </w:t>
      </w:r>
      <w:r w:rsidR="00584625">
        <w:t>aktuální a byly</w:t>
      </w:r>
      <w:r w:rsidR="00280C33">
        <w:t xml:space="preserve"> nahrazeny tímto metodickým pokynem.</w:t>
      </w:r>
    </w:p>
    <w:p w:rsidR="00133FF0" w:rsidRDefault="002B2436" w:rsidP="00A356FF">
      <w:pPr>
        <w:jc w:val="both"/>
      </w:pPr>
      <w:r>
        <w:t>Výkaz předkládají</w:t>
      </w:r>
      <w:r w:rsidR="002510D9">
        <w:t xml:space="preserve"> </w:t>
      </w:r>
      <w:r w:rsidR="002510D9" w:rsidRPr="00741ABB">
        <w:rPr>
          <w:b/>
        </w:rPr>
        <w:t>měsíčně</w:t>
      </w:r>
      <w:r w:rsidR="003B4354">
        <w:t xml:space="preserve">, vždy ve stavu k poslednímu dni </w:t>
      </w:r>
      <w:r w:rsidR="005172EA">
        <w:t xml:space="preserve">sledovaného </w:t>
      </w:r>
      <w:r w:rsidR="003B4354">
        <w:t>kalendářního měsíce,</w:t>
      </w:r>
      <w:r w:rsidR="00AF57E9">
        <w:t xml:space="preserve"> osoby</w:t>
      </w:r>
      <w:r w:rsidR="00133FF0">
        <w:t xml:space="preserve"> vymezené v § </w:t>
      </w:r>
      <w:r w:rsidR="00E56662">
        <w:t>3</w:t>
      </w:r>
      <w:r w:rsidR="00133FF0">
        <w:t xml:space="preserve"> odst. 1 zákona č. </w:t>
      </w:r>
      <w:r w:rsidR="0027739C">
        <w:t>25</w:t>
      </w:r>
      <w:r w:rsidR="00133FF0">
        <w:t>/2017 Sb., o sběru vybraných</w:t>
      </w:r>
      <w:r w:rsidR="005219A6">
        <w:t xml:space="preserve"> údajů pro účely monitorování a </w:t>
      </w:r>
      <w:r w:rsidR="00133FF0">
        <w:t>ří</w:t>
      </w:r>
      <w:r w:rsidR="0092114C">
        <w:t>zení veřejných financí (dále též</w:t>
      </w:r>
      <w:r w:rsidR="00133FF0">
        <w:t xml:space="preserve"> „zákon“)</w:t>
      </w:r>
      <w:r w:rsidR="002510D9">
        <w:t>, a to do 15. dne následujícího kalendářního měsíce</w:t>
      </w:r>
      <w:r w:rsidR="00133FF0">
        <w:t>.</w:t>
      </w:r>
      <w:r w:rsidR="003B4354">
        <w:t xml:space="preserve"> Toto platí v případě,</w:t>
      </w:r>
      <w:r w:rsidR="00AF57E9">
        <w:t xml:space="preserve"> že dotčená osoba</w:t>
      </w:r>
      <w:r w:rsidR="00741ABB">
        <w:t xml:space="preserve"> není od povinnosti </w:t>
      </w:r>
      <w:r w:rsidR="006519CF">
        <w:t xml:space="preserve">měsíčního předkládání </w:t>
      </w:r>
      <w:r w:rsidR="00741ABB">
        <w:t>osvobozen</w:t>
      </w:r>
      <w:r w:rsidR="00AF57E9">
        <w:t>a</w:t>
      </w:r>
      <w:r w:rsidR="00741ABB">
        <w:t xml:space="preserve"> podle §</w:t>
      </w:r>
      <w:r w:rsidR="000F130C">
        <w:t> </w:t>
      </w:r>
      <w:r w:rsidR="00E56662">
        <w:t>3</w:t>
      </w:r>
      <w:r w:rsidR="00741ABB">
        <w:t xml:space="preserve"> odst. </w:t>
      </w:r>
      <w:r w:rsidR="00E56662">
        <w:t>3</w:t>
      </w:r>
      <w:r w:rsidR="006E4DF9">
        <w:t xml:space="preserve"> zákona</w:t>
      </w:r>
      <w:r w:rsidR="00741ABB">
        <w:t>. V opačném případě pro n</w:t>
      </w:r>
      <w:r w:rsidR="000F130C">
        <w:t>i</w:t>
      </w:r>
      <w:r w:rsidR="00741ABB">
        <w:t xml:space="preserve"> platí povinnost předkládat </w:t>
      </w:r>
      <w:r w:rsidR="00F0688B">
        <w:t xml:space="preserve">výkaz </w:t>
      </w:r>
      <w:r w:rsidR="00F0688B" w:rsidRPr="00F0688B">
        <w:rPr>
          <w:b/>
        </w:rPr>
        <w:t>čtvrtletně</w:t>
      </w:r>
      <w:r w:rsidR="00F0688B">
        <w:t>, vždy ve stavu k posledním</w:t>
      </w:r>
      <w:r w:rsidR="004F690D">
        <w:t>u</w:t>
      </w:r>
      <w:r w:rsidR="00F0688B">
        <w:t xml:space="preserve"> dni </w:t>
      </w:r>
      <w:r w:rsidR="005172EA">
        <w:t xml:space="preserve">sledovaného </w:t>
      </w:r>
      <w:r w:rsidR="00F0688B">
        <w:t>kalendářního čtvrtletí, a to do 30 dnů po uplynutí prvního, druhého nebo třetího čtvrtletí; za čtvrté čtvrtletí předkládá tyto údaje do 25. února následujícího kalendářního roku. Čtvrtletní vykazovací povinn</w:t>
      </w:r>
      <w:r w:rsidR="00AF57E9">
        <w:t>ost se vztahuje také na osoby</w:t>
      </w:r>
      <w:r w:rsidR="00F0688B">
        <w:t xml:space="preserve"> </w:t>
      </w:r>
      <w:r w:rsidR="00AE07A1">
        <w:t xml:space="preserve">vymezené v § </w:t>
      </w:r>
      <w:r w:rsidR="00246C79">
        <w:t>4</w:t>
      </w:r>
      <w:r w:rsidR="00AE07A1">
        <w:t xml:space="preserve"> odst. 1 zákona.</w:t>
      </w:r>
    </w:p>
    <w:p w:rsidR="00601E13" w:rsidRDefault="00314170" w:rsidP="00A356FF">
      <w:pPr>
        <w:jc w:val="both"/>
      </w:pPr>
      <w:r>
        <w:t xml:space="preserve">Předkládané údaje, měsíční stejně jako čtvrtletní, jsou vykazovány </w:t>
      </w:r>
      <w:r w:rsidR="00601E13">
        <w:t xml:space="preserve">vždy </w:t>
      </w:r>
      <w:r w:rsidRPr="0008297B">
        <w:rPr>
          <w:b/>
        </w:rPr>
        <w:t>kumulativně</w:t>
      </w:r>
      <w:r>
        <w:t xml:space="preserve"> od počátku roku</w:t>
      </w:r>
      <w:r w:rsidR="00601E13">
        <w:t xml:space="preserve"> k poslednímu dni příslušného kalendářního měsíce, resp. čtvrtletí</w:t>
      </w:r>
      <w:r w:rsidR="0008297B">
        <w:t>, za které je výkaz předkládán.</w:t>
      </w:r>
    </w:p>
    <w:p w:rsidR="00B251AD" w:rsidRDefault="00CE61EB" w:rsidP="00A356FF">
      <w:pPr>
        <w:jc w:val="both"/>
      </w:pPr>
      <w:r>
        <w:t xml:space="preserve">Výkaz peněžních příjmů a výdajů </w:t>
      </w:r>
      <w:r w:rsidR="00AF57E9">
        <w:t>předkládá dotčená osoba</w:t>
      </w:r>
      <w:r w:rsidR="00B251AD">
        <w:t xml:space="preserve"> prostřednictvím </w:t>
      </w:r>
      <w:r w:rsidR="00B251AD" w:rsidRPr="00B251AD">
        <w:rPr>
          <w:b/>
        </w:rPr>
        <w:t>Centrálního systému účetních informací státu</w:t>
      </w:r>
      <w:r w:rsidR="00B251AD">
        <w:t xml:space="preserve"> (</w:t>
      </w:r>
      <w:r w:rsidR="00831C7C">
        <w:t>dále „</w:t>
      </w:r>
      <w:r w:rsidR="00B251AD">
        <w:t>CSÚIS</w:t>
      </w:r>
      <w:r w:rsidR="00831C7C">
        <w:t>“</w:t>
      </w:r>
      <w:r w:rsidR="00B251AD">
        <w:t>).</w:t>
      </w:r>
    </w:p>
    <w:p w:rsidR="007A6F3C" w:rsidRPr="00A0752D" w:rsidRDefault="00A0752D" w:rsidP="005219A6">
      <w:pPr>
        <w:pStyle w:val="Nadpis1"/>
        <w:numPr>
          <w:ilvl w:val="0"/>
          <w:numId w:val="6"/>
        </w:numPr>
        <w:spacing w:before="360" w:after="120"/>
        <w:ind w:left="357" w:hanging="357"/>
        <w:rPr>
          <w:rFonts w:eastAsia="Times New Roman"/>
          <w:lang w:eastAsia="cs-CZ"/>
        </w:rPr>
      </w:pPr>
      <w:bookmarkStart w:id="2" w:name="_Toc483906411"/>
      <w:r w:rsidRPr="00A0752D">
        <w:rPr>
          <w:rFonts w:eastAsia="Times New Roman"/>
          <w:lang w:eastAsia="cs-CZ"/>
        </w:rPr>
        <w:t>Úvod do metodiky</w:t>
      </w:r>
      <w:bookmarkEnd w:id="2"/>
    </w:p>
    <w:p w:rsidR="00CB685A" w:rsidRDefault="001B5B52" w:rsidP="00A356FF">
      <w:pPr>
        <w:jc w:val="both"/>
      </w:pPr>
      <w:r>
        <w:t>Stru</w:t>
      </w:r>
      <w:r w:rsidR="004309DE">
        <w:t>ktura výkazu a obsahová náplň</w:t>
      </w:r>
      <w:r>
        <w:t xml:space="preserve"> jednotlivých položek příjmů a výdajů vychází z mezinárodní metodiky vládní finanční statistiky </w:t>
      </w:r>
      <w:r w:rsidRPr="006D1913">
        <w:rPr>
          <w:i/>
        </w:rPr>
        <w:t>Government Finance Statistics 2014</w:t>
      </w:r>
      <w:r>
        <w:t xml:space="preserve"> (GFS 2014) Mezinárodního měnového fondu.</w:t>
      </w:r>
      <w:r w:rsidR="00060C3B">
        <w:t xml:space="preserve"> Jedná se v podstatě o </w:t>
      </w:r>
      <w:r w:rsidR="00060C3B" w:rsidRPr="003F001D">
        <w:rPr>
          <w:b/>
        </w:rPr>
        <w:t>výkaz peněžních toků sestavený přímou metodou</w:t>
      </w:r>
      <w:r w:rsidR="00060C3B">
        <w:t>, která sleduje charakter jednotlivých</w:t>
      </w:r>
      <w:r w:rsidR="00ED4703">
        <w:t xml:space="preserve"> realizovaných příjmů a výdajů na hotovostní bázi. Zaznamenávány jsou tedy pohyby v </w:t>
      </w:r>
      <w:r w:rsidR="00BF7633">
        <w:t xml:space="preserve">pokladně a na </w:t>
      </w:r>
      <w:r w:rsidR="00DC6CD5">
        <w:t xml:space="preserve">depozitních </w:t>
      </w:r>
      <w:r w:rsidR="00BF7633">
        <w:t>bankovních účtec</w:t>
      </w:r>
      <w:r w:rsidR="006D5D2A">
        <w:t>h (</w:t>
      </w:r>
      <w:r w:rsidR="004309DE">
        <w:t xml:space="preserve">běžné, spořicí, </w:t>
      </w:r>
      <w:r w:rsidR="001A15CD">
        <w:t>termínované</w:t>
      </w:r>
      <w:r w:rsidR="004309DE">
        <w:t xml:space="preserve"> a jiné vkladové účty</w:t>
      </w:r>
      <w:r w:rsidR="006D5D2A">
        <w:t xml:space="preserve">), tj. pohyby </w:t>
      </w:r>
      <w:r w:rsidR="006D5D2A" w:rsidRPr="000509D2">
        <w:rPr>
          <w:b/>
        </w:rPr>
        <w:t>oběživa a depozit</w:t>
      </w:r>
      <w:r w:rsidR="006D5D2A">
        <w:t>.</w:t>
      </w:r>
      <w:r w:rsidR="005D0084">
        <w:t xml:space="preserve"> Vyloučeny jsou peníze na účtu F</w:t>
      </w:r>
      <w:r w:rsidR="005219A6">
        <w:t>ondu kulturních a </w:t>
      </w:r>
      <w:r w:rsidR="003F001D">
        <w:t>sociálních potřeb (dále</w:t>
      </w:r>
      <w:r w:rsidR="00DE6E5A">
        <w:t xml:space="preserve"> jen</w:t>
      </w:r>
      <w:r w:rsidR="003F001D">
        <w:t xml:space="preserve"> „F</w:t>
      </w:r>
      <w:r w:rsidR="005D0084">
        <w:t>KSP</w:t>
      </w:r>
      <w:r w:rsidR="003F001D">
        <w:t>“)</w:t>
      </w:r>
      <w:r w:rsidR="005D0084">
        <w:t xml:space="preserve">, pokud </w:t>
      </w:r>
      <w:r w:rsidR="00F401ED">
        <w:t>ho dotčená osoba</w:t>
      </w:r>
      <w:r w:rsidR="005D0084">
        <w:t xml:space="preserve"> </w:t>
      </w:r>
      <w:r w:rsidR="00F401ED">
        <w:t>(</w:t>
      </w:r>
      <w:r w:rsidR="005D0084">
        <w:t>ú</w:t>
      </w:r>
      <w:r w:rsidR="005D29FC">
        <w:t>četní jednotka</w:t>
      </w:r>
      <w:r w:rsidR="00F401ED">
        <w:t>)</w:t>
      </w:r>
      <w:r w:rsidR="005D0084">
        <w:t xml:space="preserve"> </w:t>
      </w:r>
      <w:r w:rsidR="005D29FC">
        <w:t>tvoří</w:t>
      </w:r>
      <w:r w:rsidR="00CB685A">
        <w:t>. P</w:t>
      </w:r>
      <w:r w:rsidR="005D0084">
        <w:t>řevod na tento účet je považován za konečný výdaj, který se dále netřídí.</w:t>
      </w:r>
      <w:r w:rsidR="005A6EB6">
        <w:t xml:space="preserve"> Vlastní převod na účet FKSP</w:t>
      </w:r>
      <w:r w:rsidR="00DD7445">
        <w:t xml:space="preserve"> je pak dle tohoto metodického pokynu zatříděn na položku A.2.V</w:t>
      </w:r>
      <w:r w:rsidR="00CB685A">
        <w:t>II</w:t>
      </w:r>
      <w:r w:rsidR="00DD7445">
        <w:t>.2</w:t>
      </w:r>
      <w:r w:rsidR="00D0761A">
        <w:t>.</w:t>
      </w:r>
      <w:r w:rsidR="009933CC" w:rsidRPr="009933CC">
        <w:rPr>
          <w:rStyle w:val="Znakapoznpodarou"/>
        </w:rPr>
        <w:t xml:space="preserve"> </w:t>
      </w:r>
      <w:r w:rsidR="009933CC">
        <w:rPr>
          <w:rStyle w:val="Znakapoznpodarou"/>
        </w:rPr>
        <w:footnoteReference w:id="1"/>
      </w:r>
    </w:p>
    <w:p w:rsidR="00F37B5A" w:rsidRDefault="00D0761A" w:rsidP="00A356FF">
      <w:pPr>
        <w:jc w:val="both"/>
      </w:pPr>
      <w:r w:rsidRPr="000509D2">
        <w:rPr>
          <w:b/>
        </w:rPr>
        <w:t>Ceniny</w:t>
      </w:r>
      <w:r>
        <w:t xml:space="preserve"> jako peněžní ekvivalenty </w:t>
      </w:r>
      <w:r w:rsidR="009C1C5D">
        <w:t>nejsou považovány za součást peněz</w:t>
      </w:r>
      <w:r w:rsidR="004D4FFC">
        <w:t xml:space="preserve">. Jedná se tak o metodickou změnu oproti metodice k </w:t>
      </w:r>
      <w:r>
        <w:t xml:space="preserve">části </w:t>
      </w:r>
      <w:r w:rsidRPr="003F001D">
        <w:rPr>
          <w:i/>
        </w:rPr>
        <w:t>M. Doplňující informace k příjmům</w:t>
      </w:r>
      <w:r w:rsidR="0095338C" w:rsidRPr="003F001D">
        <w:rPr>
          <w:i/>
        </w:rPr>
        <w:t xml:space="preserve"> a výdajům</w:t>
      </w:r>
      <w:r w:rsidR="00CE54E2">
        <w:t>, která je</w:t>
      </w:r>
      <w:r w:rsidR="000C07C7">
        <w:t xml:space="preserve"> součástí účetní </w:t>
      </w:r>
      <w:r w:rsidR="000C07C7">
        <w:lastRenderedPageBreak/>
        <w:t xml:space="preserve">závěrky státních příspěvkových organizací </w:t>
      </w:r>
      <w:r w:rsidR="002F6D9F">
        <w:t xml:space="preserve">(dále „SPO“) </w:t>
      </w:r>
      <w:r w:rsidR="000C07C7">
        <w:t xml:space="preserve">podle vyhlášky č. 410/2009 Sb. </w:t>
      </w:r>
      <w:r w:rsidR="00CE54E2">
        <w:t>Tu budou S</w:t>
      </w:r>
      <w:r w:rsidR="00DC3025">
        <w:t xml:space="preserve">PO předkládat ještě za rok 2017 a od roku </w:t>
      </w:r>
      <w:r w:rsidR="00CE54E2">
        <w:t xml:space="preserve">2018 </w:t>
      </w:r>
      <w:r w:rsidR="00DC3025">
        <w:t xml:space="preserve">(údaje za rok 2018 a dále) </w:t>
      </w:r>
      <w:r w:rsidR="00CE54E2">
        <w:t>bude</w:t>
      </w:r>
      <w:r w:rsidR="000C07C7">
        <w:t xml:space="preserve"> nahrazena </w:t>
      </w:r>
      <w:r w:rsidR="004D4FFC">
        <w:t>tímto výkazem.</w:t>
      </w:r>
    </w:p>
    <w:p w:rsidR="0034269B" w:rsidRPr="00463E57" w:rsidRDefault="0034269B" w:rsidP="005219A6">
      <w:pPr>
        <w:pStyle w:val="Nadpis1"/>
        <w:numPr>
          <w:ilvl w:val="0"/>
          <w:numId w:val="6"/>
        </w:numPr>
        <w:spacing w:before="360" w:after="120"/>
        <w:ind w:left="357" w:hanging="357"/>
        <w:rPr>
          <w:rFonts w:eastAsia="Times New Roman"/>
          <w:lang w:eastAsia="cs-CZ"/>
        </w:rPr>
      </w:pPr>
      <w:bookmarkStart w:id="3" w:name="_Toc483906412"/>
      <w:r w:rsidRPr="00463E57">
        <w:rPr>
          <w:rFonts w:eastAsia="Times New Roman"/>
          <w:lang w:eastAsia="cs-CZ"/>
        </w:rPr>
        <w:t>Kontrolní vazby</w:t>
      </w:r>
      <w:bookmarkEnd w:id="3"/>
    </w:p>
    <w:p w:rsidR="001164FE" w:rsidRDefault="00772E97" w:rsidP="00A356FF">
      <w:pPr>
        <w:jc w:val="both"/>
      </w:pPr>
      <w:r>
        <w:t>Správnost naplnění jednotlivých položek příjmů a výdajů</w:t>
      </w:r>
      <w:r w:rsidR="005E25EA">
        <w:t xml:space="preserve">, resp. výkazu jako celku, je alespoň částečně zajištěna prostřednictvím několika </w:t>
      </w:r>
      <w:r w:rsidR="005E25EA" w:rsidRPr="002612BB">
        <w:rPr>
          <w:b/>
        </w:rPr>
        <w:t>vnitrovýkazových</w:t>
      </w:r>
      <w:r w:rsidR="005E25EA">
        <w:t xml:space="preserve"> a jedné </w:t>
      </w:r>
      <w:r w:rsidR="005E25EA" w:rsidRPr="002612BB">
        <w:rPr>
          <w:b/>
        </w:rPr>
        <w:t>mezivýkazové kontrolní vazby</w:t>
      </w:r>
      <w:r w:rsidR="005E25EA">
        <w:t>.</w:t>
      </w:r>
    </w:p>
    <w:tbl>
      <w:tblPr>
        <w:tblStyle w:val="Mkatabulky"/>
        <w:tblW w:w="0" w:type="auto"/>
        <w:tblLook w:val="04A0"/>
      </w:tblPr>
      <w:tblGrid>
        <w:gridCol w:w="1183"/>
        <w:gridCol w:w="870"/>
        <w:gridCol w:w="7235"/>
      </w:tblGrid>
      <w:tr w:rsidR="005C13D8" w:rsidTr="00115AAF">
        <w:tc>
          <w:tcPr>
            <w:tcW w:w="9288" w:type="dxa"/>
            <w:gridSpan w:val="3"/>
          </w:tcPr>
          <w:p w:rsidR="005C13D8" w:rsidRPr="005C13D8" w:rsidRDefault="005C13D8" w:rsidP="005C13D8">
            <w:pPr>
              <w:jc w:val="center"/>
              <w:rPr>
                <w:b/>
              </w:rPr>
            </w:pPr>
            <w:r w:rsidRPr="005C13D8">
              <w:rPr>
                <w:b/>
              </w:rPr>
              <w:t>VNITROVÝKAZOVÉ KONTROLNÍ VAZBY</w:t>
            </w:r>
          </w:p>
        </w:tc>
      </w:tr>
      <w:tr w:rsidR="001164FE" w:rsidTr="00DB0BBB">
        <w:tc>
          <w:tcPr>
            <w:tcW w:w="1183" w:type="dxa"/>
          </w:tcPr>
          <w:p w:rsidR="001164FE" w:rsidRDefault="001164FE" w:rsidP="00155403">
            <w:r>
              <w:t>A.</w:t>
            </w:r>
          </w:p>
        </w:tc>
        <w:tc>
          <w:tcPr>
            <w:tcW w:w="870" w:type="dxa"/>
          </w:tcPr>
          <w:p w:rsidR="001164FE" w:rsidRDefault="001164FE" w:rsidP="005C13D8">
            <w:pPr>
              <w:jc w:val="center"/>
            </w:pPr>
            <w:r>
              <w:t>=</w:t>
            </w:r>
          </w:p>
        </w:tc>
        <w:tc>
          <w:tcPr>
            <w:tcW w:w="7235" w:type="dxa"/>
          </w:tcPr>
          <w:p w:rsidR="001164FE" w:rsidRDefault="001164FE">
            <w:r>
              <w:t>A.1. – A.2.</w:t>
            </w:r>
          </w:p>
        </w:tc>
      </w:tr>
      <w:tr w:rsidR="001164FE" w:rsidTr="00115AAF">
        <w:tc>
          <w:tcPr>
            <w:tcW w:w="1183" w:type="dxa"/>
          </w:tcPr>
          <w:p w:rsidR="001164FE" w:rsidRDefault="001164FE" w:rsidP="00155403">
            <w:r>
              <w:t>A.1.</w:t>
            </w:r>
          </w:p>
        </w:tc>
        <w:tc>
          <w:tcPr>
            <w:tcW w:w="870" w:type="dxa"/>
          </w:tcPr>
          <w:p w:rsidR="001164FE" w:rsidRDefault="001164FE" w:rsidP="005C13D8">
            <w:pPr>
              <w:jc w:val="center"/>
            </w:pPr>
            <w:r>
              <w:t>=</w:t>
            </w:r>
          </w:p>
        </w:tc>
        <w:tc>
          <w:tcPr>
            <w:tcW w:w="7235" w:type="dxa"/>
          </w:tcPr>
          <w:p w:rsidR="001164FE" w:rsidRDefault="001164FE" w:rsidP="00704673">
            <w:r w:rsidRPr="001164FE">
              <w:t>A.1.I.</w:t>
            </w:r>
            <w:r>
              <w:t xml:space="preserve"> </w:t>
            </w:r>
            <w:r w:rsidRPr="001164FE">
              <w:t>+</w:t>
            </w:r>
            <w:r>
              <w:t xml:space="preserve"> </w:t>
            </w:r>
            <w:r w:rsidRPr="001164FE">
              <w:t>A.1.II.</w:t>
            </w:r>
            <w:r>
              <w:t xml:space="preserve"> </w:t>
            </w:r>
            <w:r w:rsidRPr="001164FE">
              <w:t>+</w:t>
            </w:r>
            <w:r>
              <w:t xml:space="preserve"> </w:t>
            </w:r>
            <w:r w:rsidRPr="001164FE">
              <w:t>A.1.III.</w:t>
            </w:r>
            <w:r>
              <w:t xml:space="preserve"> </w:t>
            </w:r>
            <w:r w:rsidRPr="001164FE">
              <w:t>+</w:t>
            </w:r>
            <w:r>
              <w:t xml:space="preserve"> </w:t>
            </w:r>
            <w:r w:rsidRPr="001164FE">
              <w:t>A.1.IV</w:t>
            </w:r>
            <w:r w:rsidRPr="00115AAF">
              <w:t>.</w:t>
            </w:r>
            <w:r w:rsidR="00BE149E" w:rsidRPr="00115AAF">
              <w:t xml:space="preserve"> + A.1.V. + A.1.VI.</w:t>
            </w:r>
          </w:p>
        </w:tc>
      </w:tr>
      <w:tr w:rsidR="0069034D" w:rsidTr="00115AAF">
        <w:tc>
          <w:tcPr>
            <w:tcW w:w="1183" w:type="dxa"/>
          </w:tcPr>
          <w:p w:rsidR="0069034D" w:rsidRDefault="0069034D" w:rsidP="00155403">
            <w:r>
              <w:t>A.1.III.</w:t>
            </w:r>
          </w:p>
        </w:tc>
        <w:tc>
          <w:tcPr>
            <w:tcW w:w="870" w:type="dxa"/>
          </w:tcPr>
          <w:p w:rsidR="0069034D" w:rsidRDefault="0069034D" w:rsidP="005C13D8">
            <w:pPr>
              <w:jc w:val="center"/>
            </w:pPr>
            <w:r>
              <w:t>=</w:t>
            </w:r>
          </w:p>
        </w:tc>
        <w:tc>
          <w:tcPr>
            <w:tcW w:w="7235" w:type="dxa"/>
          </w:tcPr>
          <w:p w:rsidR="0069034D" w:rsidRPr="001164FE" w:rsidRDefault="00F327EC" w:rsidP="00115AAF">
            <w:r>
              <w:t>A.1.III.1.</w:t>
            </w:r>
            <w:r w:rsidR="0069034D" w:rsidRPr="0069034D">
              <w:t xml:space="preserve"> </w:t>
            </w:r>
            <w:r>
              <w:t>+ A.1.III.2. + A.1.III.3. + A.1.III.</w:t>
            </w:r>
            <w:r w:rsidR="00C53259">
              <w:t xml:space="preserve">4. + A.1.III.5. + </w:t>
            </w:r>
            <w:r w:rsidR="0069034D" w:rsidRPr="0069034D">
              <w:t>A.1.III.6.</w:t>
            </w:r>
            <w:r w:rsidR="00B154BE">
              <w:t xml:space="preserve"> + </w:t>
            </w:r>
            <w:r w:rsidR="00B154BE" w:rsidRPr="0069034D">
              <w:t>A.1.III.</w:t>
            </w:r>
            <w:r w:rsidR="00B154BE">
              <w:t xml:space="preserve">7. + </w:t>
            </w:r>
            <w:r w:rsidR="00B154BE" w:rsidRPr="0069034D">
              <w:t>A.1.III.</w:t>
            </w:r>
            <w:r w:rsidR="00B154BE">
              <w:t>8.</w:t>
            </w:r>
            <w:r w:rsidR="00F75090">
              <w:t xml:space="preserve"> + </w:t>
            </w:r>
            <w:r w:rsidR="00F75090" w:rsidRPr="0069034D">
              <w:t>A.1.III.</w:t>
            </w:r>
            <w:r w:rsidR="00F75090">
              <w:t xml:space="preserve">9. + </w:t>
            </w:r>
            <w:r w:rsidR="00F75090" w:rsidRPr="0069034D">
              <w:t>A.1.III.</w:t>
            </w:r>
            <w:r w:rsidR="00F75090">
              <w:t>10.</w:t>
            </w:r>
          </w:p>
        </w:tc>
      </w:tr>
      <w:tr w:rsidR="0069034D" w:rsidTr="00115AAF">
        <w:tc>
          <w:tcPr>
            <w:tcW w:w="1183" w:type="dxa"/>
          </w:tcPr>
          <w:p w:rsidR="0069034D" w:rsidRDefault="0069034D" w:rsidP="00155403">
            <w:r w:rsidRPr="0069034D">
              <w:t>A.1.IV.</w:t>
            </w:r>
          </w:p>
        </w:tc>
        <w:tc>
          <w:tcPr>
            <w:tcW w:w="870" w:type="dxa"/>
          </w:tcPr>
          <w:p w:rsidR="0069034D" w:rsidRDefault="0069034D" w:rsidP="005C13D8">
            <w:pPr>
              <w:jc w:val="center"/>
            </w:pPr>
            <w:r>
              <w:t>=</w:t>
            </w:r>
          </w:p>
        </w:tc>
        <w:tc>
          <w:tcPr>
            <w:tcW w:w="7235" w:type="dxa"/>
          </w:tcPr>
          <w:p w:rsidR="0069034D" w:rsidRPr="001164FE" w:rsidRDefault="0069034D" w:rsidP="00115AAF">
            <w:r w:rsidRPr="0069034D">
              <w:t xml:space="preserve">A.1.IV.1. </w:t>
            </w:r>
            <w:r w:rsidR="00C53259">
              <w:t xml:space="preserve">+ </w:t>
            </w:r>
            <w:r w:rsidR="00C53259" w:rsidRPr="0069034D">
              <w:t>A.1.IV.</w:t>
            </w:r>
            <w:r w:rsidR="00C53259">
              <w:t xml:space="preserve">2. + </w:t>
            </w:r>
            <w:r w:rsidR="00C53259" w:rsidRPr="0069034D">
              <w:t>A.1.IV.</w:t>
            </w:r>
            <w:r w:rsidR="00C53259">
              <w:t>3</w:t>
            </w:r>
            <w:r w:rsidR="00B154BE">
              <w:t>.</w:t>
            </w:r>
          </w:p>
        </w:tc>
      </w:tr>
      <w:tr w:rsidR="00B154BE" w:rsidTr="00115AAF">
        <w:tc>
          <w:tcPr>
            <w:tcW w:w="1183" w:type="dxa"/>
          </w:tcPr>
          <w:p w:rsidR="00B154BE" w:rsidRDefault="00B154BE" w:rsidP="00155403">
            <w:r>
              <w:t>A.1.V.</w:t>
            </w:r>
          </w:p>
        </w:tc>
        <w:tc>
          <w:tcPr>
            <w:tcW w:w="870" w:type="dxa"/>
          </w:tcPr>
          <w:p w:rsidR="00B154BE" w:rsidRDefault="00B154BE" w:rsidP="005C13D8">
            <w:pPr>
              <w:jc w:val="center"/>
            </w:pPr>
            <w:r>
              <w:t>=</w:t>
            </w:r>
          </w:p>
        </w:tc>
        <w:tc>
          <w:tcPr>
            <w:tcW w:w="7235" w:type="dxa"/>
          </w:tcPr>
          <w:p w:rsidR="00B154BE" w:rsidRPr="001164FE" w:rsidRDefault="00B154BE" w:rsidP="00115AAF">
            <w:r>
              <w:t>A.1.V.1. + A.1.V.2. + A.1.V.3.</w:t>
            </w:r>
          </w:p>
        </w:tc>
      </w:tr>
      <w:tr w:rsidR="00B154BE" w:rsidTr="00115AAF">
        <w:tc>
          <w:tcPr>
            <w:tcW w:w="1183" w:type="dxa"/>
          </w:tcPr>
          <w:p w:rsidR="00B154BE" w:rsidRDefault="00B154BE" w:rsidP="00155403">
            <w:r>
              <w:t>A.1.VI.</w:t>
            </w:r>
          </w:p>
        </w:tc>
        <w:tc>
          <w:tcPr>
            <w:tcW w:w="870" w:type="dxa"/>
          </w:tcPr>
          <w:p w:rsidR="00B154BE" w:rsidRDefault="00B154BE" w:rsidP="005C13D8">
            <w:pPr>
              <w:jc w:val="center"/>
            </w:pPr>
            <w:r>
              <w:t>=</w:t>
            </w:r>
          </w:p>
        </w:tc>
        <w:tc>
          <w:tcPr>
            <w:tcW w:w="7235" w:type="dxa"/>
          </w:tcPr>
          <w:p w:rsidR="00B154BE" w:rsidRPr="001164FE" w:rsidRDefault="00B154BE" w:rsidP="00115AAF">
            <w:r>
              <w:t>A.1.VI.1. + A.1.VI.2. + A.1.VI.3. + A.1.VI.4. + A.1.VI.5. + A.1.VI.6. + A.1.VI.7. + A.1.VI.8. + A.1.VI.9.</w:t>
            </w:r>
          </w:p>
        </w:tc>
      </w:tr>
      <w:tr w:rsidR="001164FE" w:rsidTr="00115AAF">
        <w:tc>
          <w:tcPr>
            <w:tcW w:w="1183" w:type="dxa"/>
          </w:tcPr>
          <w:p w:rsidR="001164FE" w:rsidRDefault="001164FE" w:rsidP="00155403">
            <w:r>
              <w:t>A.2.</w:t>
            </w:r>
          </w:p>
        </w:tc>
        <w:tc>
          <w:tcPr>
            <w:tcW w:w="870" w:type="dxa"/>
          </w:tcPr>
          <w:p w:rsidR="001164FE" w:rsidRDefault="001164FE" w:rsidP="005C13D8">
            <w:pPr>
              <w:jc w:val="center"/>
            </w:pPr>
            <w:r>
              <w:t>=</w:t>
            </w:r>
          </w:p>
        </w:tc>
        <w:tc>
          <w:tcPr>
            <w:tcW w:w="7235" w:type="dxa"/>
          </w:tcPr>
          <w:p w:rsidR="001164FE" w:rsidRDefault="001164FE" w:rsidP="006F2FC0">
            <w:r w:rsidRPr="001164FE">
              <w:t>A.2.V</w:t>
            </w:r>
            <w:r w:rsidR="00181D4D">
              <w:t>II</w:t>
            </w:r>
            <w:r w:rsidRPr="001164FE">
              <w:t>.</w:t>
            </w:r>
            <w:r>
              <w:t xml:space="preserve"> </w:t>
            </w:r>
            <w:r w:rsidRPr="001164FE">
              <w:t>+</w:t>
            </w:r>
            <w:r>
              <w:t xml:space="preserve"> </w:t>
            </w:r>
            <w:r w:rsidRPr="001164FE">
              <w:t>A.2.VI</w:t>
            </w:r>
            <w:r w:rsidR="00181D4D">
              <w:t>II</w:t>
            </w:r>
            <w:r w:rsidRPr="001164FE">
              <w:t>.</w:t>
            </w:r>
            <w:r>
              <w:t xml:space="preserve"> </w:t>
            </w:r>
            <w:r w:rsidRPr="001164FE">
              <w:t>+A.2.IX.</w:t>
            </w:r>
            <w:r>
              <w:t xml:space="preserve"> </w:t>
            </w:r>
            <w:r w:rsidRPr="001164FE">
              <w:t>+</w:t>
            </w:r>
            <w:r>
              <w:t xml:space="preserve"> </w:t>
            </w:r>
            <w:r w:rsidRPr="001164FE">
              <w:t>A.2.X.</w:t>
            </w:r>
            <w:r>
              <w:t xml:space="preserve"> </w:t>
            </w:r>
            <w:r w:rsidRPr="001164FE">
              <w:t>+</w:t>
            </w:r>
            <w:r>
              <w:t xml:space="preserve"> </w:t>
            </w:r>
            <w:r w:rsidRPr="001164FE">
              <w:t>A.2.XI.</w:t>
            </w:r>
            <w:r w:rsidR="00181D4D">
              <w:t xml:space="preserve"> + </w:t>
            </w:r>
            <w:r w:rsidR="00181D4D" w:rsidRPr="001164FE">
              <w:t>A.2.</w:t>
            </w:r>
            <w:r w:rsidR="00181D4D">
              <w:t xml:space="preserve">XII. + </w:t>
            </w:r>
            <w:r w:rsidR="00181D4D" w:rsidRPr="001164FE">
              <w:t>A.2.</w:t>
            </w:r>
            <w:r w:rsidR="00181D4D">
              <w:t xml:space="preserve">XIII. + </w:t>
            </w:r>
            <w:r w:rsidR="00181D4D" w:rsidRPr="001164FE">
              <w:t>A.2.</w:t>
            </w:r>
            <w:r w:rsidR="00181D4D">
              <w:t>XIV.</w:t>
            </w:r>
          </w:p>
        </w:tc>
      </w:tr>
      <w:tr w:rsidR="00F327EC" w:rsidTr="00115AAF">
        <w:tc>
          <w:tcPr>
            <w:tcW w:w="1183" w:type="dxa"/>
          </w:tcPr>
          <w:p w:rsidR="00F327EC" w:rsidRDefault="00F327EC" w:rsidP="00155403">
            <w:r w:rsidRPr="00F327EC">
              <w:t>A.2.V</w:t>
            </w:r>
            <w:r w:rsidR="00181D4D">
              <w:t>II</w:t>
            </w:r>
            <w:r w:rsidRPr="00F327EC">
              <w:t>.</w:t>
            </w:r>
          </w:p>
        </w:tc>
        <w:tc>
          <w:tcPr>
            <w:tcW w:w="870" w:type="dxa"/>
          </w:tcPr>
          <w:p w:rsidR="00F327EC" w:rsidRDefault="00F327EC" w:rsidP="005C13D8">
            <w:pPr>
              <w:jc w:val="center"/>
            </w:pPr>
            <w:r>
              <w:t>=</w:t>
            </w:r>
          </w:p>
        </w:tc>
        <w:tc>
          <w:tcPr>
            <w:tcW w:w="7235" w:type="dxa"/>
          </w:tcPr>
          <w:p w:rsidR="00F327EC" w:rsidRPr="001164FE" w:rsidRDefault="00C53259" w:rsidP="006F2FC0">
            <w:r>
              <w:t>A.2.V</w:t>
            </w:r>
            <w:r w:rsidR="00181D4D">
              <w:t>II</w:t>
            </w:r>
            <w:r>
              <w:t xml:space="preserve">.1. + </w:t>
            </w:r>
            <w:r w:rsidRPr="00F327EC">
              <w:t>A.2.V</w:t>
            </w:r>
            <w:r w:rsidR="00181D4D">
              <w:t>II</w:t>
            </w:r>
            <w:r w:rsidRPr="00F327EC">
              <w:t>.</w:t>
            </w:r>
            <w:r>
              <w:t>2. +</w:t>
            </w:r>
            <w:r w:rsidR="00F327EC" w:rsidRPr="00F327EC">
              <w:t xml:space="preserve"> A.2.V</w:t>
            </w:r>
            <w:r w:rsidR="00181D4D">
              <w:t>II</w:t>
            </w:r>
            <w:r w:rsidR="00F327EC" w:rsidRPr="00F327EC">
              <w:t>.3.</w:t>
            </w:r>
          </w:p>
        </w:tc>
      </w:tr>
      <w:tr w:rsidR="00F327EC" w:rsidTr="00115AAF">
        <w:tc>
          <w:tcPr>
            <w:tcW w:w="1183" w:type="dxa"/>
          </w:tcPr>
          <w:p w:rsidR="00F327EC" w:rsidRDefault="00F327EC" w:rsidP="00155403">
            <w:r w:rsidRPr="00F327EC">
              <w:t>A.2.IX.</w:t>
            </w:r>
          </w:p>
        </w:tc>
        <w:tc>
          <w:tcPr>
            <w:tcW w:w="870" w:type="dxa"/>
          </w:tcPr>
          <w:p w:rsidR="00F327EC" w:rsidRDefault="00F327EC" w:rsidP="005C13D8">
            <w:pPr>
              <w:jc w:val="center"/>
            </w:pPr>
            <w:r>
              <w:t>=</w:t>
            </w:r>
          </w:p>
        </w:tc>
        <w:tc>
          <w:tcPr>
            <w:tcW w:w="7235" w:type="dxa"/>
          </w:tcPr>
          <w:p w:rsidR="00F327EC" w:rsidRPr="001164FE" w:rsidRDefault="00F327EC" w:rsidP="006F2FC0">
            <w:r w:rsidRPr="00F327EC">
              <w:t xml:space="preserve">A.2.IX.1. </w:t>
            </w:r>
            <w:r w:rsidR="00C53259">
              <w:t xml:space="preserve">+ </w:t>
            </w:r>
            <w:r w:rsidR="00C53259" w:rsidRPr="00F327EC">
              <w:t>A.2.IX.</w:t>
            </w:r>
            <w:r w:rsidR="00C53259">
              <w:t xml:space="preserve">2. + </w:t>
            </w:r>
            <w:r w:rsidR="00C53259" w:rsidRPr="00F327EC">
              <w:t>A.2.IX.</w:t>
            </w:r>
            <w:r w:rsidR="00C53259">
              <w:t>3.</w:t>
            </w:r>
          </w:p>
        </w:tc>
      </w:tr>
      <w:tr w:rsidR="00F327EC" w:rsidTr="00115AAF">
        <w:tc>
          <w:tcPr>
            <w:tcW w:w="1183" w:type="dxa"/>
          </w:tcPr>
          <w:p w:rsidR="00F327EC" w:rsidRDefault="00F327EC" w:rsidP="00155403">
            <w:r w:rsidRPr="00F327EC">
              <w:t>A.2.X.</w:t>
            </w:r>
          </w:p>
        </w:tc>
        <w:tc>
          <w:tcPr>
            <w:tcW w:w="870" w:type="dxa"/>
          </w:tcPr>
          <w:p w:rsidR="00F327EC" w:rsidRDefault="00F327EC" w:rsidP="005C13D8">
            <w:pPr>
              <w:jc w:val="center"/>
            </w:pPr>
            <w:r>
              <w:t>=</w:t>
            </w:r>
          </w:p>
        </w:tc>
        <w:tc>
          <w:tcPr>
            <w:tcW w:w="7235" w:type="dxa"/>
          </w:tcPr>
          <w:p w:rsidR="00F327EC" w:rsidRPr="001164FE" w:rsidRDefault="00C53259" w:rsidP="001F663E">
            <w:r>
              <w:t>A.2.X.1. + A.2.X.</w:t>
            </w:r>
            <w:r w:rsidR="00CA7E38">
              <w:t xml:space="preserve">2. </w:t>
            </w:r>
          </w:p>
        </w:tc>
      </w:tr>
      <w:tr w:rsidR="00F327EC" w:rsidTr="00115AAF">
        <w:tc>
          <w:tcPr>
            <w:tcW w:w="1183" w:type="dxa"/>
          </w:tcPr>
          <w:p w:rsidR="00F327EC" w:rsidRDefault="00F327EC" w:rsidP="00155403">
            <w:r w:rsidRPr="00F327EC">
              <w:t>A.2.XI.</w:t>
            </w:r>
          </w:p>
        </w:tc>
        <w:tc>
          <w:tcPr>
            <w:tcW w:w="870" w:type="dxa"/>
          </w:tcPr>
          <w:p w:rsidR="00F327EC" w:rsidRDefault="00F327EC" w:rsidP="005C13D8">
            <w:pPr>
              <w:jc w:val="center"/>
            </w:pPr>
            <w:r>
              <w:t>=</w:t>
            </w:r>
          </w:p>
        </w:tc>
        <w:tc>
          <w:tcPr>
            <w:tcW w:w="7235" w:type="dxa"/>
          </w:tcPr>
          <w:p w:rsidR="00F327EC" w:rsidRPr="001164FE" w:rsidRDefault="00CA7E38" w:rsidP="001F663E">
            <w:r>
              <w:t>A.2.XI.1.</w:t>
            </w:r>
            <w:r w:rsidR="00F327EC" w:rsidRPr="00F327EC">
              <w:t xml:space="preserve"> </w:t>
            </w:r>
            <w:r>
              <w:t xml:space="preserve">+ A.2.XI.2. + A.2.XI.3. + </w:t>
            </w:r>
            <w:r w:rsidR="00F327EC" w:rsidRPr="00F327EC">
              <w:t>A.2.XI.4.</w:t>
            </w:r>
            <w:r w:rsidR="00BB34DB">
              <w:t xml:space="preserve"> + A.2.XI.5. + A.2.XI.6.</w:t>
            </w:r>
            <w:r w:rsidR="0092034A">
              <w:t xml:space="preserve"> + A.2.XI.7. + A.2.XI.8.</w:t>
            </w:r>
          </w:p>
        </w:tc>
      </w:tr>
      <w:tr w:rsidR="0092034A" w:rsidTr="00181D4D">
        <w:tc>
          <w:tcPr>
            <w:tcW w:w="1183" w:type="dxa"/>
          </w:tcPr>
          <w:p w:rsidR="0092034A" w:rsidRDefault="0092034A" w:rsidP="00155403">
            <w:r>
              <w:t>A.2.XII.</w:t>
            </w:r>
          </w:p>
        </w:tc>
        <w:tc>
          <w:tcPr>
            <w:tcW w:w="870" w:type="dxa"/>
          </w:tcPr>
          <w:p w:rsidR="0092034A" w:rsidRDefault="0092034A" w:rsidP="005C13D8">
            <w:pPr>
              <w:jc w:val="center"/>
            </w:pPr>
            <w:r>
              <w:t>=</w:t>
            </w:r>
          </w:p>
        </w:tc>
        <w:tc>
          <w:tcPr>
            <w:tcW w:w="7235" w:type="dxa"/>
          </w:tcPr>
          <w:p w:rsidR="0092034A" w:rsidRDefault="0092034A" w:rsidP="001F663E">
            <w:r>
              <w:t>A.2.XII.1. + A.2.XII.2. + A.2.XII.3.</w:t>
            </w:r>
          </w:p>
        </w:tc>
      </w:tr>
      <w:tr w:rsidR="0092034A" w:rsidTr="00181D4D">
        <w:tc>
          <w:tcPr>
            <w:tcW w:w="1183" w:type="dxa"/>
          </w:tcPr>
          <w:p w:rsidR="0092034A" w:rsidRDefault="0092034A" w:rsidP="00155403">
            <w:r>
              <w:t>A.2.XIII.</w:t>
            </w:r>
          </w:p>
        </w:tc>
        <w:tc>
          <w:tcPr>
            <w:tcW w:w="870" w:type="dxa"/>
          </w:tcPr>
          <w:p w:rsidR="0092034A" w:rsidRDefault="0092034A" w:rsidP="005C13D8">
            <w:pPr>
              <w:jc w:val="center"/>
            </w:pPr>
            <w:r>
              <w:t>=</w:t>
            </w:r>
          </w:p>
        </w:tc>
        <w:tc>
          <w:tcPr>
            <w:tcW w:w="7235" w:type="dxa"/>
          </w:tcPr>
          <w:p w:rsidR="0092034A" w:rsidRDefault="0092034A" w:rsidP="001F663E">
            <w:r>
              <w:t>A.2.XIII.1. + A.2.XIII.2. + A.2.XIII.3.</w:t>
            </w:r>
          </w:p>
        </w:tc>
      </w:tr>
      <w:tr w:rsidR="0092034A" w:rsidTr="00181D4D">
        <w:tc>
          <w:tcPr>
            <w:tcW w:w="1183" w:type="dxa"/>
          </w:tcPr>
          <w:p w:rsidR="0092034A" w:rsidRDefault="0092034A" w:rsidP="00155403">
            <w:r>
              <w:t>A.2.XIV.</w:t>
            </w:r>
          </w:p>
        </w:tc>
        <w:tc>
          <w:tcPr>
            <w:tcW w:w="870" w:type="dxa"/>
          </w:tcPr>
          <w:p w:rsidR="0092034A" w:rsidRDefault="0092034A" w:rsidP="005C13D8">
            <w:pPr>
              <w:jc w:val="center"/>
            </w:pPr>
            <w:r>
              <w:t xml:space="preserve">= </w:t>
            </w:r>
          </w:p>
        </w:tc>
        <w:tc>
          <w:tcPr>
            <w:tcW w:w="7235" w:type="dxa"/>
          </w:tcPr>
          <w:p w:rsidR="0092034A" w:rsidRDefault="0092034A" w:rsidP="001F663E">
            <w:r>
              <w:t>A.2.XIV.1. + A.2.XIV.2. + A.2.XIV.3. + A.2.XIV.4. + A.2.XIV.5.</w:t>
            </w:r>
          </w:p>
        </w:tc>
      </w:tr>
      <w:tr w:rsidR="001164FE" w:rsidTr="001F663E">
        <w:tc>
          <w:tcPr>
            <w:tcW w:w="1183" w:type="dxa"/>
          </w:tcPr>
          <w:p w:rsidR="001164FE" w:rsidRDefault="00A76590" w:rsidP="00155403">
            <w:r>
              <w:t>B.</w:t>
            </w:r>
          </w:p>
        </w:tc>
        <w:tc>
          <w:tcPr>
            <w:tcW w:w="870" w:type="dxa"/>
          </w:tcPr>
          <w:p w:rsidR="001164FE" w:rsidRDefault="00A76590" w:rsidP="005C13D8">
            <w:pPr>
              <w:jc w:val="center"/>
            </w:pPr>
            <w:r>
              <w:t>=</w:t>
            </w:r>
          </w:p>
        </w:tc>
        <w:tc>
          <w:tcPr>
            <w:tcW w:w="7235" w:type="dxa"/>
          </w:tcPr>
          <w:p w:rsidR="001164FE" w:rsidRDefault="00A76590">
            <w:r>
              <w:t>B.1. – B.2.</w:t>
            </w:r>
          </w:p>
        </w:tc>
      </w:tr>
      <w:tr w:rsidR="001164FE" w:rsidTr="00DB0BBB">
        <w:tc>
          <w:tcPr>
            <w:tcW w:w="1183" w:type="dxa"/>
          </w:tcPr>
          <w:p w:rsidR="001164FE" w:rsidRDefault="00A76590" w:rsidP="00155403">
            <w:r>
              <w:t>B.1.</w:t>
            </w:r>
          </w:p>
        </w:tc>
        <w:tc>
          <w:tcPr>
            <w:tcW w:w="870" w:type="dxa"/>
          </w:tcPr>
          <w:p w:rsidR="001164FE" w:rsidRDefault="00A76590" w:rsidP="005C13D8">
            <w:pPr>
              <w:jc w:val="center"/>
            </w:pPr>
            <w:r>
              <w:t>=</w:t>
            </w:r>
          </w:p>
        </w:tc>
        <w:tc>
          <w:tcPr>
            <w:tcW w:w="7235" w:type="dxa"/>
          </w:tcPr>
          <w:p w:rsidR="001164FE" w:rsidRDefault="00A76590">
            <w:r w:rsidRPr="00A76590">
              <w:t>B.1.I. + B.1.II. + B.1.III.</w:t>
            </w:r>
          </w:p>
        </w:tc>
      </w:tr>
      <w:tr w:rsidR="001164FE" w:rsidTr="00DB0BBB">
        <w:tc>
          <w:tcPr>
            <w:tcW w:w="1183" w:type="dxa"/>
          </w:tcPr>
          <w:p w:rsidR="001164FE" w:rsidRDefault="00A76590" w:rsidP="00155403">
            <w:r>
              <w:t>B.2.</w:t>
            </w:r>
          </w:p>
        </w:tc>
        <w:tc>
          <w:tcPr>
            <w:tcW w:w="870" w:type="dxa"/>
          </w:tcPr>
          <w:p w:rsidR="001164FE" w:rsidRDefault="00A76590" w:rsidP="005C13D8">
            <w:pPr>
              <w:jc w:val="center"/>
            </w:pPr>
            <w:r>
              <w:t>=</w:t>
            </w:r>
          </w:p>
        </w:tc>
        <w:tc>
          <w:tcPr>
            <w:tcW w:w="7235" w:type="dxa"/>
          </w:tcPr>
          <w:p w:rsidR="001164FE" w:rsidRDefault="00A76590">
            <w:r w:rsidRPr="00A76590">
              <w:t>B.2.I. + B.2.II. + B.2.III.</w:t>
            </w:r>
          </w:p>
        </w:tc>
      </w:tr>
      <w:tr w:rsidR="001164FE" w:rsidTr="00DB0BBB">
        <w:tc>
          <w:tcPr>
            <w:tcW w:w="1183" w:type="dxa"/>
          </w:tcPr>
          <w:p w:rsidR="001164FE" w:rsidRDefault="00A76590" w:rsidP="00155403">
            <w:r>
              <w:t>C.</w:t>
            </w:r>
          </w:p>
        </w:tc>
        <w:tc>
          <w:tcPr>
            <w:tcW w:w="870" w:type="dxa"/>
          </w:tcPr>
          <w:p w:rsidR="001164FE" w:rsidRDefault="00A76590" w:rsidP="005C13D8">
            <w:pPr>
              <w:jc w:val="center"/>
            </w:pPr>
            <w:r>
              <w:t>=</w:t>
            </w:r>
          </w:p>
        </w:tc>
        <w:tc>
          <w:tcPr>
            <w:tcW w:w="7235" w:type="dxa"/>
          </w:tcPr>
          <w:p w:rsidR="001164FE" w:rsidRDefault="00A76590" w:rsidP="00A76590">
            <w:r>
              <w:t>A. – B.</w:t>
            </w:r>
          </w:p>
        </w:tc>
      </w:tr>
      <w:tr w:rsidR="001164FE" w:rsidTr="00DB0BBB">
        <w:tc>
          <w:tcPr>
            <w:tcW w:w="1183" w:type="dxa"/>
          </w:tcPr>
          <w:p w:rsidR="001164FE" w:rsidRDefault="00A76590" w:rsidP="00155403">
            <w:r>
              <w:t>D.</w:t>
            </w:r>
          </w:p>
        </w:tc>
        <w:tc>
          <w:tcPr>
            <w:tcW w:w="870" w:type="dxa"/>
          </w:tcPr>
          <w:p w:rsidR="001164FE" w:rsidRDefault="00A76590" w:rsidP="005C13D8">
            <w:pPr>
              <w:jc w:val="center"/>
            </w:pPr>
            <w:r>
              <w:t>=</w:t>
            </w:r>
          </w:p>
        </w:tc>
        <w:tc>
          <w:tcPr>
            <w:tcW w:w="7235" w:type="dxa"/>
          </w:tcPr>
          <w:p w:rsidR="001164FE" w:rsidRDefault="00A76590">
            <w:r>
              <w:t>D.2. – D.1.</w:t>
            </w:r>
          </w:p>
        </w:tc>
      </w:tr>
      <w:tr w:rsidR="00A76590" w:rsidTr="001F663E">
        <w:tc>
          <w:tcPr>
            <w:tcW w:w="1183" w:type="dxa"/>
          </w:tcPr>
          <w:p w:rsidR="00A76590" w:rsidRDefault="002278F2" w:rsidP="00155403">
            <w:r>
              <w:t>D.1.</w:t>
            </w:r>
          </w:p>
        </w:tc>
        <w:tc>
          <w:tcPr>
            <w:tcW w:w="870" w:type="dxa"/>
          </w:tcPr>
          <w:p w:rsidR="00A76590" w:rsidRDefault="002278F2" w:rsidP="005C13D8">
            <w:pPr>
              <w:jc w:val="center"/>
            </w:pPr>
            <w:r>
              <w:t>=</w:t>
            </w:r>
          </w:p>
        </w:tc>
        <w:tc>
          <w:tcPr>
            <w:tcW w:w="7235" w:type="dxa"/>
          </w:tcPr>
          <w:p w:rsidR="00A76590" w:rsidRDefault="002278F2" w:rsidP="001F663E">
            <w:r w:rsidRPr="002278F2">
              <w:t>D.1.I. + D.1.II.</w:t>
            </w:r>
          </w:p>
        </w:tc>
      </w:tr>
      <w:tr w:rsidR="0015444A" w:rsidTr="00181D4D">
        <w:tc>
          <w:tcPr>
            <w:tcW w:w="1183" w:type="dxa"/>
          </w:tcPr>
          <w:p w:rsidR="0015444A" w:rsidRDefault="0015444A" w:rsidP="00155403">
            <w:r>
              <w:t>D.1.I.</w:t>
            </w:r>
          </w:p>
        </w:tc>
        <w:tc>
          <w:tcPr>
            <w:tcW w:w="870" w:type="dxa"/>
          </w:tcPr>
          <w:p w:rsidR="0015444A" w:rsidRDefault="0015444A" w:rsidP="005C13D8">
            <w:pPr>
              <w:jc w:val="center"/>
            </w:pPr>
            <w:r>
              <w:t>=</w:t>
            </w:r>
          </w:p>
        </w:tc>
        <w:tc>
          <w:tcPr>
            <w:tcW w:w="7235" w:type="dxa"/>
          </w:tcPr>
          <w:p w:rsidR="0015444A" w:rsidRPr="002278F2" w:rsidRDefault="0015444A" w:rsidP="001F663E">
            <w:r>
              <w:t>D.1.I.1. + D.1.I.2. + D.1.I.3.</w:t>
            </w:r>
          </w:p>
        </w:tc>
      </w:tr>
      <w:tr w:rsidR="0015444A" w:rsidTr="00181D4D">
        <w:tc>
          <w:tcPr>
            <w:tcW w:w="1183" w:type="dxa"/>
          </w:tcPr>
          <w:p w:rsidR="0015444A" w:rsidRDefault="0015444A" w:rsidP="00155403">
            <w:r>
              <w:t>D.1.II.</w:t>
            </w:r>
          </w:p>
        </w:tc>
        <w:tc>
          <w:tcPr>
            <w:tcW w:w="870" w:type="dxa"/>
          </w:tcPr>
          <w:p w:rsidR="0015444A" w:rsidRDefault="0015444A" w:rsidP="005C13D8">
            <w:pPr>
              <w:jc w:val="center"/>
            </w:pPr>
            <w:r>
              <w:t>=</w:t>
            </w:r>
          </w:p>
        </w:tc>
        <w:tc>
          <w:tcPr>
            <w:tcW w:w="7235" w:type="dxa"/>
          </w:tcPr>
          <w:p w:rsidR="0015444A" w:rsidRPr="002278F2" w:rsidRDefault="0015444A" w:rsidP="001F663E">
            <w:r>
              <w:t>D.1.II.1. + D.1.II.2. + D.1.II.3.</w:t>
            </w:r>
          </w:p>
        </w:tc>
      </w:tr>
      <w:tr w:rsidR="00A76590" w:rsidTr="001F663E">
        <w:tc>
          <w:tcPr>
            <w:tcW w:w="1183" w:type="dxa"/>
          </w:tcPr>
          <w:p w:rsidR="00A76590" w:rsidRDefault="002278F2" w:rsidP="00155403">
            <w:r>
              <w:t>D.2.</w:t>
            </w:r>
          </w:p>
        </w:tc>
        <w:tc>
          <w:tcPr>
            <w:tcW w:w="870" w:type="dxa"/>
          </w:tcPr>
          <w:p w:rsidR="00A76590" w:rsidRDefault="002278F2" w:rsidP="005C13D8">
            <w:pPr>
              <w:jc w:val="center"/>
            </w:pPr>
            <w:r>
              <w:t>=</w:t>
            </w:r>
          </w:p>
        </w:tc>
        <w:tc>
          <w:tcPr>
            <w:tcW w:w="7235" w:type="dxa"/>
          </w:tcPr>
          <w:p w:rsidR="00A76590" w:rsidRDefault="002278F2" w:rsidP="001F663E">
            <w:r w:rsidRPr="002278F2">
              <w:t>D.2.I. + D.2.II.</w:t>
            </w:r>
          </w:p>
        </w:tc>
      </w:tr>
      <w:tr w:rsidR="0015444A" w:rsidTr="00181D4D">
        <w:tc>
          <w:tcPr>
            <w:tcW w:w="1183" w:type="dxa"/>
          </w:tcPr>
          <w:p w:rsidR="0015444A" w:rsidRDefault="0015444A" w:rsidP="00155403">
            <w:r>
              <w:t>D.2.I.</w:t>
            </w:r>
          </w:p>
        </w:tc>
        <w:tc>
          <w:tcPr>
            <w:tcW w:w="870" w:type="dxa"/>
          </w:tcPr>
          <w:p w:rsidR="0015444A" w:rsidRDefault="0015444A" w:rsidP="005C13D8">
            <w:pPr>
              <w:jc w:val="center"/>
            </w:pPr>
            <w:r>
              <w:t>=</w:t>
            </w:r>
          </w:p>
        </w:tc>
        <w:tc>
          <w:tcPr>
            <w:tcW w:w="7235" w:type="dxa"/>
          </w:tcPr>
          <w:p w:rsidR="0015444A" w:rsidRDefault="0015444A" w:rsidP="001F663E">
            <w:r>
              <w:t>D.2.I.1. + D.2.I.2. + D.2.I.3.</w:t>
            </w:r>
            <w:r w:rsidR="000F629B">
              <w:t xml:space="preserve"> + D.2.I.4.</w:t>
            </w:r>
          </w:p>
        </w:tc>
      </w:tr>
      <w:tr w:rsidR="000F629B" w:rsidTr="00181D4D">
        <w:tc>
          <w:tcPr>
            <w:tcW w:w="1183" w:type="dxa"/>
          </w:tcPr>
          <w:p w:rsidR="000F629B" w:rsidRDefault="000F629B" w:rsidP="00155403">
            <w:r>
              <w:t>D.2.II.</w:t>
            </w:r>
          </w:p>
        </w:tc>
        <w:tc>
          <w:tcPr>
            <w:tcW w:w="870" w:type="dxa"/>
          </w:tcPr>
          <w:p w:rsidR="000F629B" w:rsidRDefault="000F629B" w:rsidP="005C13D8">
            <w:pPr>
              <w:jc w:val="center"/>
            </w:pPr>
            <w:r>
              <w:t>=</w:t>
            </w:r>
          </w:p>
        </w:tc>
        <w:tc>
          <w:tcPr>
            <w:tcW w:w="7235" w:type="dxa"/>
          </w:tcPr>
          <w:p w:rsidR="000F629B" w:rsidRDefault="000F629B" w:rsidP="001F663E">
            <w:r>
              <w:t>D.2.II.1. + D.2.II.2. + D.2.II.3. + D.2.II.4.</w:t>
            </w:r>
          </w:p>
        </w:tc>
      </w:tr>
      <w:tr w:rsidR="00A76590" w:rsidTr="001F663E">
        <w:tc>
          <w:tcPr>
            <w:tcW w:w="1183" w:type="dxa"/>
          </w:tcPr>
          <w:p w:rsidR="00A76590" w:rsidRDefault="002278F2" w:rsidP="00155403">
            <w:r>
              <w:t>E.</w:t>
            </w:r>
          </w:p>
        </w:tc>
        <w:tc>
          <w:tcPr>
            <w:tcW w:w="870" w:type="dxa"/>
          </w:tcPr>
          <w:p w:rsidR="00A76590" w:rsidRDefault="002278F2" w:rsidP="005C13D8">
            <w:pPr>
              <w:jc w:val="center"/>
            </w:pPr>
            <w:r>
              <w:t>=</w:t>
            </w:r>
          </w:p>
        </w:tc>
        <w:tc>
          <w:tcPr>
            <w:tcW w:w="7235" w:type="dxa"/>
          </w:tcPr>
          <w:p w:rsidR="00A76590" w:rsidRDefault="002278F2">
            <w:r>
              <w:t>C. + D.</w:t>
            </w:r>
          </w:p>
        </w:tc>
      </w:tr>
      <w:tr w:rsidR="005C13D8" w:rsidTr="001F663E">
        <w:tc>
          <w:tcPr>
            <w:tcW w:w="9288" w:type="dxa"/>
            <w:gridSpan w:val="3"/>
          </w:tcPr>
          <w:p w:rsidR="005C13D8" w:rsidRPr="005C13D8" w:rsidRDefault="005C13D8" w:rsidP="00504940">
            <w:pPr>
              <w:jc w:val="center"/>
              <w:rPr>
                <w:b/>
              </w:rPr>
            </w:pPr>
            <w:r w:rsidRPr="005C13D8">
              <w:rPr>
                <w:b/>
              </w:rPr>
              <w:t>MEZIVÝKAZOVÁ KONTROLNÍ VAZBA</w:t>
            </w:r>
          </w:p>
        </w:tc>
      </w:tr>
      <w:tr w:rsidR="005C13D8" w:rsidTr="001F663E">
        <w:tc>
          <w:tcPr>
            <w:tcW w:w="1183" w:type="dxa"/>
          </w:tcPr>
          <w:p w:rsidR="005C13D8" w:rsidRDefault="005C13D8" w:rsidP="00155403">
            <w:r>
              <w:t>E.</w:t>
            </w:r>
          </w:p>
        </w:tc>
        <w:tc>
          <w:tcPr>
            <w:tcW w:w="870" w:type="dxa"/>
          </w:tcPr>
          <w:p w:rsidR="005C13D8" w:rsidRDefault="005C13D8" w:rsidP="005C13D8">
            <w:pPr>
              <w:jc w:val="center"/>
            </w:pPr>
            <w:r>
              <w:t>=</w:t>
            </w:r>
          </w:p>
        </w:tc>
        <w:tc>
          <w:tcPr>
            <w:tcW w:w="7235" w:type="dxa"/>
          </w:tcPr>
          <w:p w:rsidR="005C13D8" w:rsidRPr="00C92941" w:rsidRDefault="002F6D9F">
            <w:r w:rsidRPr="001F663E">
              <w:rPr>
                <w:b/>
                <w:i/>
              </w:rPr>
              <w:t>obecně:</w:t>
            </w:r>
            <w:r w:rsidRPr="00C92941">
              <w:t xml:space="preserve"> součet rozdílů (konečný stav </w:t>
            </w:r>
            <w:r w:rsidR="00E210A2">
              <w:t xml:space="preserve">netto </w:t>
            </w:r>
            <w:r w:rsidRPr="00C92941">
              <w:t>– počáteční stav</w:t>
            </w:r>
            <w:r w:rsidR="00E210A2">
              <w:t xml:space="preserve"> netto</w:t>
            </w:r>
            <w:r w:rsidRPr="00C92941">
              <w:t>) za období od počátku roku u položek rozvahy, na kterých účetní jednotka zaznamenává pohyb peněz</w:t>
            </w:r>
            <w:r w:rsidR="00CE6505">
              <w:t>, vč. položky</w:t>
            </w:r>
            <w:r w:rsidR="00494CF9" w:rsidRPr="00C92941">
              <w:t xml:space="preserve"> </w:t>
            </w:r>
            <w:r w:rsidR="00CE6505">
              <w:t>P</w:t>
            </w:r>
            <w:r w:rsidR="00494CF9" w:rsidRPr="00C92941">
              <w:t>eníze na cestě</w:t>
            </w:r>
            <w:r w:rsidR="00CE6505">
              <w:t xml:space="preserve"> nebo obdobné položky</w:t>
            </w:r>
            <w:r w:rsidR="00BC4ACC">
              <w:t xml:space="preserve"> stejného charakteru</w:t>
            </w:r>
            <w:r w:rsidR="00E2667C">
              <w:rPr>
                <w:rStyle w:val="Znakapoznpodarou"/>
              </w:rPr>
              <w:footnoteReference w:id="2"/>
            </w:r>
          </w:p>
          <w:p w:rsidR="002F6D9F" w:rsidRPr="002F6D9F" w:rsidRDefault="002F6D9F" w:rsidP="00494CF9">
            <w:r w:rsidRPr="002D6011">
              <w:rPr>
                <w:b/>
                <w:i/>
              </w:rPr>
              <w:t>konkrétně pro SPO:</w:t>
            </w:r>
            <w:r w:rsidRPr="002F6D9F">
              <w:rPr>
                <w:i/>
              </w:rPr>
              <w:t xml:space="preserve"> </w:t>
            </w:r>
            <w:r w:rsidR="00494CF9" w:rsidRPr="00E802DC">
              <w:t>[(A.III.5. + B.III.4. + B.III.5. + B.III.9. + B.III.16. + B.III.17.), běžné účetní období netto] - [(A.III.5. + B.III.4. + B.III.5. + B.III.9. + B.III.16. + B.III.17.), minulé účetní období netto]</w:t>
            </w:r>
          </w:p>
        </w:tc>
      </w:tr>
    </w:tbl>
    <w:p w:rsidR="002612BB" w:rsidRPr="00F37B5A" w:rsidRDefault="00437EA8" w:rsidP="00437EA8">
      <w:pPr>
        <w:spacing w:after="120"/>
        <w:rPr>
          <w:b/>
        </w:rPr>
      </w:pPr>
      <w:r w:rsidRPr="00F37B5A">
        <w:rPr>
          <w:b/>
        </w:rPr>
        <w:lastRenderedPageBreak/>
        <w:t xml:space="preserve">Obr. 1: </w:t>
      </w:r>
      <w:r w:rsidR="002612BB" w:rsidRPr="00F37B5A">
        <w:rPr>
          <w:b/>
        </w:rPr>
        <w:t>Obecné sché</w:t>
      </w:r>
      <w:r w:rsidRPr="00F37B5A">
        <w:rPr>
          <w:b/>
        </w:rPr>
        <w:t>ma mezivýkazové kontrolní vazby</w:t>
      </w:r>
    </w:p>
    <w:p w:rsidR="0008297B" w:rsidRDefault="002612BB">
      <w:r>
        <w:rPr>
          <w:noProof/>
          <w:lang w:eastAsia="cs-CZ"/>
        </w:rPr>
        <w:drawing>
          <wp:inline distT="0" distB="0" distL="0" distR="0">
            <wp:extent cx="5610225" cy="2095500"/>
            <wp:effectExtent l="57150" t="0" r="66675"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163E0" w:rsidRDefault="000E1D07" w:rsidP="00A356FF">
      <w:pPr>
        <w:jc w:val="both"/>
      </w:pPr>
      <w:r>
        <w:t>Z kontrolní vazby mezi předmětným výkazem a rozvahou každé jednotlivé účetní jednotky plyne základní logika, kterou je nutné dodržet</w:t>
      </w:r>
      <w:r w:rsidR="00CA7E38">
        <w:t>:</w:t>
      </w:r>
      <w:r w:rsidR="00A81DF0">
        <w:t xml:space="preserve"> k</w:t>
      </w:r>
      <w:r>
        <w:t>aždý úč</w:t>
      </w:r>
      <w:r w:rsidR="001A41DE">
        <w:t xml:space="preserve">etní případ, který se promítne </w:t>
      </w:r>
      <w:r>
        <w:t>na n</w:t>
      </w:r>
      <w:r w:rsidR="001760FB">
        <w:t>ěkteré z položek rozvahy</w:t>
      </w:r>
      <w:r>
        <w:t xml:space="preserve"> zahrnutých do kontrolní vazby, musí být </w:t>
      </w:r>
      <w:r w:rsidR="007D3FDC">
        <w:t xml:space="preserve">vykázán </w:t>
      </w:r>
      <w:r>
        <w:t>také na některé položce výkazu</w:t>
      </w:r>
      <w:r w:rsidR="00452A70">
        <w:t>. To znamená, že má vliv na čistou změnu oběživa a depozit</w:t>
      </w:r>
      <w:r w:rsidR="00452A70" w:rsidRPr="008D7ECE">
        <w:t xml:space="preserve">. Jenom v případě, že je předkontace pro danou účetní operaci tvořena na straně </w:t>
      </w:r>
      <w:r w:rsidR="00790A36" w:rsidRPr="008D7ECE">
        <w:t>„</w:t>
      </w:r>
      <w:r w:rsidR="00452A70" w:rsidRPr="008D7ECE">
        <w:t>M</w:t>
      </w:r>
      <w:r w:rsidR="00790A36" w:rsidRPr="008D7ECE">
        <w:t>á dáti“</w:t>
      </w:r>
      <w:r w:rsidR="00452A70" w:rsidRPr="008D7ECE">
        <w:t xml:space="preserve"> i </w:t>
      </w:r>
      <w:r w:rsidR="00790A36" w:rsidRPr="008D7ECE">
        <w:t>„</w:t>
      </w:r>
      <w:r w:rsidR="00452A70" w:rsidRPr="008D7ECE">
        <w:t>D</w:t>
      </w:r>
      <w:r w:rsidR="00790A36" w:rsidRPr="008D7ECE">
        <w:t>al“</w:t>
      </w:r>
      <w:r w:rsidR="00452A70" w:rsidRPr="008D7ECE">
        <w:t xml:space="preserve"> </w:t>
      </w:r>
      <w:r w:rsidR="00AA5085" w:rsidRPr="008D7ECE">
        <w:t xml:space="preserve">syntetickými </w:t>
      </w:r>
      <w:r w:rsidR="00452A70" w:rsidRPr="008D7ECE">
        <w:t>účty</w:t>
      </w:r>
      <w:r w:rsidR="00AA5085" w:rsidRPr="008D7ECE">
        <w:t>, na nichž účetní jednotka účtuje o pohybu peněžních prostředků</w:t>
      </w:r>
      <w:r w:rsidR="00452A70" w:rsidRPr="008D7ECE">
        <w:t xml:space="preserve">, nepromítne se </w:t>
      </w:r>
      <w:r w:rsidR="00E30637" w:rsidRPr="008D7ECE">
        <w:t>na žádné položce výkazu a</w:t>
      </w:r>
      <w:r w:rsidR="00452A70" w:rsidRPr="008D7ECE">
        <w:t xml:space="preserve"> neovlivní výši čisté změny oběživa a depozit na řádku E. Takovou operací dochází pouz</w:t>
      </w:r>
      <w:r w:rsidR="00E30637" w:rsidRPr="008D7ECE">
        <w:t>e ke změně struktury peněz</w:t>
      </w:r>
      <w:r w:rsidR="0003305F" w:rsidRPr="008D7ECE">
        <w:t>, nemění se však její výše</w:t>
      </w:r>
      <w:r w:rsidR="00E30637" w:rsidRPr="008D7ECE">
        <w:t>. Jedná se zejména o převody</w:t>
      </w:r>
      <w:r w:rsidR="00452A70" w:rsidRPr="008D7ECE">
        <w:t xml:space="preserve"> peněz z jednoho </w:t>
      </w:r>
      <w:r w:rsidR="007250A3" w:rsidRPr="008D7ECE">
        <w:t xml:space="preserve">bankovního </w:t>
      </w:r>
      <w:r w:rsidR="00452A70" w:rsidRPr="008D7ECE">
        <w:t>účtu na druhý v rámci účetní jednotky</w:t>
      </w:r>
      <w:r w:rsidR="00E30637" w:rsidRPr="008D7ECE">
        <w:t>, či převody peněz mezi pokladnou a vlastním bankovním účtem.</w:t>
      </w:r>
      <w:r w:rsidR="0003305F" w:rsidRPr="008D7ECE">
        <w:t xml:space="preserve"> To je také případ účtování převodu peněžních prostředků přes účet „Peníze na cestě“. Příjem a výdaj se navzájem konsolidují (vyruší), a nemají tak vliv na hodnotu položky </w:t>
      </w:r>
      <w:r w:rsidR="0003305F" w:rsidRPr="008D7ECE">
        <w:rPr>
          <w:i/>
        </w:rPr>
        <w:t>E. Čistá změna oběživa a depozit</w:t>
      </w:r>
      <w:r w:rsidR="0003305F" w:rsidRPr="008D7ECE">
        <w:t xml:space="preserve">. Tyto účetní případy se tedy fakticky nepromítnou na žádné položce výkazu. Do mezivýkazové kontrolní vazby je </w:t>
      </w:r>
      <w:r w:rsidR="00DC29C8" w:rsidRPr="008D7ECE">
        <w:t xml:space="preserve">však </w:t>
      </w:r>
      <w:r w:rsidR="00637CF6" w:rsidRPr="008D7ECE">
        <w:t>položka rozvahy</w:t>
      </w:r>
      <w:r w:rsidR="0003305F" w:rsidRPr="008D7ECE">
        <w:t xml:space="preserve"> „Peníze na cestě“ zahrnut</w:t>
      </w:r>
      <w:r w:rsidR="00637CF6" w:rsidRPr="008D7ECE">
        <w:t>a</w:t>
      </w:r>
      <w:r w:rsidR="00DC29C8" w:rsidRPr="008D7ECE">
        <w:t>, a to z toho</w:t>
      </w:r>
      <w:r w:rsidR="00F82776" w:rsidRPr="008D7ECE">
        <w:t> důvodu, že k</w:t>
      </w:r>
      <w:r w:rsidR="003E70A3" w:rsidRPr="008D7ECE">
        <w:t>e</w:t>
      </w:r>
      <w:r w:rsidR="00F82776" w:rsidRPr="008D7ECE">
        <w:t xml:space="preserve"> dni, ke kterému bude účetní jednotka sestavovat výkaz (konec měsíce, resp. čtvrtletí)</w:t>
      </w:r>
      <w:r w:rsidR="00B4336D" w:rsidRPr="008D7ECE">
        <w:t>, nemusí být</w:t>
      </w:r>
      <w:r w:rsidR="00095CC4" w:rsidRPr="008D7ECE">
        <w:t xml:space="preserve"> syntetický </w:t>
      </w:r>
      <w:r w:rsidR="008E13C5" w:rsidRPr="008D7ECE">
        <w:t>účet</w:t>
      </w:r>
      <w:r w:rsidR="00095CC4" w:rsidRPr="008D7ECE">
        <w:t xml:space="preserve"> „Peníze na cestě“</w:t>
      </w:r>
      <w:r w:rsidR="008E13C5" w:rsidRPr="008D7ECE">
        <w:t xml:space="preserve"> vyrovnaný</w:t>
      </w:r>
      <w:r w:rsidR="00B4336D" w:rsidRPr="008D7ECE">
        <w:t xml:space="preserve"> (MD≠D)</w:t>
      </w:r>
      <w:r w:rsidR="008E13C5" w:rsidRPr="008D7ECE">
        <w:t>.</w:t>
      </w:r>
    </w:p>
    <w:p w:rsidR="00F37B5A" w:rsidRDefault="00831C7C" w:rsidP="00A356FF">
      <w:pPr>
        <w:jc w:val="both"/>
      </w:pPr>
      <w:r w:rsidRPr="00FC4DE5">
        <w:t>Tato meziv</w:t>
      </w:r>
      <w:r>
        <w:t xml:space="preserve">ýkazová kontrolní vazba bude aplikována přímo v CSÚIS </w:t>
      </w:r>
      <w:r w:rsidRPr="00FC4DE5">
        <w:t xml:space="preserve">pro </w:t>
      </w:r>
      <w:r w:rsidR="00A81DF0">
        <w:t>SPO</w:t>
      </w:r>
      <w:r w:rsidRPr="00FC4DE5">
        <w:t xml:space="preserve"> se čtvrtletní </w:t>
      </w:r>
      <w:r w:rsidR="00A81DF0">
        <w:t>vykazovací povinností</w:t>
      </w:r>
      <w:r w:rsidR="00712F97">
        <w:t xml:space="preserve"> dle zákona</w:t>
      </w:r>
      <w:r w:rsidRPr="00FC4DE5">
        <w:t xml:space="preserve">. </w:t>
      </w:r>
      <w:r>
        <w:t>Proto</w:t>
      </w:r>
      <w:r w:rsidRPr="00FC4DE5">
        <w:t xml:space="preserve"> jsou navrhované termíny předkládání výkazu se čtvrtletní periodicitou vázány na termíny předávání účetní závěrky těmito účetními jednotkami do C</w:t>
      </w:r>
      <w:r>
        <w:t xml:space="preserve">SÚIS </w:t>
      </w:r>
      <w:r w:rsidRPr="00FC4DE5">
        <w:t>podle přílohy č. 3 technické vyhlášky o účetních záznamech</w:t>
      </w:r>
      <w:r w:rsidR="009D49FD">
        <w:rPr>
          <w:rStyle w:val="Znakapoznpodarou"/>
        </w:rPr>
        <w:footnoteReference w:id="3"/>
      </w:r>
      <w:r w:rsidR="00DF4040">
        <w:t>.</w:t>
      </w:r>
      <w:r w:rsidRPr="00FC4DE5">
        <w:t xml:space="preserve"> Pro ostatní účetní jedno</w:t>
      </w:r>
      <w:r w:rsidR="006E0CA9">
        <w:t>tky ve smyslu adresátů nové právní úpravy</w:t>
      </w:r>
      <w:r w:rsidRPr="00FC4DE5">
        <w:t xml:space="preserve">, které nemají povinnost sestavovat čtvrtletní účetní závěrku, stejně jako </w:t>
      </w:r>
      <w:r w:rsidR="006E0CA9">
        <w:t xml:space="preserve">pro </w:t>
      </w:r>
      <w:r w:rsidRPr="00FC4DE5">
        <w:t>ty, kterým bude uložena měsíční vykazovací povinnost, nelze kontrolní vazbu aplikovat přímo v C</w:t>
      </w:r>
      <w:r w:rsidR="00F4757B">
        <w:t>SÚIS</w:t>
      </w:r>
      <w:r w:rsidR="00AC3377">
        <w:t>.</w:t>
      </w:r>
      <w:r w:rsidRPr="00FC4DE5">
        <w:t xml:space="preserve"> Nicméně obecně zůstává provázanost na změnu </w:t>
      </w:r>
      <w:r w:rsidR="00637CF6">
        <w:t xml:space="preserve">výše uvedených položek rozvahy </w:t>
      </w:r>
      <w:r w:rsidRPr="00FC4DE5">
        <w:t>v</w:t>
      </w:r>
      <w:r>
        <w:t> </w:t>
      </w:r>
      <w:r w:rsidRPr="00FC4DE5">
        <w:t xml:space="preserve">platnosti a </w:t>
      </w:r>
      <w:r w:rsidR="00F52863">
        <w:t>účetní jednotka</w:t>
      </w:r>
      <w:r w:rsidRPr="00FC4DE5">
        <w:t xml:space="preserve"> ji může implementovat do svého ekonomického</w:t>
      </w:r>
      <w:r w:rsidR="001E73BC">
        <w:t xml:space="preserve"> informačního</w:t>
      </w:r>
      <w:r w:rsidRPr="00FC4DE5">
        <w:t xml:space="preserve"> systému ve vazbě na příslušné rozvahové</w:t>
      </w:r>
      <w:r w:rsidR="005C04B1">
        <w:t xml:space="preserve"> položky</w:t>
      </w:r>
      <w:r w:rsidRPr="00FC4DE5">
        <w:t xml:space="preserve"> ke konci každého období (tj.</w:t>
      </w:r>
      <w:r>
        <w:t> čtvrtletí či měsíce).</w:t>
      </w:r>
    </w:p>
    <w:p w:rsidR="00F37B5A" w:rsidRDefault="00F37B5A">
      <w:r>
        <w:br w:type="page"/>
      </w:r>
    </w:p>
    <w:p w:rsidR="007A673B" w:rsidRPr="00463E57" w:rsidRDefault="00D922EE" w:rsidP="00437EA8">
      <w:pPr>
        <w:pStyle w:val="Nadpis1"/>
        <w:numPr>
          <w:ilvl w:val="0"/>
          <w:numId w:val="6"/>
        </w:numPr>
        <w:rPr>
          <w:rFonts w:eastAsia="Times New Roman"/>
          <w:lang w:eastAsia="cs-CZ"/>
        </w:rPr>
      </w:pPr>
      <w:bookmarkStart w:id="4" w:name="_Toc483906413"/>
      <w:r w:rsidRPr="00463E57">
        <w:rPr>
          <w:rFonts w:eastAsia="Times New Roman"/>
          <w:lang w:eastAsia="cs-CZ"/>
        </w:rPr>
        <w:lastRenderedPageBreak/>
        <w:t>Institucionální vymezení s</w:t>
      </w:r>
      <w:r w:rsidR="006E5C23" w:rsidRPr="00463E57">
        <w:rPr>
          <w:rFonts w:eastAsia="Times New Roman"/>
          <w:lang w:eastAsia="cs-CZ"/>
        </w:rPr>
        <w:t>ektor</w:t>
      </w:r>
      <w:r w:rsidRPr="00463E57">
        <w:rPr>
          <w:rFonts w:eastAsia="Times New Roman"/>
          <w:lang w:eastAsia="cs-CZ"/>
        </w:rPr>
        <w:t>u</w:t>
      </w:r>
      <w:r w:rsidR="006E5C23" w:rsidRPr="00463E57">
        <w:rPr>
          <w:rFonts w:eastAsia="Times New Roman"/>
          <w:lang w:eastAsia="cs-CZ"/>
        </w:rPr>
        <w:t xml:space="preserve"> </w:t>
      </w:r>
      <w:r w:rsidRPr="00463E57">
        <w:rPr>
          <w:rFonts w:eastAsia="Times New Roman"/>
          <w:lang w:eastAsia="cs-CZ"/>
        </w:rPr>
        <w:t>vládních institucí</w:t>
      </w:r>
      <w:bookmarkEnd w:id="4"/>
    </w:p>
    <w:p w:rsidR="00D922EE" w:rsidRPr="001203D0" w:rsidRDefault="00D922EE" w:rsidP="00ED1E30">
      <w:pPr>
        <w:spacing w:after="120"/>
        <w:jc w:val="both"/>
        <w:rPr>
          <w:i/>
          <w:color w:val="365F91" w:themeColor="accent1" w:themeShade="BF"/>
        </w:rPr>
      </w:pPr>
      <w:r w:rsidRPr="001203D0">
        <w:rPr>
          <w:i/>
          <w:color w:val="365F91" w:themeColor="accent1" w:themeShade="BF"/>
        </w:rPr>
        <w:t>(v textu používáno také jako synonymum „vládní instituce“)</w:t>
      </w:r>
    </w:p>
    <w:p w:rsidR="002B3963" w:rsidRDefault="00240664" w:rsidP="0057462D">
      <w:pPr>
        <w:spacing w:after="120"/>
        <w:jc w:val="both"/>
      </w:pPr>
      <w:r>
        <w:t xml:space="preserve">Pro správné zařazení některých </w:t>
      </w:r>
      <w:r w:rsidR="006C38FB">
        <w:t xml:space="preserve">příjmů a výdajů </w:t>
      </w:r>
      <w:r w:rsidR="00D01631">
        <w:t xml:space="preserve">na příslušnou položku výkazu </w:t>
      </w:r>
      <w:r w:rsidR="006C38FB">
        <w:t xml:space="preserve">je nezbytné </w:t>
      </w:r>
      <w:r w:rsidR="003B2341">
        <w:t xml:space="preserve">identifikovat, zda protistrana v transakci je </w:t>
      </w:r>
      <w:r w:rsidR="00FF7E72">
        <w:t>jednotkou patřící</w:t>
      </w:r>
      <w:r w:rsidR="003B2341" w:rsidRPr="001F0AEE">
        <w:t xml:space="preserve"> do sektoru</w:t>
      </w:r>
      <w:r w:rsidR="003F357D">
        <w:t xml:space="preserve"> vládních institucí</w:t>
      </w:r>
      <w:r w:rsidR="00262612">
        <w:t>. N</w:t>
      </w:r>
      <w:r w:rsidR="003F357D">
        <w:t xml:space="preserve">a straně příjmů </w:t>
      </w:r>
      <w:r w:rsidR="00262612">
        <w:t xml:space="preserve">jsou to například </w:t>
      </w:r>
      <w:r w:rsidR="006E0CA9">
        <w:t xml:space="preserve">transfery od </w:t>
      </w:r>
      <w:r w:rsidR="002B3963">
        <w:t>jiných</w:t>
      </w:r>
      <w:r w:rsidR="003F357D">
        <w:t xml:space="preserve"> vládních institucí (</w:t>
      </w:r>
      <w:r w:rsidR="005226AB" w:rsidRPr="001F0AEE">
        <w:t>A.1.III.</w:t>
      </w:r>
      <w:r w:rsidR="003F357D">
        <w:t>5. a</w:t>
      </w:r>
      <w:r w:rsidR="004B02AE">
        <w:t>ž</w:t>
      </w:r>
      <w:r w:rsidR="003F357D">
        <w:t xml:space="preserve"> A.1.III.</w:t>
      </w:r>
      <w:r w:rsidR="007B3150">
        <w:t>10</w:t>
      </w:r>
      <w:r w:rsidR="003F357D">
        <w:t>.), na straně výdajů transfery jiným vládním institucím (</w:t>
      </w:r>
      <w:r w:rsidR="005226AB" w:rsidRPr="001F0AEE">
        <w:t>A.2.X</w:t>
      </w:r>
      <w:r w:rsidR="00D01631">
        <w:t>I</w:t>
      </w:r>
      <w:r w:rsidR="005226AB" w:rsidRPr="001F0AEE">
        <w:t>.</w:t>
      </w:r>
      <w:r w:rsidR="003F357D">
        <w:t>5. a</w:t>
      </w:r>
      <w:r w:rsidR="004B02AE">
        <w:t>ž</w:t>
      </w:r>
      <w:r w:rsidR="003F357D">
        <w:t xml:space="preserve"> A.2.X</w:t>
      </w:r>
      <w:r w:rsidR="00D01631">
        <w:t>I</w:t>
      </w:r>
      <w:r w:rsidR="003F357D">
        <w:t>.</w:t>
      </w:r>
      <w:r w:rsidR="004B02AE">
        <w:t>8</w:t>
      </w:r>
      <w:r w:rsidR="003F357D">
        <w:t>.</w:t>
      </w:r>
      <w:r w:rsidR="005226AB" w:rsidRPr="001F0AEE">
        <w:t xml:space="preserve">). Jedná se o instituce </w:t>
      </w:r>
      <w:r w:rsidR="007D3621" w:rsidRPr="001F0AEE">
        <w:t>zařazené v </w:t>
      </w:r>
      <w:r w:rsidR="00C73DBA">
        <w:t>r</w:t>
      </w:r>
      <w:r w:rsidR="007D3621" w:rsidRPr="001F0AEE">
        <w:t>egistru ekonomických subjektů</w:t>
      </w:r>
      <w:r w:rsidR="001F6D3B" w:rsidRPr="001F0AEE">
        <w:t xml:space="preserve"> (dá</w:t>
      </w:r>
      <w:r w:rsidR="00B446E9">
        <w:t xml:space="preserve">le „RES“), dostupném na adrese: </w:t>
      </w:r>
      <w:hyperlink r:id="rId17" w:history="1">
        <w:r w:rsidR="00100091" w:rsidRPr="0045632F">
          <w:rPr>
            <w:rStyle w:val="Hypertextovodkaz"/>
          </w:rPr>
          <w:t>https://www.czso.cz/csu/res/registr_ekonomickych_subjektu</w:t>
        </w:r>
      </w:hyperlink>
      <w:r w:rsidR="00B446E9">
        <w:t>,</w:t>
      </w:r>
      <w:r w:rsidR="00FA020A" w:rsidRPr="001F0AEE">
        <w:rPr>
          <w:rFonts w:eastAsia="Times New Roman" w:cs="Arial"/>
          <w:lang w:eastAsia="cs-CZ"/>
        </w:rPr>
        <w:t xml:space="preserve"> </w:t>
      </w:r>
      <w:r w:rsidR="007D3621" w:rsidRPr="001F0AEE">
        <w:t>do institucionálních sektorů</w:t>
      </w:r>
      <w:r w:rsidR="00685ED5">
        <w:rPr>
          <w:rStyle w:val="Znakapoznpodarou"/>
        </w:rPr>
        <w:footnoteReference w:id="4"/>
      </w:r>
      <w:r w:rsidR="007D3621" w:rsidRPr="001F0AEE">
        <w:t xml:space="preserve"> 13110 – Ústřední vládní instituce, </w:t>
      </w:r>
      <w:r w:rsidR="00E41700" w:rsidRPr="001F0AEE">
        <w:t xml:space="preserve">13130 </w:t>
      </w:r>
      <w:r w:rsidR="001B213A" w:rsidRPr="001F0AEE">
        <w:t>–</w:t>
      </w:r>
      <w:r w:rsidR="00E41700" w:rsidRPr="001F0AEE">
        <w:t xml:space="preserve"> </w:t>
      </w:r>
      <w:r w:rsidR="001B213A" w:rsidRPr="001F0AEE">
        <w:t xml:space="preserve">Místní vládní instituce či </w:t>
      </w:r>
      <w:r w:rsidR="00E41700" w:rsidRPr="001F0AEE">
        <w:t>13140</w:t>
      </w:r>
      <w:r w:rsidR="00E41700">
        <w:t xml:space="preserve"> – Fondy sociálního zabezpečení</w:t>
      </w:r>
      <w:r w:rsidR="001B213A">
        <w:t xml:space="preserve">. </w:t>
      </w:r>
      <w:r w:rsidR="00FF7E72">
        <w:t>Osoba, na níž</w:t>
      </w:r>
      <w:r w:rsidR="001F6D3B">
        <w:t xml:space="preserve"> se vztahuje povinnost předmětný výkaz naplňovat a</w:t>
      </w:r>
      <w:r w:rsidR="00433762">
        <w:t> </w:t>
      </w:r>
      <w:r w:rsidR="001F6D3B">
        <w:t>předkládat, je v tomt</w:t>
      </w:r>
      <w:r w:rsidR="002B3963">
        <w:t>o smyslu vždy vládní institucí.</w:t>
      </w:r>
    </w:p>
    <w:p w:rsidR="00685ED5" w:rsidRDefault="00685ED5" w:rsidP="0057462D">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BE5F1" w:themeFill="accent1" w:themeFillTint="33"/>
        <w:spacing w:after="120"/>
        <w:jc w:val="both"/>
      </w:pPr>
      <w:r w:rsidRPr="0038016F">
        <w:t>Institucionální sektor vládních institucí podle metodiky ESA 2010 je ekvivalentní se sektorem veřejných institucí podle zákona</w:t>
      </w:r>
      <w:r>
        <w:t xml:space="preserve"> č. 25/2017 Sb., </w:t>
      </w:r>
      <w:r w:rsidRPr="00433762">
        <w:t>o sběru vybraných údajů pro účely monitorování a</w:t>
      </w:r>
      <w:r w:rsidR="0057462D">
        <w:t> </w:t>
      </w:r>
      <w:r w:rsidRPr="00433762">
        <w:t>řízení veřejných financí</w:t>
      </w:r>
      <w:r>
        <w:t>,</w:t>
      </w:r>
      <w:r w:rsidRPr="0038016F">
        <w:t xml:space="preserve"> a zákona č. 23/2017 Sb., o pravidlech rozpočtové odpovědnosti</w:t>
      </w:r>
      <w:r>
        <w:t>.</w:t>
      </w:r>
    </w:p>
    <w:p w:rsidR="00EE102C" w:rsidRDefault="001B213A" w:rsidP="00A356FF">
      <w:pPr>
        <w:jc w:val="both"/>
      </w:pPr>
      <w:r>
        <w:t>Pravidla pro vymezení sektoru vládních institucí jsou mezinárodně harmonizována a jeho složení je průběžně aktualizováno Českým statistickým úřadem</w:t>
      </w:r>
      <w:r w:rsidR="00FA020A">
        <w:t xml:space="preserve">. </w:t>
      </w:r>
      <w:r w:rsidR="00EE102C">
        <w:t xml:space="preserve">Seznam vládních institucí v ČR zveřejňuje </w:t>
      </w:r>
      <w:r w:rsidR="00186A9B">
        <w:t xml:space="preserve">každoročně do 31. října </w:t>
      </w:r>
      <w:r w:rsidR="00EE102C">
        <w:t>také Ministerstvo financí na svých webových stránkách</w:t>
      </w:r>
      <w:r w:rsidR="00186A9B">
        <w:t>, a to na základě informací poskytnutých Českým statistickým úřadem ke dni 30. září tého</w:t>
      </w:r>
      <w:r w:rsidR="00795C04">
        <w:t>ž roku</w:t>
      </w:r>
      <w:r w:rsidR="0032001E">
        <w:t>.</w:t>
      </w:r>
      <w:r w:rsidR="00AE1E1F">
        <w:rPr>
          <w:rStyle w:val="Znakapoznpodarou"/>
        </w:rPr>
        <w:footnoteReference w:id="5"/>
      </w:r>
      <w:r w:rsidR="00EE102C">
        <w:t xml:space="preserve"> </w:t>
      </w:r>
      <w:r w:rsidR="00AE1E1F">
        <w:t xml:space="preserve">Odkaz: </w:t>
      </w:r>
      <w:hyperlink r:id="rId18" w:history="1">
        <w:r w:rsidR="00EE102C" w:rsidRPr="00B16BCB">
          <w:rPr>
            <w:rStyle w:val="Hypertextovodkaz"/>
          </w:rPr>
          <w:t>http://www.mfcr.cz/cs/verejny-sektor/rozpoctove-ramce-statisticke-informace/verejny-sektor/sektor-vladnich-instituci</w:t>
        </w:r>
      </w:hyperlink>
      <w:r w:rsidR="00EE102C">
        <w:t>. Určující je však aktuál</w:t>
      </w:r>
      <w:r w:rsidR="00751FCF">
        <w:t>ní zařazení konkrétní jednotky</w:t>
      </w:r>
      <w:r w:rsidR="00EE102C">
        <w:t xml:space="preserve"> do sektoru vládních institucí v </w:t>
      </w:r>
      <w:r w:rsidR="00C73DBA">
        <w:t>r</w:t>
      </w:r>
      <w:r w:rsidR="00EE102C">
        <w:t>egistru ekonomických subjektů, jak je uvedeno výše.</w:t>
      </w:r>
      <w:r w:rsidR="003B0C26">
        <w:t xml:space="preserve"> Ilustrativní schéma sektoru vládních institucí představuje následující obrázek.</w:t>
      </w:r>
    </w:p>
    <w:p w:rsidR="00362FA2" w:rsidRDefault="00362FA2">
      <w:r>
        <w:br w:type="page"/>
      </w:r>
    </w:p>
    <w:p w:rsidR="008907E1" w:rsidRPr="001A5FE8" w:rsidRDefault="00091570" w:rsidP="001A5FE8">
      <w:pPr>
        <w:spacing w:after="120"/>
        <w:rPr>
          <w:b/>
        </w:rPr>
      </w:pPr>
      <w:r w:rsidRPr="001A5FE8">
        <w:rPr>
          <w:b/>
        </w:rPr>
        <w:lastRenderedPageBreak/>
        <w:t xml:space="preserve">Obr. 2: </w:t>
      </w:r>
      <w:r w:rsidR="001A5FE8" w:rsidRPr="001A5FE8">
        <w:rPr>
          <w:b/>
        </w:rPr>
        <w:t>Schéma sektoru vládních institucí</w:t>
      </w:r>
    </w:p>
    <w:p w:rsidR="008907E1" w:rsidRDefault="00B02E56" w:rsidP="001A5FE8">
      <w:pPr>
        <w:jc w:val="both"/>
      </w:pPr>
      <w:r w:rsidRPr="00B02E56">
        <w:rPr>
          <w:noProof/>
          <w:lang w:eastAsia="cs-CZ"/>
        </w:rPr>
        <w:drawing>
          <wp:inline distT="0" distB="0" distL="0" distR="0">
            <wp:extent cx="5762625" cy="85915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588710"/>
                    </a:xfrm>
                    <a:prstGeom prst="rect">
                      <a:avLst/>
                    </a:prstGeom>
                    <a:noFill/>
                    <a:ln>
                      <a:noFill/>
                    </a:ln>
                  </pic:spPr>
                </pic:pic>
              </a:graphicData>
            </a:graphic>
          </wp:inline>
        </w:drawing>
      </w:r>
    </w:p>
    <w:p w:rsidR="000D11FB" w:rsidRPr="0055707D" w:rsidRDefault="0055707D" w:rsidP="00437EA8">
      <w:pPr>
        <w:pStyle w:val="Nadpis1"/>
        <w:numPr>
          <w:ilvl w:val="0"/>
          <w:numId w:val="6"/>
        </w:numPr>
        <w:rPr>
          <w:rFonts w:eastAsia="Times New Roman"/>
          <w:lang w:eastAsia="cs-CZ"/>
        </w:rPr>
      </w:pPr>
      <w:bookmarkStart w:id="5" w:name="_Toc483906414"/>
      <w:r>
        <w:rPr>
          <w:rFonts w:eastAsia="Times New Roman"/>
          <w:lang w:eastAsia="cs-CZ"/>
        </w:rPr>
        <w:lastRenderedPageBreak/>
        <w:t>O</w:t>
      </w:r>
      <w:r w:rsidR="008907E1" w:rsidRPr="0055707D">
        <w:rPr>
          <w:rFonts w:eastAsia="Times New Roman"/>
          <w:lang w:eastAsia="cs-CZ"/>
        </w:rPr>
        <w:t xml:space="preserve">becné principy zaznamenání </w:t>
      </w:r>
      <w:r w:rsidR="003409D1">
        <w:rPr>
          <w:rFonts w:eastAsia="Times New Roman"/>
          <w:lang w:eastAsia="cs-CZ"/>
        </w:rPr>
        <w:t xml:space="preserve">některých </w:t>
      </w:r>
      <w:r w:rsidR="008907E1" w:rsidRPr="0055707D">
        <w:rPr>
          <w:rFonts w:eastAsia="Times New Roman"/>
          <w:lang w:eastAsia="cs-CZ"/>
        </w:rPr>
        <w:t>účetních operací</w:t>
      </w:r>
      <w:r w:rsidR="00746ADC">
        <w:rPr>
          <w:rStyle w:val="Znakapoznpodarou"/>
          <w:rFonts w:eastAsia="Times New Roman"/>
          <w:lang w:eastAsia="cs-CZ"/>
        </w:rPr>
        <w:footnoteReference w:id="6"/>
      </w:r>
      <w:bookmarkEnd w:id="5"/>
    </w:p>
    <w:p w:rsidR="00CC3891" w:rsidRPr="00057A8E" w:rsidRDefault="00CC3891" w:rsidP="00437EA8">
      <w:pPr>
        <w:pStyle w:val="Nadpis2"/>
        <w:numPr>
          <w:ilvl w:val="1"/>
          <w:numId w:val="6"/>
        </w:numPr>
      </w:pPr>
      <w:bookmarkStart w:id="6" w:name="_Toc483906415"/>
      <w:r w:rsidRPr="00057A8E">
        <w:t>Daň z přidané hodnoty (DPH)</w:t>
      </w:r>
      <w:bookmarkEnd w:id="6"/>
    </w:p>
    <w:p w:rsidR="00CC3891" w:rsidRDefault="00CC3891" w:rsidP="00A356FF">
      <w:pPr>
        <w:jc w:val="both"/>
      </w:pPr>
      <w:r w:rsidRPr="00CC3891">
        <w:t>Metodický pokyn zařazuje obecně pl</w:t>
      </w:r>
      <w:r w:rsidR="007E19FB">
        <w:t xml:space="preserve">atbu daní na položku </w:t>
      </w:r>
      <w:r w:rsidR="007E19FB" w:rsidRPr="00A24960">
        <w:rPr>
          <w:i/>
        </w:rPr>
        <w:t>A.2.XI</w:t>
      </w:r>
      <w:r w:rsidR="00D01631" w:rsidRPr="00A24960">
        <w:rPr>
          <w:i/>
        </w:rPr>
        <w:t>V</w:t>
      </w:r>
      <w:r w:rsidR="007E19FB" w:rsidRPr="00A24960">
        <w:rPr>
          <w:i/>
        </w:rPr>
        <w:t>.</w:t>
      </w:r>
      <w:r w:rsidR="00D01631" w:rsidRPr="00A24960">
        <w:rPr>
          <w:i/>
        </w:rPr>
        <w:t>3</w:t>
      </w:r>
      <w:r w:rsidR="007E19FB" w:rsidRPr="00A24960">
        <w:rPr>
          <w:i/>
        </w:rPr>
        <w:t>.</w:t>
      </w:r>
      <w:r w:rsidRPr="00A24960">
        <w:rPr>
          <w:i/>
        </w:rPr>
        <w:t xml:space="preserve"> </w:t>
      </w:r>
      <w:r w:rsidR="00D01631" w:rsidRPr="00A24960">
        <w:rPr>
          <w:i/>
        </w:rPr>
        <w:t>Transfery</w:t>
      </w:r>
      <w:r w:rsidRPr="00A24960">
        <w:rPr>
          <w:i/>
        </w:rPr>
        <w:t xml:space="preserve"> </w:t>
      </w:r>
      <w:r w:rsidR="007E19FB" w:rsidRPr="00A24960">
        <w:rPr>
          <w:i/>
        </w:rPr>
        <w:t xml:space="preserve">jinde nezařazené </w:t>
      </w:r>
      <w:r w:rsidRPr="00A24960">
        <w:rPr>
          <w:i/>
        </w:rPr>
        <w:t>- běžné</w:t>
      </w:r>
      <w:r w:rsidRPr="00CC3891">
        <w:t>. V souvislosti s DPH se jedná jak o daň placenou z přijatého zdanitelného plnění jako součást platby dodavateli, tak o daň placenou finančnímu úřadu na základě podaného daňového přiznání k</w:t>
      </w:r>
      <w:r w:rsidR="00A24960">
        <w:t> </w:t>
      </w:r>
      <w:r w:rsidRPr="00CC3891">
        <w:t>DPH (rozdíl DPH na výstupu a DPH na vstupu). Na stejné položce jenom s mínusovým znaménkem bude zaznamenána částka DPH přijatá jako součást inkasované platby od odběratele, stejně jako vrácená daň v případě nadměrného odpočtu DPH od finančního úřadu.</w:t>
      </w:r>
    </w:p>
    <w:p w:rsidR="00CC3891" w:rsidRDefault="00CC3891" w:rsidP="00A356FF">
      <w:pPr>
        <w:jc w:val="both"/>
      </w:pPr>
      <w:r w:rsidRPr="00CC3891">
        <w:t>Je-li účetní jednotka plátce DPH a účtuje o uskutečněném zdanitelném plnění, klasifikuje samotnou daň účtovanou jako DPH na výstupu vždy jako mínusov</w:t>
      </w:r>
      <w:r w:rsidR="007E19FB">
        <w:t xml:space="preserve">ou částku na položce </w:t>
      </w:r>
      <w:r w:rsidR="007E19FB" w:rsidRPr="00A24960">
        <w:rPr>
          <w:i/>
        </w:rPr>
        <w:t>A.2.XI</w:t>
      </w:r>
      <w:r w:rsidR="00763BA3" w:rsidRPr="00A24960">
        <w:rPr>
          <w:i/>
        </w:rPr>
        <w:t>V</w:t>
      </w:r>
      <w:r w:rsidR="007E19FB" w:rsidRPr="00A24960">
        <w:rPr>
          <w:i/>
        </w:rPr>
        <w:t>.</w:t>
      </w:r>
      <w:r w:rsidR="00763BA3" w:rsidRPr="00A24960">
        <w:rPr>
          <w:i/>
        </w:rPr>
        <w:t>3</w:t>
      </w:r>
      <w:r w:rsidR="007E19FB" w:rsidRPr="00A24960">
        <w:rPr>
          <w:i/>
        </w:rPr>
        <w:t>.</w:t>
      </w:r>
      <w:r w:rsidRPr="00A24960">
        <w:rPr>
          <w:i/>
        </w:rPr>
        <w:t xml:space="preserve"> </w:t>
      </w:r>
      <w:r w:rsidR="00763BA3" w:rsidRPr="00A24960">
        <w:rPr>
          <w:i/>
        </w:rPr>
        <w:t>Transfery</w:t>
      </w:r>
      <w:r w:rsidR="007E19FB" w:rsidRPr="00A24960">
        <w:rPr>
          <w:i/>
        </w:rPr>
        <w:t xml:space="preserve"> jinde nezařazené</w:t>
      </w:r>
      <w:r w:rsidRPr="00A24960">
        <w:rPr>
          <w:i/>
        </w:rPr>
        <w:t xml:space="preserve"> - běžné</w:t>
      </w:r>
      <w:r w:rsidRPr="00CC3891">
        <w:t>.</w:t>
      </w:r>
    </w:p>
    <w:p w:rsidR="00CC3891" w:rsidRDefault="00CC3891" w:rsidP="00A356FF">
      <w:pPr>
        <w:jc w:val="both"/>
      </w:pPr>
      <w:r w:rsidRPr="00CC3891">
        <w:t>Je-li účetní jednotka plátce DPH, nakupuje od plátce DPH a má v daném konkrétním případě nárok na odpočet, měla by být samotná výše daně - účtovaná jako DPH na vstupu - zachycena ve výkazu</w:t>
      </w:r>
      <w:r w:rsidR="007E19FB">
        <w:t xml:space="preserve"> vždy na položce </w:t>
      </w:r>
      <w:r w:rsidR="007E19FB" w:rsidRPr="00A24960">
        <w:rPr>
          <w:i/>
        </w:rPr>
        <w:t>A.2.XI</w:t>
      </w:r>
      <w:r w:rsidR="00763BA3" w:rsidRPr="00A24960">
        <w:rPr>
          <w:i/>
        </w:rPr>
        <w:t>V</w:t>
      </w:r>
      <w:r w:rsidR="007E19FB" w:rsidRPr="00A24960">
        <w:rPr>
          <w:i/>
        </w:rPr>
        <w:t>.</w:t>
      </w:r>
      <w:r w:rsidR="006C768C">
        <w:rPr>
          <w:i/>
        </w:rPr>
        <w:t>3</w:t>
      </w:r>
      <w:r w:rsidR="007E19FB" w:rsidRPr="00A24960">
        <w:rPr>
          <w:i/>
        </w:rPr>
        <w:t>.</w:t>
      </w:r>
      <w:r w:rsidRPr="00A24960">
        <w:rPr>
          <w:i/>
        </w:rPr>
        <w:t xml:space="preserve"> </w:t>
      </w:r>
      <w:r w:rsidR="00763BA3" w:rsidRPr="00A24960">
        <w:rPr>
          <w:i/>
        </w:rPr>
        <w:t xml:space="preserve">Transfery </w:t>
      </w:r>
      <w:r w:rsidR="007E19FB" w:rsidRPr="00A24960">
        <w:rPr>
          <w:i/>
        </w:rPr>
        <w:t>jinde nezařazené</w:t>
      </w:r>
      <w:r w:rsidRPr="00A24960">
        <w:rPr>
          <w:i/>
        </w:rPr>
        <w:t xml:space="preserve"> - běžné</w:t>
      </w:r>
      <w:r w:rsidRPr="00CC3891">
        <w:t xml:space="preserve">. V případě, že účetní jednotka není plátce DPH, nebo nakupuje od neplátce DPH, resp. v daném konkrétním případě nemůže uplatnit nárok na odpočet, potom zaznamená celou částku účetní operace (tj. částku bez DPH + DPH) na položku, na kterou patří z povahy předmětu plnění (např. </w:t>
      </w:r>
      <w:r w:rsidR="00763BA3" w:rsidRPr="00A24960">
        <w:rPr>
          <w:i/>
        </w:rPr>
        <w:t xml:space="preserve">A.2.VIII. Výdaje na </w:t>
      </w:r>
      <w:r w:rsidRPr="00A24960">
        <w:rPr>
          <w:i/>
        </w:rPr>
        <w:t>nákup</w:t>
      </w:r>
      <w:r w:rsidR="00763BA3" w:rsidRPr="00A24960">
        <w:rPr>
          <w:i/>
        </w:rPr>
        <w:t>y</w:t>
      </w:r>
      <w:r w:rsidRPr="00A24960">
        <w:rPr>
          <w:i/>
        </w:rPr>
        <w:t xml:space="preserve"> zboží a služeb</w:t>
      </w:r>
      <w:r w:rsidRPr="00CC3891">
        <w:t>).</w:t>
      </w:r>
    </w:p>
    <w:p w:rsidR="00C76F39" w:rsidRPr="00057A8E" w:rsidRDefault="00C76F39" w:rsidP="00437EA8">
      <w:pPr>
        <w:pStyle w:val="Nadpis2"/>
        <w:numPr>
          <w:ilvl w:val="1"/>
          <w:numId w:val="6"/>
        </w:numPr>
      </w:pPr>
      <w:bookmarkStart w:id="7" w:name="_Toc483906416"/>
      <w:r w:rsidRPr="0061408B">
        <w:t>Ostatní daně</w:t>
      </w:r>
      <w:r w:rsidR="0083617A" w:rsidRPr="0061408B">
        <w:t xml:space="preserve"> </w:t>
      </w:r>
      <w:r w:rsidR="0083617A" w:rsidRPr="00A71CE6">
        <w:t>a platby sociálního</w:t>
      </w:r>
      <w:r w:rsidR="001C3293" w:rsidRPr="00A71CE6">
        <w:t xml:space="preserve"> a zdravotní</w:t>
      </w:r>
      <w:r w:rsidR="00E32019" w:rsidRPr="00A71CE6">
        <w:t>ho pojištění</w:t>
      </w:r>
      <w:bookmarkEnd w:id="7"/>
    </w:p>
    <w:p w:rsidR="00C76F39" w:rsidRDefault="007B38C4" w:rsidP="00A356FF">
      <w:pPr>
        <w:jc w:val="both"/>
      </w:pPr>
      <w:r>
        <w:t>Jak je uvedeno výše, d</w:t>
      </w:r>
      <w:r w:rsidR="00C76F39" w:rsidRPr="00C76F39">
        <w:t>aně placené účetní jedno</w:t>
      </w:r>
      <w:r w:rsidR="00C76F39">
        <w:t>tkou</w:t>
      </w:r>
      <w:r w:rsidR="00C76F39" w:rsidRPr="00C76F39">
        <w:t xml:space="preserve"> patří dle metodické</w:t>
      </w:r>
      <w:r w:rsidR="00C76F39">
        <w:t xml:space="preserve">ho pokynu na položku </w:t>
      </w:r>
      <w:r w:rsidR="00C76F39" w:rsidRPr="00A71CE6">
        <w:rPr>
          <w:i/>
        </w:rPr>
        <w:t>A.2.XI</w:t>
      </w:r>
      <w:r w:rsidRPr="00A71CE6">
        <w:rPr>
          <w:i/>
        </w:rPr>
        <w:t>V</w:t>
      </w:r>
      <w:r w:rsidR="00C76F39" w:rsidRPr="00A71CE6">
        <w:rPr>
          <w:i/>
        </w:rPr>
        <w:t>.</w:t>
      </w:r>
      <w:r w:rsidRPr="00A71CE6">
        <w:rPr>
          <w:i/>
        </w:rPr>
        <w:t>3</w:t>
      </w:r>
      <w:r w:rsidR="00C76F39" w:rsidRPr="00A71CE6">
        <w:rPr>
          <w:i/>
        </w:rPr>
        <w:t xml:space="preserve">. </w:t>
      </w:r>
      <w:r w:rsidRPr="00A71CE6">
        <w:rPr>
          <w:i/>
        </w:rPr>
        <w:t>Transfery</w:t>
      </w:r>
      <w:r w:rsidR="00C76F39" w:rsidRPr="00A71CE6">
        <w:rPr>
          <w:i/>
        </w:rPr>
        <w:t xml:space="preserve"> jinde nezařazené – běžné</w:t>
      </w:r>
      <w:r w:rsidR="00C76F39" w:rsidRPr="00C76F39">
        <w:t>. Odvod daní stržených z hrubých mezd zaměstnanců (zálohová daň nebo srážková daň)</w:t>
      </w:r>
      <w:r w:rsidR="000F74D3">
        <w:t>, stejně jako odvody na sociální a zdravotní pojištění za zaměstnance</w:t>
      </w:r>
      <w:r w:rsidR="00C76F39" w:rsidRPr="00C76F39">
        <w:t xml:space="preserve"> s</w:t>
      </w:r>
      <w:r w:rsidR="00C76F39">
        <w:t xml:space="preserve">e zaznamenává na položku </w:t>
      </w:r>
      <w:r w:rsidR="00C76F39" w:rsidRPr="00A24960">
        <w:rPr>
          <w:i/>
        </w:rPr>
        <w:t>A.2.V</w:t>
      </w:r>
      <w:r w:rsidRPr="00A24960">
        <w:rPr>
          <w:i/>
        </w:rPr>
        <w:t>II</w:t>
      </w:r>
      <w:r w:rsidR="00C76F39" w:rsidRPr="00A24960">
        <w:rPr>
          <w:i/>
        </w:rPr>
        <w:t>.1. Mzdy a platy peněžní</w:t>
      </w:r>
      <w:r w:rsidR="00C76F39" w:rsidRPr="00C76F39">
        <w:t>.</w:t>
      </w:r>
      <w:r w:rsidR="0061408B">
        <w:t xml:space="preserve"> </w:t>
      </w:r>
      <w:r w:rsidR="00D00568">
        <w:t xml:space="preserve">Platby </w:t>
      </w:r>
      <w:r w:rsidR="000163D8">
        <w:t xml:space="preserve">povinného pojistného na </w:t>
      </w:r>
      <w:r w:rsidR="00D00568">
        <w:t>sociální a zdravotní pojištění</w:t>
      </w:r>
      <w:r w:rsidR="000163D8">
        <w:t xml:space="preserve"> placené zaměstnavatelem</w:t>
      </w:r>
      <w:r w:rsidR="00D00568">
        <w:t xml:space="preserve"> pak na položku </w:t>
      </w:r>
      <w:r w:rsidR="00D00568" w:rsidRPr="00A71CE6">
        <w:rPr>
          <w:i/>
        </w:rPr>
        <w:t>A.2.VII.3.</w:t>
      </w:r>
      <w:r w:rsidR="00A2218F">
        <w:rPr>
          <w:i/>
        </w:rPr>
        <w:t xml:space="preserve"> Příspěvky zaměstnavatelů na sociální a zdravotní pojištění</w:t>
      </w:r>
      <w:r w:rsidR="00D00568">
        <w:rPr>
          <w:i/>
        </w:rPr>
        <w:t>.</w:t>
      </w:r>
    </w:p>
    <w:p w:rsidR="00C76F39" w:rsidRDefault="00C76F39" w:rsidP="00A356FF">
      <w:pPr>
        <w:jc w:val="both"/>
      </w:pPr>
      <w:r w:rsidRPr="00C76F39">
        <w:t xml:space="preserve">Příjmová položka </w:t>
      </w:r>
      <w:r w:rsidRPr="00A24960">
        <w:rPr>
          <w:i/>
        </w:rPr>
        <w:t>A.1.I. Příjmy z daní</w:t>
      </w:r>
      <w:r w:rsidRPr="00C76F39">
        <w:t xml:space="preserve"> (obdobně jako položka </w:t>
      </w:r>
      <w:r w:rsidRPr="00A24960">
        <w:rPr>
          <w:i/>
        </w:rPr>
        <w:t>A.1.II. Příjmy z</w:t>
      </w:r>
      <w:r w:rsidR="004071C6">
        <w:rPr>
          <w:i/>
        </w:rPr>
        <w:t> </w:t>
      </w:r>
      <w:r w:rsidRPr="00A24960">
        <w:rPr>
          <w:i/>
        </w:rPr>
        <w:t>příspěvků</w:t>
      </w:r>
      <w:r w:rsidR="00D56412">
        <w:rPr>
          <w:i/>
        </w:rPr>
        <w:t xml:space="preserve"> na sociální a </w:t>
      </w:r>
      <w:r w:rsidR="004071C6">
        <w:rPr>
          <w:i/>
        </w:rPr>
        <w:t>zdravotní pojištění</w:t>
      </w:r>
      <w:r w:rsidRPr="00C76F39">
        <w:t xml:space="preserve">) je </w:t>
      </w:r>
      <w:r w:rsidR="003D701D">
        <w:t>určena prim</w:t>
      </w:r>
      <w:r w:rsidR="007D4AD5">
        <w:t xml:space="preserve">árně pro vládní </w:t>
      </w:r>
      <w:r w:rsidR="002C4011">
        <w:t>instituce</w:t>
      </w:r>
      <w:r w:rsidR="007D4AD5">
        <w:t xml:space="preserve">, kterým náleží </w:t>
      </w:r>
      <w:r w:rsidR="007D6E1B">
        <w:t>příslušný daňový výnos</w:t>
      </w:r>
      <w:r w:rsidR="00FE07FD">
        <w:t xml:space="preserve"> (resp. platby na sociální a zdravotní pojištění). </w:t>
      </w:r>
      <w:r w:rsidR="007D6E1B">
        <w:t>Z tohoto titu</w:t>
      </w:r>
      <w:r w:rsidR="00751FCF">
        <w:t>lu zůstanou u dotčených osob</w:t>
      </w:r>
      <w:r w:rsidR="007D6E1B">
        <w:t xml:space="preserve"> zpravidla </w:t>
      </w:r>
      <w:r w:rsidRPr="00C76F39">
        <w:t>obě kategorie n</w:t>
      </w:r>
      <w:r w:rsidR="00D35DE3">
        <w:t>evyužité</w:t>
      </w:r>
      <w:r w:rsidRPr="00C76F39">
        <w:t>, nebo</w:t>
      </w:r>
      <w:r w:rsidR="00751FCF">
        <w:t>ť tyto jednotky</w:t>
      </w:r>
      <w:r w:rsidR="00D35DE3">
        <w:t xml:space="preserve"> sektoru vládních institucí</w:t>
      </w:r>
      <w:r w:rsidRPr="00C76F39">
        <w:t xml:space="preserve"> nejsou </w:t>
      </w:r>
      <w:r w:rsidR="00D35DE3">
        <w:t>p</w:t>
      </w:r>
      <w:r w:rsidRPr="00C76F39">
        <w:t xml:space="preserve">říjemci daní ani </w:t>
      </w:r>
      <w:r w:rsidR="001C19B9">
        <w:t xml:space="preserve">plateb </w:t>
      </w:r>
      <w:r w:rsidR="00EA3E8E">
        <w:t>na sociální a zdravotní</w:t>
      </w:r>
      <w:r w:rsidRPr="00C76F39">
        <w:t xml:space="preserve"> pojištění. </w:t>
      </w:r>
      <w:r w:rsidR="00EA3E8E">
        <w:t xml:space="preserve">Nicméně připadají v úvahu příjmy popsané v rámci náplně položky </w:t>
      </w:r>
      <w:r w:rsidR="00EA3E8E" w:rsidRPr="00A24960">
        <w:rPr>
          <w:i/>
        </w:rPr>
        <w:t>A.1.I. Příjmy z</w:t>
      </w:r>
      <w:r w:rsidR="00E84D4E">
        <w:rPr>
          <w:i/>
        </w:rPr>
        <w:t> </w:t>
      </w:r>
      <w:r w:rsidR="00EA3E8E" w:rsidRPr="00A24960">
        <w:rPr>
          <w:i/>
        </w:rPr>
        <w:t>daní</w:t>
      </w:r>
      <w:r w:rsidR="00EA3E8E">
        <w:t xml:space="preserve">, které jsou z pohledu vládní finanční statistiky daňového charakteru. </w:t>
      </w:r>
    </w:p>
    <w:p w:rsidR="008907E1" w:rsidRPr="00057A8E" w:rsidRDefault="00E3521D" w:rsidP="00437EA8">
      <w:pPr>
        <w:pStyle w:val="Nadpis2"/>
        <w:numPr>
          <w:ilvl w:val="1"/>
          <w:numId w:val="6"/>
        </w:numPr>
      </w:pPr>
      <w:bookmarkStart w:id="8" w:name="_Toc483906417"/>
      <w:r w:rsidRPr="00F43E67">
        <w:t>Vrácené platby (např</w:t>
      </w:r>
      <w:r w:rsidRPr="00057A8E">
        <w:t>. vratky, dobropisy)</w:t>
      </w:r>
      <w:bookmarkEnd w:id="8"/>
    </w:p>
    <w:p w:rsidR="00E3521D" w:rsidRDefault="00E3521D" w:rsidP="00A356FF">
      <w:pPr>
        <w:jc w:val="both"/>
      </w:pPr>
      <w:r>
        <w:t>Obecně platí zásada, že částka vrácená na zákla</w:t>
      </w:r>
      <w:r w:rsidR="00ED7C66">
        <w:t>dě dobropisu, storna či z obdobného</w:t>
      </w:r>
      <w:r>
        <w:t xml:space="preserve"> důvodu nenavyšuje příjmy (je-li účetní jednotka příjemcem vrácené platby) nebo výdaje (vrací-li účetní jednotka původní platbu), ale je zaznamenána na stejné položce jako původní platba, jenom s opačným znaménkem.</w:t>
      </w:r>
      <w:r w:rsidR="00802BC3">
        <w:t xml:space="preserve"> </w:t>
      </w:r>
      <w:r w:rsidR="00B96A0B" w:rsidRPr="00B96A0B">
        <w:t xml:space="preserve">Tento obecný princip platí za předpokladu, že obě účetní operace (platba i její vratka) se uskuteční během jednoho účetního období. Při přechodu účetních období se zaznamenání vratky či dobropisované částky přenáší na opačnou stranu (původní výdaj se vrací jako příjem a naopak). </w:t>
      </w:r>
      <w:r w:rsidR="00BC0C61">
        <w:t>V takovém případě se n</w:t>
      </w:r>
      <w:r w:rsidR="00B96A0B" w:rsidRPr="00B96A0B">
        <w:t>a příjmové stra</w:t>
      </w:r>
      <w:r w:rsidR="00356844">
        <w:t xml:space="preserve">ně promítne na </w:t>
      </w:r>
      <w:r w:rsidR="00174A7C">
        <w:t xml:space="preserve">položce </w:t>
      </w:r>
      <w:r w:rsidR="00174A7C" w:rsidRPr="00BC0C61">
        <w:rPr>
          <w:i/>
        </w:rPr>
        <w:t>A.1.</w:t>
      </w:r>
      <w:r w:rsidR="00B96A0B" w:rsidRPr="00BC0C61">
        <w:rPr>
          <w:i/>
        </w:rPr>
        <w:t>V</w:t>
      </w:r>
      <w:r w:rsidR="00174A7C" w:rsidRPr="00BC0C61">
        <w:rPr>
          <w:i/>
        </w:rPr>
        <w:t>I</w:t>
      </w:r>
      <w:r w:rsidR="00B96A0B" w:rsidRPr="00BC0C61">
        <w:rPr>
          <w:i/>
        </w:rPr>
        <w:t>.</w:t>
      </w:r>
      <w:r w:rsidR="00174A7C" w:rsidRPr="00BC0C61">
        <w:rPr>
          <w:i/>
        </w:rPr>
        <w:t>9.</w:t>
      </w:r>
      <w:r w:rsidR="00B96A0B" w:rsidRPr="00BC0C61">
        <w:rPr>
          <w:i/>
        </w:rPr>
        <w:t xml:space="preserve"> Ostatní </w:t>
      </w:r>
      <w:r w:rsidR="00B96A0B" w:rsidRPr="00BC0C61">
        <w:rPr>
          <w:i/>
        </w:rPr>
        <w:lastRenderedPageBreak/>
        <w:t>příjmy</w:t>
      </w:r>
      <w:r w:rsidR="00B96A0B" w:rsidRPr="00B96A0B">
        <w:t xml:space="preserve">, na výdajové </w:t>
      </w:r>
      <w:r w:rsidR="00174A7C">
        <w:t xml:space="preserve">straně pak na položce </w:t>
      </w:r>
      <w:r w:rsidR="00174A7C" w:rsidRPr="00BC0C61">
        <w:rPr>
          <w:i/>
        </w:rPr>
        <w:t>A.2.XIV</w:t>
      </w:r>
      <w:r w:rsidR="00B96A0B" w:rsidRPr="00BC0C61">
        <w:rPr>
          <w:i/>
        </w:rPr>
        <w:t>.</w:t>
      </w:r>
      <w:r w:rsidR="00174A7C" w:rsidRPr="00BC0C61">
        <w:rPr>
          <w:i/>
        </w:rPr>
        <w:t>5.</w:t>
      </w:r>
      <w:r w:rsidR="00B96A0B" w:rsidRPr="00BC0C61">
        <w:rPr>
          <w:i/>
        </w:rPr>
        <w:t xml:space="preserve"> Ostatní výdaje</w:t>
      </w:r>
      <w:r w:rsidR="00B96A0B" w:rsidRPr="00B96A0B">
        <w:t xml:space="preserve">. </w:t>
      </w:r>
      <w:r w:rsidR="00802BC3">
        <w:t xml:space="preserve">Pokud je v rámci dobropisu vyčíslena DPH, částka daně bude </w:t>
      </w:r>
      <w:r w:rsidR="00174A7C">
        <w:t xml:space="preserve">vždy (tj. bez ohledu na období) </w:t>
      </w:r>
      <w:r w:rsidR="00802BC3">
        <w:t xml:space="preserve">zachycena na </w:t>
      </w:r>
      <w:r w:rsidR="00CB7081">
        <w:t xml:space="preserve">výdajové </w:t>
      </w:r>
      <w:r w:rsidR="00802BC3">
        <w:t>polo</w:t>
      </w:r>
      <w:r w:rsidR="004055AB">
        <w:t xml:space="preserve">žce </w:t>
      </w:r>
      <w:r w:rsidR="004055AB" w:rsidRPr="00A24960">
        <w:rPr>
          <w:i/>
        </w:rPr>
        <w:t>A.2.XI</w:t>
      </w:r>
      <w:r w:rsidR="007B38C4" w:rsidRPr="00A24960">
        <w:rPr>
          <w:i/>
        </w:rPr>
        <w:t>V</w:t>
      </w:r>
      <w:r w:rsidR="004055AB" w:rsidRPr="00A24960">
        <w:rPr>
          <w:i/>
        </w:rPr>
        <w:t>.</w:t>
      </w:r>
      <w:r w:rsidR="007B38C4" w:rsidRPr="00A24960">
        <w:rPr>
          <w:i/>
        </w:rPr>
        <w:t>3</w:t>
      </w:r>
      <w:r w:rsidR="004055AB" w:rsidRPr="00A24960">
        <w:rPr>
          <w:i/>
        </w:rPr>
        <w:t xml:space="preserve">. </w:t>
      </w:r>
      <w:r w:rsidR="007B38C4" w:rsidRPr="00A24960">
        <w:rPr>
          <w:i/>
        </w:rPr>
        <w:t>Transfery</w:t>
      </w:r>
      <w:r w:rsidR="004055AB" w:rsidRPr="00A24960">
        <w:rPr>
          <w:i/>
        </w:rPr>
        <w:t xml:space="preserve"> jinde nezařazené – běžné</w:t>
      </w:r>
      <w:r w:rsidR="001D6A57">
        <w:rPr>
          <w:i/>
        </w:rPr>
        <w:t xml:space="preserve"> </w:t>
      </w:r>
      <w:r w:rsidR="00F713A3" w:rsidRPr="00F713A3">
        <w:t>(</w:t>
      </w:r>
      <w:r w:rsidR="001D6A57" w:rsidRPr="00F713A3">
        <w:t>příjem (-), výdaj (+)</w:t>
      </w:r>
      <w:r w:rsidR="00F713A3" w:rsidRPr="00F713A3">
        <w:t>)</w:t>
      </w:r>
      <w:r w:rsidR="000F3BD7" w:rsidRPr="00F713A3">
        <w:t>.</w:t>
      </w:r>
      <w:r>
        <w:t xml:space="preserve"> </w:t>
      </w:r>
    </w:p>
    <w:p w:rsidR="00EB04AA" w:rsidRPr="00057A8E" w:rsidRDefault="00C3240D" w:rsidP="00437EA8">
      <w:pPr>
        <w:pStyle w:val="Nadpis2"/>
        <w:numPr>
          <w:ilvl w:val="1"/>
          <w:numId w:val="6"/>
        </w:numPr>
      </w:pPr>
      <w:bookmarkStart w:id="9" w:name="_Toc483906418"/>
      <w:r w:rsidRPr="00057A8E">
        <w:t>Drobný dlouhodobý majetek a peněžní toky s ním spojené</w:t>
      </w:r>
      <w:bookmarkEnd w:id="9"/>
    </w:p>
    <w:p w:rsidR="00B62C2D" w:rsidRDefault="00C3240D" w:rsidP="00DD6A5D">
      <w:pPr>
        <w:jc w:val="both"/>
      </w:pPr>
      <w:r>
        <w:t xml:space="preserve">Struktura výkazu a náplň jednotlivých položek vychází </w:t>
      </w:r>
      <w:r w:rsidRPr="00C3240D">
        <w:t xml:space="preserve">z mezinárodní metodiky vládní finanční statistiky. V souladu s ní se vyráběná aktiva, která jsou používána opakovaně nebo trvale ve výrobním procesu po dobu delší než jeden rok, řadí mezi fixní aktiva </w:t>
      </w:r>
      <w:r w:rsidR="007B38C4">
        <w:t xml:space="preserve">(dlouhodobý majetek) </w:t>
      </w:r>
      <w:r w:rsidRPr="00C3240D">
        <w:t>a peněžní toky s</w:t>
      </w:r>
      <w:r w:rsidR="00D56412">
        <w:t> </w:t>
      </w:r>
      <w:r w:rsidRPr="00C3240D">
        <w:t>nimi spojené se klasifiku</w:t>
      </w:r>
      <w:r w:rsidR="00B62C2D">
        <w:t xml:space="preserve">jí jako </w:t>
      </w:r>
      <w:r w:rsidR="007B38C4" w:rsidRPr="00A24960">
        <w:rPr>
          <w:i/>
        </w:rPr>
        <w:t xml:space="preserve">B. </w:t>
      </w:r>
      <w:r w:rsidR="00B62C2D" w:rsidRPr="00A24960">
        <w:rPr>
          <w:i/>
        </w:rPr>
        <w:t xml:space="preserve">Peněžní toky </w:t>
      </w:r>
      <w:r w:rsidRPr="00A24960">
        <w:rPr>
          <w:i/>
        </w:rPr>
        <w:t>do nefinanč</w:t>
      </w:r>
      <w:r w:rsidR="00271FD6" w:rsidRPr="00A24960">
        <w:rPr>
          <w:i/>
        </w:rPr>
        <w:t>n</w:t>
      </w:r>
      <w:r w:rsidRPr="00A24960">
        <w:rPr>
          <w:i/>
        </w:rPr>
        <w:t>ích aktiv</w:t>
      </w:r>
      <w:r w:rsidRPr="00C3240D">
        <w:t xml:space="preserve">. Platný manuál </w:t>
      </w:r>
      <w:r w:rsidR="00271FD6">
        <w:t xml:space="preserve">však </w:t>
      </w:r>
      <w:r w:rsidRPr="00C3240D">
        <w:t>připouští zachycení předmětů malé hodnoty (např. pila, nůž</w:t>
      </w:r>
      <w:r w:rsidR="00183F1B">
        <w:t xml:space="preserve"> nebo</w:t>
      </w:r>
      <w:r w:rsidRPr="00C3240D">
        <w:t xml:space="preserve"> kladivo)</w:t>
      </w:r>
      <w:r w:rsidR="00271FD6">
        <w:t xml:space="preserve"> s dobou použitelnosti delší než jeden rok</w:t>
      </w:r>
      <w:r w:rsidRPr="00C3240D">
        <w:t xml:space="preserve"> jako provozní výdaj</w:t>
      </w:r>
      <w:r w:rsidR="00B62C2D">
        <w:t xml:space="preserve"> (</w:t>
      </w:r>
      <w:r w:rsidR="00B62C2D" w:rsidRPr="00A24960">
        <w:rPr>
          <w:i/>
        </w:rPr>
        <w:t>A.2.VI</w:t>
      </w:r>
      <w:r w:rsidR="009640D2" w:rsidRPr="00A24960">
        <w:rPr>
          <w:i/>
        </w:rPr>
        <w:t>II</w:t>
      </w:r>
      <w:r w:rsidR="00B62C2D" w:rsidRPr="00A24960">
        <w:rPr>
          <w:i/>
        </w:rPr>
        <w:t>. Výdaje na nákupy zboží a služeb</w:t>
      </w:r>
      <w:r w:rsidR="00B62C2D">
        <w:t>).</w:t>
      </w:r>
    </w:p>
    <w:p w:rsidR="00C3240D" w:rsidRDefault="00A03342" w:rsidP="0071042F">
      <w:pPr>
        <w:jc w:val="both"/>
      </w:pPr>
      <w:r>
        <w:t xml:space="preserve">V případě státních příspěvkových organizací je </w:t>
      </w:r>
      <w:r w:rsidR="00105331">
        <w:t xml:space="preserve">hodnota </w:t>
      </w:r>
      <w:r w:rsidR="00E96499">
        <w:t>dr</w:t>
      </w:r>
      <w:r>
        <w:t>obného dlo</w:t>
      </w:r>
      <w:r w:rsidR="00FE5870">
        <w:t xml:space="preserve">uhodobého </w:t>
      </w:r>
      <w:r w:rsidR="00E96499">
        <w:t xml:space="preserve">hmotného a nehmotného </w:t>
      </w:r>
      <w:r>
        <w:t>majetku</w:t>
      </w:r>
      <w:r w:rsidR="00C3240D" w:rsidRPr="00C3240D">
        <w:t xml:space="preserve"> </w:t>
      </w:r>
      <w:r w:rsidR="00E96499">
        <w:t xml:space="preserve">vymezena </w:t>
      </w:r>
      <w:r w:rsidR="00C3240D" w:rsidRPr="00C3240D">
        <w:t>s</w:t>
      </w:r>
      <w:r w:rsidR="003576CC">
        <w:t>podní hranicí 3</w:t>
      </w:r>
      <w:r w:rsidR="00FF0006">
        <w:t xml:space="preserve"> </w:t>
      </w:r>
      <w:r w:rsidR="003576CC">
        <w:t>000 Kč (viz § 14 odst. 6 vyhlášky č. </w:t>
      </w:r>
      <w:r w:rsidR="00C3240D" w:rsidRPr="00C3240D">
        <w:t>410/2009 Sb.)</w:t>
      </w:r>
      <w:r w:rsidR="00B62C2D">
        <w:t>, resp.</w:t>
      </w:r>
      <w:r w:rsidR="003576CC">
        <w:t xml:space="preserve"> 7</w:t>
      </w:r>
      <w:r w:rsidR="00CE3FA0">
        <w:t xml:space="preserve"> </w:t>
      </w:r>
      <w:r w:rsidR="003576CC">
        <w:t>000 Kč (viz § 11</w:t>
      </w:r>
      <w:r w:rsidR="00C3240D" w:rsidRPr="00C3240D">
        <w:t xml:space="preserve"> o</w:t>
      </w:r>
      <w:r w:rsidR="003576CC">
        <w:t>dst. 6</w:t>
      </w:r>
      <w:r w:rsidR="00C3240D" w:rsidRPr="00C3240D">
        <w:t xml:space="preserve"> písm. a) vyhlášky č. 410/2009 Sb</w:t>
      </w:r>
      <w:r w:rsidR="00C3240D" w:rsidRPr="001D7094">
        <w:t>.).</w:t>
      </w:r>
      <w:r w:rsidR="00E96499" w:rsidRPr="001D7094">
        <w:t xml:space="preserve"> </w:t>
      </w:r>
      <w:r w:rsidR="00B62C2D" w:rsidRPr="001D7094">
        <w:t>V</w:t>
      </w:r>
      <w:r w:rsidR="00A24364" w:rsidRPr="001D7094">
        <w:t> takovém</w:t>
      </w:r>
      <w:r w:rsidR="0071042F" w:rsidRPr="001D7094">
        <w:t xml:space="preserve"> </w:t>
      </w:r>
      <w:r w:rsidR="00B62C2D" w:rsidRPr="001D7094">
        <w:t xml:space="preserve">případě </w:t>
      </w:r>
      <w:r w:rsidR="0071042F" w:rsidRPr="001D7094">
        <w:t>by měl být nákup drobného dlouhodobého majetku jednoznačně klasifikován</w:t>
      </w:r>
      <w:r w:rsidR="004D57EE" w:rsidRPr="001D7094">
        <w:t xml:space="preserve"> jako</w:t>
      </w:r>
      <w:r w:rsidR="0071042F" w:rsidRPr="001D7094">
        <w:t xml:space="preserve"> </w:t>
      </w:r>
      <w:r w:rsidR="004D57EE" w:rsidRPr="001D7094">
        <w:t xml:space="preserve">nákup </w:t>
      </w:r>
      <w:r w:rsidR="0071042F" w:rsidRPr="001D7094">
        <w:t>dlouhodob</w:t>
      </w:r>
      <w:r w:rsidR="00EE34DE" w:rsidRPr="001D7094">
        <w:t>ého</w:t>
      </w:r>
      <w:r w:rsidR="0071042F" w:rsidRPr="001D7094">
        <w:t xml:space="preserve"> majet</w:t>
      </w:r>
      <w:r w:rsidR="00EE34DE" w:rsidRPr="001D7094">
        <w:t>ku (</w:t>
      </w:r>
      <w:r w:rsidR="00EE34DE" w:rsidRPr="001D7094">
        <w:rPr>
          <w:i/>
        </w:rPr>
        <w:t>B.1.III. Ostatní nákupy dlouhodobého hmotného a nehmotného majetku</w:t>
      </w:r>
      <w:r w:rsidR="00EE34DE" w:rsidRPr="001D7094">
        <w:t>)</w:t>
      </w:r>
      <w:r w:rsidR="007A44E6" w:rsidRPr="001D7094">
        <w:t>. Případný</w:t>
      </w:r>
      <w:r w:rsidR="007A44E6" w:rsidRPr="0071042F">
        <w:t xml:space="preserve"> příjem z prodeje by pak byl zaznamenán na položku </w:t>
      </w:r>
      <w:r w:rsidR="007A44E6" w:rsidRPr="00A24960">
        <w:rPr>
          <w:i/>
        </w:rPr>
        <w:t>B.2.III</w:t>
      </w:r>
      <w:r w:rsidR="0066023D" w:rsidRPr="00A24960">
        <w:rPr>
          <w:i/>
        </w:rPr>
        <w:t xml:space="preserve"> Ostatní prodeje dlouhodobéh</w:t>
      </w:r>
      <w:r w:rsidR="00D0483F" w:rsidRPr="00A24960">
        <w:rPr>
          <w:i/>
        </w:rPr>
        <w:t>o hmotného a nehmotného majetku</w:t>
      </w:r>
      <w:r w:rsidR="007A44E6" w:rsidRPr="0071042F">
        <w:t>.</w:t>
      </w:r>
      <w:r w:rsidR="0071042F" w:rsidRPr="0071042F">
        <w:t xml:space="preserve"> </w:t>
      </w:r>
      <w:r w:rsidR="007A44E6">
        <w:t xml:space="preserve">V případě, že obdobná dolní hranice pro </w:t>
      </w:r>
      <w:r w:rsidR="00E342C7">
        <w:t xml:space="preserve">drobný </w:t>
      </w:r>
      <w:r w:rsidR="007A44E6">
        <w:t>dlouhodobý</w:t>
      </w:r>
      <w:r w:rsidR="00E342C7">
        <w:t xml:space="preserve"> </w:t>
      </w:r>
      <w:r w:rsidR="00F94D0E">
        <w:t>majetek není stanovena podzákonnou právní úpravou</w:t>
      </w:r>
      <w:r w:rsidR="007A44E6">
        <w:t xml:space="preserve"> ani žádným interním předpisem, </w:t>
      </w:r>
      <w:r w:rsidR="00105331">
        <w:t>doporučuje se</w:t>
      </w:r>
      <w:r w:rsidR="0071042F" w:rsidRPr="0071042F">
        <w:t xml:space="preserve"> jeho pořízení (nákup) zaznamenávat </w:t>
      </w:r>
      <w:r w:rsidR="0066023D">
        <w:t xml:space="preserve">jako provozní výdaj na položce </w:t>
      </w:r>
      <w:r w:rsidR="0066023D" w:rsidRPr="00A24960">
        <w:rPr>
          <w:i/>
        </w:rPr>
        <w:t>A.2.VI</w:t>
      </w:r>
      <w:r w:rsidR="009640D2" w:rsidRPr="00A24960">
        <w:rPr>
          <w:i/>
        </w:rPr>
        <w:t>II</w:t>
      </w:r>
      <w:r w:rsidR="0066023D" w:rsidRPr="00A24960">
        <w:rPr>
          <w:i/>
        </w:rPr>
        <w:t>. Výdaje na nákupy zboží a služeb</w:t>
      </w:r>
      <w:r w:rsidR="0066023D">
        <w:t>.</w:t>
      </w:r>
      <w:r w:rsidR="0071042F" w:rsidRPr="0071042F">
        <w:t xml:space="preserve"> </w:t>
      </w:r>
    </w:p>
    <w:p w:rsidR="005E32BE" w:rsidRPr="00057A8E" w:rsidRDefault="00EE47CF" w:rsidP="00437EA8">
      <w:pPr>
        <w:pStyle w:val="Nadpis2"/>
        <w:numPr>
          <w:ilvl w:val="1"/>
          <w:numId w:val="6"/>
        </w:numPr>
      </w:pPr>
      <w:bookmarkStart w:id="10" w:name="_Toc483906419"/>
      <w:r w:rsidRPr="00057A8E">
        <w:t>P</w:t>
      </w:r>
      <w:r w:rsidR="005E32BE" w:rsidRPr="00057A8E">
        <w:t>řijaté</w:t>
      </w:r>
      <w:r w:rsidRPr="00057A8E">
        <w:t xml:space="preserve"> a poskytnuté</w:t>
      </w:r>
      <w:r w:rsidR="005E32BE" w:rsidRPr="00057A8E">
        <w:t xml:space="preserve"> zálohy</w:t>
      </w:r>
      <w:bookmarkEnd w:id="10"/>
    </w:p>
    <w:p w:rsidR="0043430B" w:rsidRDefault="005E32BE" w:rsidP="0043430B">
      <w:pPr>
        <w:jc w:val="both"/>
      </w:pPr>
      <w:r>
        <w:t xml:space="preserve">Z pohledu předmětného výkazu se jedná o stejný případ </w:t>
      </w:r>
      <w:r w:rsidR="00EE47CF">
        <w:t>jako platba přijatá na základě vystavené faktury, resp. platba odeslaná na základě přijaté faktury.</w:t>
      </w:r>
      <w:r w:rsidR="00C821DC">
        <w:t xml:space="preserve"> Konkrétní zatřídění na příslušnou příjmovou či výdajovou položku </w:t>
      </w:r>
      <w:r w:rsidR="00497001">
        <w:t>závisí na účelu platby (např. poskytnutá záloha na nákup dlouhodobého majetk</w:t>
      </w:r>
      <w:r w:rsidR="009640D2">
        <w:t>u</w:t>
      </w:r>
      <w:r w:rsidR="00497001">
        <w:t xml:space="preserve"> bude zaznamenána na položce </w:t>
      </w:r>
      <w:r w:rsidR="00497001" w:rsidRPr="00A24960">
        <w:rPr>
          <w:i/>
        </w:rPr>
        <w:t>B.1.III. Ostatní</w:t>
      </w:r>
      <w:r w:rsidR="00D56412">
        <w:rPr>
          <w:i/>
        </w:rPr>
        <w:t xml:space="preserve"> nákupy dlouhodobého hmotného a </w:t>
      </w:r>
      <w:r w:rsidR="00497001" w:rsidRPr="00A24960">
        <w:rPr>
          <w:i/>
        </w:rPr>
        <w:t>nehmotného majetku</w:t>
      </w:r>
      <w:r w:rsidR="00497001">
        <w:t>).</w:t>
      </w:r>
    </w:p>
    <w:p w:rsidR="0043430B" w:rsidRDefault="00497001" w:rsidP="0043430B">
      <w:pPr>
        <w:jc w:val="both"/>
        <w:sectPr w:rsidR="0043430B" w:rsidSect="000B3AA5">
          <w:footerReference w:type="default" r:id="rId20"/>
          <w:pgSz w:w="11906" w:h="16838"/>
          <w:pgMar w:top="1417" w:right="1417" w:bottom="1417" w:left="1417" w:header="708" w:footer="708" w:gutter="0"/>
          <w:pgNumType w:start="1"/>
          <w:cols w:space="708"/>
          <w:docGrid w:linePitch="360"/>
        </w:sectPr>
      </w:pPr>
      <w:r>
        <w:t xml:space="preserve"> </w:t>
      </w:r>
    </w:p>
    <w:p w:rsidR="0043430B" w:rsidRPr="00E37859" w:rsidRDefault="00975236" w:rsidP="00D157D5">
      <w:pPr>
        <w:pStyle w:val="Nadpis1"/>
        <w:numPr>
          <w:ilvl w:val="0"/>
          <w:numId w:val="6"/>
        </w:numPr>
        <w:spacing w:before="0" w:after="120"/>
        <w:ind w:left="357" w:hanging="357"/>
        <w:rPr>
          <w:rFonts w:eastAsia="Times New Roman"/>
          <w:lang w:eastAsia="cs-CZ"/>
        </w:rPr>
      </w:pPr>
      <w:bookmarkStart w:id="11" w:name="_Toc483906420"/>
      <w:r>
        <w:rPr>
          <w:rFonts w:eastAsia="Times New Roman"/>
          <w:lang w:eastAsia="cs-CZ"/>
        </w:rPr>
        <w:lastRenderedPageBreak/>
        <w:t>Obsahová náplň</w:t>
      </w:r>
      <w:r w:rsidR="0055707D" w:rsidRPr="00057A8E">
        <w:rPr>
          <w:rFonts w:eastAsia="Times New Roman"/>
          <w:lang w:eastAsia="cs-CZ"/>
        </w:rPr>
        <w:t xml:space="preserve"> jednotlivých položek příjmů a výdajů</w:t>
      </w:r>
      <w:bookmarkEnd w:id="11"/>
    </w:p>
    <w:tbl>
      <w:tblPr>
        <w:tblW w:w="14249" w:type="dxa"/>
        <w:tblInd w:w="55" w:type="dxa"/>
        <w:tblCellMar>
          <w:left w:w="70" w:type="dxa"/>
          <w:right w:w="70" w:type="dxa"/>
        </w:tblCellMar>
        <w:tblLook w:val="04A0"/>
      </w:tblPr>
      <w:tblGrid>
        <w:gridCol w:w="1291"/>
        <w:gridCol w:w="12958"/>
      </w:tblGrid>
      <w:tr w:rsidR="0043430B" w:rsidRPr="001B70EE" w:rsidTr="00A71CE6">
        <w:trPr>
          <w:trHeight w:val="41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30B" w:rsidRPr="001B70EE" w:rsidRDefault="0043430B" w:rsidP="002B79EF">
            <w:pPr>
              <w:spacing w:after="0" w:line="240" w:lineRule="auto"/>
              <w:rPr>
                <w:rFonts w:eastAsia="Times New Roman" w:cs="Arial"/>
                <w:b/>
                <w:bCs/>
                <w:sz w:val="24"/>
                <w:szCs w:val="24"/>
                <w:lang w:eastAsia="cs-CZ"/>
              </w:rPr>
            </w:pPr>
            <w:r w:rsidRPr="001B70EE">
              <w:rPr>
                <w:rFonts w:eastAsia="Times New Roman" w:cs="Arial"/>
                <w:b/>
                <w:bCs/>
                <w:sz w:val="24"/>
                <w:szCs w:val="24"/>
                <w:lang w:eastAsia="cs-CZ"/>
              </w:rPr>
              <w:t>A.1.</w:t>
            </w:r>
          </w:p>
        </w:tc>
        <w:tc>
          <w:tcPr>
            <w:tcW w:w="12958" w:type="dxa"/>
            <w:tcBorders>
              <w:top w:val="single" w:sz="4" w:space="0" w:color="auto"/>
              <w:left w:val="nil"/>
              <w:bottom w:val="single" w:sz="4" w:space="0" w:color="auto"/>
              <w:right w:val="single" w:sz="4" w:space="0" w:color="auto"/>
            </w:tcBorders>
            <w:shd w:val="clear" w:color="auto" w:fill="auto"/>
            <w:noWrap/>
            <w:vAlign w:val="center"/>
          </w:tcPr>
          <w:p w:rsidR="0043430B" w:rsidRPr="001B70EE" w:rsidRDefault="0043430B" w:rsidP="00522316">
            <w:pPr>
              <w:pStyle w:val="Nadpis3"/>
              <w:rPr>
                <w:rFonts w:eastAsia="Times New Roman"/>
                <w:lang w:eastAsia="cs-CZ"/>
              </w:rPr>
            </w:pPr>
            <w:bookmarkStart w:id="12" w:name="_Toc483906421"/>
            <w:r w:rsidRPr="001B70EE">
              <w:rPr>
                <w:rFonts w:eastAsia="Times New Roman"/>
                <w:lang w:eastAsia="cs-CZ"/>
              </w:rPr>
              <w:t>PŘÍJMY Z PROVOZNÍ ČINNOSTI</w:t>
            </w:r>
            <w:bookmarkEnd w:id="12"/>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bottom"/>
          </w:tcPr>
          <w:p w:rsidR="0043430B" w:rsidRPr="00800FEE" w:rsidRDefault="0043430B" w:rsidP="002B79EF">
            <w:pPr>
              <w:spacing w:after="0" w:line="240" w:lineRule="auto"/>
              <w:rPr>
                <w:rFonts w:eastAsia="Times New Roman" w:cs="Arial"/>
                <w:b/>
                <w:bCs/>
                <w:lang w:eastAsia="cs-CZ"/>
              </w:rPr>
            </w:pPr>
            <w:r w:rsidRPr="00800FEE">
              <w:rPr>
                <w:rFonts w:eastAsia="Times New Roman" w:cs="Arial"/>
                <w:b/>
                <w:bCs/>
                <w:lang w:eastAsia="cs-CZ"/>
              </w:rPr>
              <w:t>A.1.I.</w:t>
            </w:r>
          </w:p>
        </w:tc>
        <w:tc>
          <w:tcPr>
            <w:tcW w:w="12958" w:type="dxa"/>
            <w:tcBorders>
              <w:top w:val="single" w:sz="4" w:space="0" w:color="auto"/>
              <w:left w:val="nil"/>
              <w:right w:val="single" w:sz="4" w:space="0" w:color="auto"/>
            </w:tcBorders>
            <w:shd w:val="clear" w:color="auto" w:fill="auto"/>
            <w:noWrap/>
            <w:vAlign w:val="bottom"/>
          </w:tcPr>
          <w:p w:rsidR="0043430B" w:rsidRPr="00800FEE" w:rsidRDefault="0043430B" w:rsidP="001203D0">
            <w:pPr>
              <w:spacing w:after="0" w:line="240" w:lineRule="auto"/>
              <w:rPr>
                <w:rFonts w:eastAsia="Times New Roman" w:cs="Arial"/>
                <w:b/>
                <w:bCs/>
                <w:lang w:eastAsia="cs-CZ"/>
              </w:rPr>
            </w:pPr>
            <w:r w:rsidRPr="00800FEE">
              <w:rPr>
                <w:rFonts w:eastAsia="Times New Roman" w:cs="Arial"/>
                <w:b/>
                <w:bCs/>
                <w:lang w:eastAsia="cs-CZ"/>
              </w:rPr>
              <w:t>Příjmy z</w:t>
            </w:r>
            <w:r w:rsidR="00CC3B35">
              <w:rPr>
                <w:rFonts w:eastAsia="Times New Roman" w:cs="Arial"/>
                <w:b/>
                <w:bCs/>
                <w:lang w:eastAsia="cs-CZ"/>
              </w:rPr>
              <w:t> </w:t>
            </w:r>
            <w:r w:rsidRPr="00800FEE">
              <w:rPr>
                <w:rFonts w:eastAsia="Times New Roman" w:cs="Arial"/>
                <w:b/>
                <w:bCs/>
                <w:lang w:eastAsia="cs-CZ"/>
              </w:rPr>
              <w:t>daní</w:t>
            </w:r>
          </w:p>
        </w:tc>
      </w:tr>
      <w:tr w:rsidR="0043430B" w:rsidRPr="001B70EE" w:rsidTr="003E379C">
        <w:trPr>
          <w:trHeight w:val="2480"/>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800FEE" w:rsidRDefault="0043430B"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Default="0043430B" w:rsidP="001203D0">
            <w:pPr>
              <w:spacing w:after="0" w:line="240" w:lineRule="auto"/>
              <w:jc w:val="both"/>
              <w:rPr>
                <w:rFonts w:eastAsia="Times New Roman" w:cs="Arial"/>
                <w:lang w:eastAsia="cs-CZ"/>
              </w:rPr>
            </w:pPr>
            <w:r w:rsidRPr="00800FEE">
              <w:rPr>
                <w:rFonts w:eastAsia="Times New Roman" w:cs="Arial"/>
                <w:lang w:eastAsia="cs-CZ"/>
              </w:rPr>
              <w:t>Příjmy z daní představují povinné platby přijaté sektorem vládních institucí (viz jednotky zařazené v RES do institucionálních sektorů 13110, 13130 a 13140) bez nároku jejich plátce na plnění</w:t>
            </w:r>
            <w:r>
              <w:rPr>
                <w:rFonts w:eastAsia="Times New Roman" w:cs="Arial"/>
                <w:lang w:eastAsia="cs-CZ"/>
              </w:rPr>
              <w:t>.</w:t>
            </w:r>
          </w:p>
          <w:p w:rsidR="0043430B" w:rsidRDefault="0043430B" w:rsidP="001203D0">
            <w:pPr>
              <w:spacing w:after="0" w:line="240" w:lineRule="auto"/>
              <w:jc w:val="both"/>
              <w:rPr>
                <w:rFonts w:eastAsia="Times New Roman" w:cs="Arial"/>
                <w:lang w:eastAsia="cs-CZ"/>
              </w:rPr>
            </w:pPr>
            <w:r w:rsidRPr="00800FEE">
              <w:rPr>
                <w:rFonts w:eastAsia="Times New Roman" w:cs="Arial"/>
                <w:lang w:eastAsia="cs-CZ"/>
              </w:rPr>
              <w:t>Vratky a korekce chybně vybraných daňových příjmů jsou zaznamenávány jako negativní příjem (se znaménkem mínus). Jde o úpravu, která umožňuje korekci předchozího výběru daní.</w:t>
            </w:r>
          </w:p>
          <w:p w:rsidR="0043430B" w:rsidRDefault="0043430B" w:rsidP="001203D0">
            <w:pPr>
              <w:spacing w:after="0" w:line="240" w:lineRule="auto"/>
              <w:jc w:val="both"/>
              <w:rPr>
                <w:rFonts w:eastAsia="Times New Roman" w:cs="Arial"/>
                <w:lang w:eastAsia="cs-CZ"/>
              </w:rPr>
            </w:pPr>
            <w:r w:rsidRPr="00800FEE">
              <w:rPr>
                <w:rFonts w:eastAsia="Times New Roman" w:cs="Arial"/>
                <w:lang w:eastAsia="cs-CZ"/>
              </w:rPr>
              <w:t>Správní poplatky</w:t>
            </w:r>
            <w:r>
              <w:rPr>
                <w:rFonts w:eastAsia="Times New Roman" w:cs="Arial"/>
                <w:lang w:eastAsia="cs-CZ"/>
              </w:rPr>
              <w:t xml:space="preserve"> (viz položka A.1.V</w:t>
            </w:r>
            <w:r w:rsidR="005B1BEF">
              <w:rPr>
                <w:rFonts w:eastAsia="Times New Roman" w:cs="Arial"/>
                <w:lang w:eastAsia="cs-CZ"/>
              </w:rPr>
              <w:t>I</w:t>
            </w:r>
            <w:r>
              <w:rPr>
                <w:rFonts w:eastAsia="Times New Roman" w:cs="Arial"/>
                <w:lang w:eastAsia="cs-CZ"/>
              </w:rPr>
              <w:t>.</w:t>
            </w:r>
            <w:r w:rsidR="005B1BEF">
              <w:rPr>
                <w:rFonts w:eastAsia="Times New Roman" w:cs="Arial"/>
                <w:lang w:eastAsia="cs-CZ"/>
              </w:rPr>
              <w:t>4</w:t>
            </w:r>
            <w:r w:rsidRPr="00800FEE">
              <w:rPr>
                <w:rFonts w:eastAsia="Times New Roman" w:cs="Arial"/>
                <w:lang w:eastAsia="cs-CZ"/>
              </w:rPr>
              <w:t>.), jejichž výše je v nepom</w:t>
            </w:r>
            <w:r w:rsidR="008417F1">
              <w:rPr>
                <w:rFonts w:eastAsia="Times New Roman" w:cs="Arial"/>
                <w:lang w:eastAsia="cs-CZ"/>
              </w:rPr>
              <w:t>ěru k výši výdajů vynaložených</w:t>
            </w:r>
            <w:r w:rsidRPr="00800FEE">
              <w:rPr>
                <w:rFonts w:eastAsia="Times New Roman" w:cs="Arial"/>
                <w:lang w:eastAsia="cs-CZ"/>
              </w:rPr>
              <w:t xml:space="preserve"> na poskytované služby, jsou klasifikovány jako daň. Stejně tak pokuty a penále uložené za porušení daňových předpisů je možno považovat za daňový příjem</w:t>
            </w:r>
            <w:r>
              <w:rPr>
                <w:rFonts w:eastAsia="Times New Roman" w:cs="Arial"/>
                <w:lang w:eastAsia="cs-CZ"/>
              </w:rPr>
              <w:t xml:space="preserve"> (více viz položka A.1.V</w:t>
            </w:r>
            <w:r w:rsidR="005B1BEF">
              <w:rPr>
                <w:rFonts w:eastAsia="Times New Roman" w:cs="Arial"/>
                <w:lang w:eastAsia="cs-CZ"/>
              </w:rPr>
              <w:t>I</w:t>
            </w:r>
            <w:r>
              <w:rPr>
                <w:rFonts w:eastAsia="Times New Roman" w:cs="Arial"/>
                <w:lang w:eastAsia="cs-CZ"/>
              </w:rPr>
              <w:t>.</w:t>
            </w:r>
            <w:r w:rsidR="005B1BEF">
              <w:rPr>
                <w:rFonts w:eastAsia="Times New Roman" w:cs="Arial"/>
                <w:lang w:eastAsia="cs-CZ"/>
              </w:rPr>
              <w:t>6.</w:t>
            </w:r>
            <w:r w:rsidRPr="00800FEE">
              <w:rPr>
                <w:rFonts w:eastAsia="Times New Roman" w:cs="Arial"/>
                <w:lang w:eastAsia="cs-CZ"/>
              </w:rPr>
              <w:t>).</w:t>
            </w:r>
          </w:p>
          <w:p w:rsidR="0043430B" w:rsidRPr="00800FEE" w:rsidRDefault="0043430B" w:rsidP="001C5DDA">
            <w:pPr>
              <w:spacing w:after="0" w:line="240" w:lineRule="auto"/>
              <w:jc w:val="both"/>
              <w:rPr>
                <w:rFonts w:eastAsia="Times New Roman" w:cs="Arial"/>
                <w:lang w:eastAsia="cs-CZ"/>
              </w:rPr>
            </w:pPr>
            <w:r w:rsidRPr="00800FEE">
              <w:rPr>
                <w:rFonts w:eastAsia="Times New Roman" w:cs="Arial"/>
                <w:lang w:eastAsia="cs-CZ"/>
              </w:rPr>
              <w:t>Na danou položku se dále zaznamenávají poplatky inkasované poskytovatelem standardizovaných záruk</w:t>
            </w:r>
            <w:r w:rsidR="00EF78EE">
              <w:rPr>
                <w:rStyle w:val="Znakapoznpodarou"/>
                <w:rFonts w:eastAsia="Times New Roman" w:cs="Arial"/>
                <w:lang w:eastAsia="cs-CZ"/>
              </w:rPr>
              <w:footnoteReference w:id="7"/>
            </w:r>
            <w:r w:rsidRPr="00800FEE">
              <w:rPr>
                <w:rFonts w:eastAsia="Times New Roman" w:cs="Arial"/>
                <w:lang w:eastAsia="cs-CZ"/>
              </w:rPr>
              <w:t>, a to při splnění podmínek uve</w:t>
            </w:r>
            <w:r>
              <w:rPr>
                <w:rFonts w:eastAsia="Times New Roman" w:cs="Arial"/>
                <w:lang w:eastAsia="cs-CZ"/>
              </w:rPr>
              <w:t>dených u náplně položky A.1.V.</w:t>
            </w:r>
            <w:r w:rsidR="005B1BEF">
              <w:rPr>
                <w:rFonts w:eastAsia="Times New Roman" w:cs="Arial"/>
                <w:lang w:eastAsia="cs-CZ"/>
              </w:rPr>
              <w:t>2</w:t>
            </w:r>
            <w:r w:rsidRPr="00800FEE">
              <w:rPr>
                <w:rFonts w:eastAsia="Times New Roman" w:cs="Arial"/>
                <w:lang w:eastAsia="cs-CZ"/>
              </w:rPr>
              <w:t>.</w:t>
            </w:r>
            <w:r w:rsidR="008B1FBB">
              <w:rPr>
                <w:rFonts w:eastAsia="Times New Roman" w:cs="Arial"/>
                <w:lang w:eastAsia="cs-CZ"/>
              </w:rPr>
              <w:t xml:space="preserve"> Takovým případem je </w:t>
            </w:r>
            <w:r w:rsidR="005B1BEF">
              <w:rPr>
                <w:rFonts w:eastAsia="Times New Roman" w:cs="Arial"/>
                <w:lang w:eastAsia="cs-CZ"/>
              </w:rPr>
              <w:t xml:space="preserve">také </w:t>
            </w:r>
            <w:r w:rsidR="006F6BD1">
              <w:rPr>
                <w:rFonts w:eastAsia="Times New Roman" w:cs="Arial"/>
                <w:lang w:eastAsia="cs-CZ"/>
              </w:rPr>
              <w:t xml:space="preserve">existující </w:t>
            </w:r>
            <w:r w:rsidR="008B1FBB">
              <w:rPr>
                <w:rFonts w:eastAsia="Times New Roman" w:cs="Arial"/>
                <w:lang w:eastAsia="cs-CZ"/>
              </w:rPr>
              <w:t>systém pojištění vkladů v ČR spravovaný Garančním systémem finančního trhu</w:t>
            </w:r>
            <w:r w:rsidR="00EF78EE">
              <w:rPr>
                <w:rFonts w:eastAsia="Times New Roman" w:cs="Arial"/>
                <w:lang w:eastAsia="cs-CZ"/>
              </w:rPr>
              <w:t xml:space="preserve"> (resp. Fondem pojištění vkladů)</w:t>
            </w:r>
            <w:r w:rsidR="008B1FBB">
              <w:rPr>
                <w:rFonts w:eastAsia="Times New Roman" w:cs="Arial"/>
                <w:lang w:eastAsia="cs-CZ"/>
              </w:rPr>
              <w:t>.</w:t>
            </w:r>
            <w:r w:rsidR="00EF78EE">
              <w:rPr>
                <w:rFonts w:eastAsia="Times New Roman" w:cs="Arial"/>
                <w:lang w:eastAsia="cs-CZ"/>
              </w:rPr>
              <w:t xml:space="preserve"> </w:t>
            </w:r>
            <w:r w:rsidR="006F6BD1">
              <w:rPr>
                <w:rFonts w:eastAsia="Times New Roman" w:cs="Arial"/>
                <w:lang w:eastAsia="cs-CZ"/>
              </w:rPr>
              <w:t>Jeho příjmy z příspěvků</w:t>
            </w:r>
            <w:r w:rsidR="00EF78EE">
              <w:rPr>
                <w:rFonts w:eastAsia="Times New Roman" w:cs="Arial"/>
                <w:lang w:eastAsia="cs-CZ"/>
              </w:rPr>
              <w:t xml:space="preserve"> </w:t>
            </w:r>
            <w:r w:rsidR="006F6BD1">
              <w:rPr>
                <w:rFonts w:eastAsia="Times New Roman" w:cs="Arial"/>
                <w:lang w:eastAsia="cs-CZ"/>
              </w:rPr>
              <w:t xml:space="preserve">od </w:t>
            </w:r>
            <w:r w:rsidR="00EF78EE">
              <w:rPr>
                <w:rFonts w:eastAsia="Times New Roman" w:cs="Arial"/>
                <w:lang w:eastAsia="cs-CZ"/>
              </w:rPr>
              <w:t>bank, stavebních spořitelen a družstevních záložen se sídlem v ČR jsou proto zaznamenávány na této položce.</w:t>
            </w:r>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800FEE" w:rsidRDefault="0043430B" w:rsidP="002B79EF">
            <w:pPr>
              <w:spacing w:after="0" w:line="240" w:lineRule="auto"/>
              <w:rPr>
                <w:rFonts w:eastAsia="Times New Roman" w:cs="Arial"/>
                <w:b/>
                <w:bCs/>
                <w:lang w:eastAsia="cs-CZ"/>
              </w:rPr>
            </w:pPr>
            <w:r w:rsidRPr="00800FEE">
              <w:rPr>
                <w:rFonts w:eastAsia="Times New Roman" w:cs="Arial"/>
                <w:b/>
                <w:bCs/>
                <w:lang w:eastAsia="cs-CZ"/>
              </w:rPr>
              <w:t>A.1.II.</w:t>
            </w:r>
          </w:p>
        </w:tc>
        <w:tc>
          <w:tcPr>
            <w:tcW w:w="12958" w:type="dxa"/>
            <w:tcBorders>
              <w:top w:val="single" w:sz="4" w:space="0" w:color="auto"/>
              <w:left w:val="nil"/>
              <w:right w:val="single" w:sz="4" w:space="0" w:color="auto"/>
            </w:tcBorders>
            <w:shd w:val="clear" w:color="auto" w:fill="auto"/>
            <w:vAlign w:val="center"/>
          </w:tcPr>
          <w:p w:rsidR="0043430B" w:rsidRPr="00800FEE" w:rsidRDefault="00361A0C" w:rsidP="001203D0">
            <w:pPr>
              <w:spacing w:after="0" w:line="240" w:lineRule="auto"/>
              <w:jc w:val="both"/>
              <w:rPr>
                <w:rFonts w:eastAsia="Times New Roman" w:cs="Arial"/>
                <w:b/>
                <w:lang w:eastAsia="cs-CZ"/>
              </w:rPr>
            </w:pPr>
            <w:r>
              <w:rPr>
                <w:rFonts w:eastAsia="Times New Roman" w:cs="Arial"/>
                <w:b/>
                <w:lang w:eastAsia="cs-CZ"/>
              </w:rPr>
              <w:t>Příjmy z </w:t>
            </w:r>
            <w:r w:rsidR="0043430B" w:rsidRPr="00800FEE">
              <w:rPr>
                <w:rFonts w:eastAsia="Times New Roman" w:cs="Arial"/>
                <w:b/>
                <w:lang w:eastAsia="cs-CZ"/>
              </w:rPr>
              <w:t>příspěvků</w:t>
            </w:r>
            <w:r>
              <w:rPr>
                <w:rFonts w:eastAsia="Times New Roman" w:cs="Arial"/>
                <w:b/>
                <w:lang w:eastAsia="cs-CZ"/>
              </w:rPr>
              <w:t xml:space="preserve"> na sociální a zdravotní pojištění</w:t>
            </w:r>
          </w:p>
        </w:tc>
      </w:tr>
      <w:tr w:rsidR="0043430B" w:rsidRPr="001B70EE" w:rsidTr="00D157D5">
        <w:trPr>
          <w:trHeight w:val="554"/>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800FEE" w:rsidRDefault="0043430B"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800FEE" w:rsidRDefault="0043430B" w:rsidP="00AA144A">
            <w:pPr>
              <w:spacing w:after="0" w:line="240" w:lineRule="auto"/>
              <w:jc w:val="both"/>
              <w:rPr>
                <w:rFonts w:eastAsia="Times New Roman" w:cs="Arial"/>
                <w:lang w:eastAsia="cs-CZ"/>
              </w:rPr>
            </w:pPr>
            <w:r w:rsidRPr="00800FEE">
              <w:rPr>
                <w:rFonts w:eastAsia="Times New Roman" w:cs="Arial"/>
                <w:lang w:eastAsia="cs-CZ"/>
              </w:rPr>
              <w:t>Patří sem příjmy systému sociálního zabezpečení a veřejného zdravotního pojištění placené zaměstnanci, osobami samostatně výdělečně činnými, zaměstnavateli za své zaměstnance a státem za státní pojištěnce.</w:t>
            </w:r>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800FEE" w:rsidRDefault="0043430B" w:rsidP="002B79EF">
            <w:pPr>
              <w:spacing w:after="0" w:line="240" w:lineRule="auto"/>
              <w:rPr>
                <w:rFonts w:eastAsia="Times New Roman" w:cs="Arial"/>
                <w:b/>
                <w:bCs/>
                <w:lang w:eastAsia="cs-CZ"/>
              </w:rPr>
            </w:pPr>
            <w:r w:rsidRPr="00800FEE">
              <w:rPr>
                <w:rFonts w:eastAsia="Times New Roman" w:cs="Arial"/>
                <w:b/>
                <w:bCs/>
                <w:lang w:eastAsia="cs-CZ"/>
              </w:rPr>
              <w:t>A.1.III.</w:t>
            </w:r>
          </w:p>
        </w:tc>
        <w:tc>
          <w:tcPr>
            <w:tcW w:w="12958" w:type="dxa"/>
            <w:tcBorders>
              <w:top w:val="single" w:sz="4" w:space="0" w:color="auto"/>
              <w:left w:val="nil"/>
              <w:right w:val="single" w:sz="4" w:space="0" w:color="auto"/>
            </w:tcBorders>
            <w:shd w:val="clear" w:color="auto" w:fill="auto"/>
            <w:vAlign w:val="center"/>
          </w:tcPr>
          <w:p w:rsidR="0043430B" w:rsidRPr="00800FEE" w:rsidRDefault="0043430B" w:rsidP="009D1647">
            <w:pPr>
              <w:spacing w:after="0" w:line="240" w:lineRule="auto"/>
              <w:jc w:val="both"/>
              <w:rPr>
                <w:rFonts w:eastAsia="Times New Roman" w:cs="Arial"/>
                <w:b/>
                <w:lang w:eastAsia="cs-CZ"/>
              </w:rPr>
            </w:pPr>
            <w:r w:rsidRPr="00800FEE">
              <w:rPr>
                <w:rFonts w:eastAsia="Times New Roman" w:cs="Arial"/>
                <w:b/>
                <w:lang w:eastAsia="cs-CZ"/>
              </w:rPr>
              <w:t>Příjmy z transferů</w:t>
            </w:r>
            <w:r w:rsidR="00CE2616">
              <w:rPr>
                <w:rFonts w:eastAsia="Times New Roman" w:cs="Arial"/>
                <w:b/>
                <w:lang w:eastAsia="cs-CZ"/>
              </w:rPr>
              <w:t xml:space="preserve"> od </w:t>
            </w:r>
            <w:r w:rsidR="006F7A35">
              <w:rPr>
                <w:rFonts w:eastAsia="Times New Roman" w:cs="Arial"/>
                <w:b/>
                <w:lang w:eastAsia="cs-CZ"/>
              </w:rPr>
              <w:t xml:space="preserve">zahraničních vlád, </w:t>
            </w:r>
            <w:r w:rsidR="00CE2616">
              <w:rPr>
                <w:rFonts w:eastAsia="Times New Roman" w:cs="Arial"/>
                <w:b/>
                <w:lang w:eastAsia="cs-CZ"/>
              </w:rPr>
              <w:t>mezinárodních organizací</w:t>
            </w:r>
            <w:r w:rsidR="006F7A35">
              <w:rPr>
                <w:rFonts w:eastAsia="Times New Roman" w:cs="Arial"/>
                <w:b/>
                <w:lang w:eastAsia="cs-CZ"/>
              </w:rPr>
              <w:t xml:space="preserve"> a vládních institucí</w:t>
            </w:r>
          </w:p>
        </w:tc>
      </w:tr>
      <w:tr w:rsidR="0043430B" w:rsidRPr="001B70EE" w:rsidTr="00D157D5">
        <w:trPr>
          <w:trHeight w:val="2849"/>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800FEE" w:rsidRDefault="0043430B"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9D1647" w:rsidRDefault="00595094" w:rsidP="009D1647">
            <w:pPr>
              <w:spacing w:after="0" w:line="240" w:lineRule="auto"/>
              <w:jc w:val="both"/>
              <w:rPr>
                <w:rFonts w:eastAsia="Times New Roman" w:cs="Arial"/>
                <w:lang w:eastAsia="cs-CZ"/>
              </w:rPr>
            </w:pPr>
            <w:r>
              <w:rPr>
                <w:rFonts w:eastAsia="Times New Roman" w:cs="Arial"/>
                <w:lang w:eastAsia="cs-CZ"/>
              </w:rPr>
              <w:t>Jedná se o přijaté</w:t>
            </w:r>
            <w:r w:rsidR="0043430B" w:rsidRPr="00800FEE">
              <w:rPr>
                <w:rFonts w:eastAsia="Times New Roman" w:cs="Arial"/>
                <w:lang w:eastAsia="cs-CZ"/>
              </w:rPr>
              <w:t xml:space="preserve"> platby</w:t>
            </w:r>
            <w:r w:rsidR="006F7A35">
              <w:rPr>
                <w:rFonts w:eastAsia="Times New Roman" w:cs="Arial"/>
                <w:lang w:eastAsia="cs-CZ"/>
              </w:rPr>
              <w:t>, za které jejich příjemce</w:t>
            </w:r>
            <w:r w:rsidR="009D1647">
              <w:rPr>
                <w:rFonts w:eastAsia="Times New Roman" w:cs="Arial"/>
                <w:lang w:eastAsia="cs-CZ"/>
              </w:rPr>
              <w:t xml:space="preserve"> neposkytuje žádné přímé protiplnění. Poskytovatelem takové platby může být:</w:t>
            </w:r>
          </w:p>
          <w:p w:rsidR="009D1647" w:rsidRPr="00D152A2" w:rsidRDefault="0043430B" w:rsidP="00D152A2">
            <w:pPr>
              <w:pStyle w:val="Odstavecseseznamem"/>
              <w:numPr>
                <w:ilvl w:val="0"/>
                <w:numId w:val="2"/>
              </w:numPr>
              <w:spacing w:after="0" w:line="240" w:lineRule="auto"/>
              <w:jc w:val="both"/>
              <w:rPr>
                <w:rFonts w:eastAsia="Times New Roman" w:cs="Arial"/>
                <w:lang w:eastAsia="cs-CZ"/>
              </w:rPr>
            </w:pPr>
            <w:r w:rsidRPr="00D152A2">
              <w:rPr>
                <w:rFonts w:eastAsia="Times New Roman" w:cs="Arial"/>
                <w:lang w:eastAsia="cs-CZ"/>
              </w:rPr>
              <w:t>zahraniční vlád</w:t>
            </w:r>
            <w:r w:rsidR="009D1647" w:rsidRPr="00D152A2">
              <w:rPr>
                <w:rFonts w:eastAsia="Times New Roman" w:cs="Arial"/>
                <w:lang w:eastAsia="cs-CZ"/>
              </w:rPr>
              <w:t>a</w:t>
            </w:r>
            <w:r w:rsidRPr="00D152A2">
              <w:rPr>
                <w:rFonts w:eastAsia="Times New Roman" w:cs="Arial"/>
                <w:lang w:eastAsia="cs-CZ"/>
              </w:rPr>
              <w:t>,</w:t>
            </w:r>
          </w:p>
          <w:p w:rsidR="009D1647" w:rsidRPr="00D152A2" w:rsidRDefault="0043430B" w:rsidP="00D152A2">
            <w:pPr>
              <w:pStyle w:val="Odstavecseseznamem"/>
              <w:numPr>
                <w:ilvl w:val="0"/>
                <w:numId w:val="2"/>
              </w:numPr>
              <w:spacing w:after="0" w:line="240" w:lineRule="auto"/>
              <w:jc w:val="both"/>
              <w:rPr>
                <w:rFonts w:eastAsia="Times New Roman" w:cs="Arial"/>
                <w:lang w:eastAsia="cs-CZ"/>
              </w:rPr>
            </w:pPr>
            <w:r w:rsidRPr="00D152A2">
              <w:rPr>
                <w:rFonts w:eastAsia="Times New Roman" w:cs="Arial"/>
                <w:lang w:eastAsia="cs-CZ"/>
              </w:rPr>
              <w:t>mezinárodní organizac</w:t>
            </w:r>
            <w:r w:rsidR="009D1647" w:rsidRPr="00D152A2">
              <w:rPr>
                <w:rFonts w:eastAsia="Times New Roman" w:cs="Arial"/>
                <w:lang w:eastAsia="cs-CZ"/>
              </w:rPr>
              <w:t>e</w:t>
            </w:r>
            <w:r w:rsidRPr="00D152A2">
              <w:rPr>
                <w:rFonts w:eastAsia="Times New Roman" w:cs="Arial"/>
                <w:lang w:eastAsia="cs-CZ"/>
              </w:rPr>
              <w:t xml:space="preserve"> (např. Evropská unie, Mezinárodní měnový fond)</w:t>
            </w:r>
            <w:r w:rsidR="009D1647" w:rsidRPr="00D152A2">
              <w:rPr>
                <w:rFonts w:eastAsia="Times New Roman" w:cs="Arial"/>
                <w:lang w:eastAsia="cs-CZ"/>
              </w:rPr>
              <w:t>,</w:t>
            </w:r>
          </w:p>
          <w:p w:rsidR="009D1647" w:rsidRPr="00D152A2" w:rsidRDefault="009D1647" w:rsidP="00D152A2">
            <w:pPr>
              <w:pStyle w:val="Odstavecseseznamem"/>
              <w:numPr>
                <w:ilvl w:val="0"/>
                <w:numId w:val="2"/>
              </w:numPr>
              <w:spacing w:after="0" w:line="240" w:lineRule="auto"/>
              <w:jc w:val="both"/>
              <w:rPr>
                <w:rFonts w:eastAsia="Times New Roman" w:cs="Arial"/>
                <w:lang w:eastAsia="cs-CZ"/>
              </w:rPr>
            </w:pPr>
            <w:r w:rsidRPr="00D152A2">
              <w:rPr>
                <w:rFonts w:eastAsia="Times New Roman" w:cs="Arial"/>
                <w:lang w:eastAsia="cs-CZ"/>
              </w:rPr>
              <w:t xml:space="preserve">ústřední </w:t>
            </w:r>
            <w:r w:rsidR="0043430B" w:rsidRPr="00D152A2">
              <w:rPr>
                <w:rFonts w:eastAsia="Times New Roman" w:cs="Arial"/>
                <w:lang w:eastAsia="cs-CZ"/>
              </w:rPr>
              <w:t>vládní instituc</w:t>
            </w:r>
            <w:r w:rsidRPr="00D152A2">
              <w:rPr>
                <w:rFonts w:eastAsia="Times New Roman" w:cs="Arial"/>
                <w:lang w:eastAsia="cs-CZ"/>
              </w:rPr>
              <w:t>e</w:t>
            </w:r>
            <w:r w:rsidR="0043430B" w:rsidRPr="00D152A2">
              <w:rPr>
                <w:rFonts w:eastAsia="Times New Roman" w:cs="Arial"/>
                <w:lang w:eastAsia="cs-CZ"/>
              </w:rPr>
              <w:t xml:space="preserve"> (jednotk</w:t>
            </w:r>
            <w:r w:rsidR="00D92B9B">
              <w:rPr>
                <w:rFonts w:eastAsia="Times New Roman" w:cs="Arial"/>
                <w:lang w:eastAsia="cs-CZ"/>
              </w:rPr>
              <w:t>a</w:t>
            </w:r>
            <w:r w:rsidR="0043430B" w:rsidRPr="00D152A2">
              <w:rPr>
                <w:rFonts w:eastAsia="Times New Roman" w:cs="Arial"/>
                <w:lang w:eastAsia="cs-CZ"/>
              </w:rPr>
              <w:t xml:space="preserve"> zařazen</w:t>
            </w:r>
            <w:r w:rsidR="00D92B9B">
              <w:rPr>
                <w:rFonts w:eastAsia="Times New Roman" w:cs="Arial"/>
                <w:lang w:eastAsia="cs-CZ"/>
              </w:rPr>
              <w:t>á</w:t>
            </w:r>
            <w:r w:rsidR="0043430B" w:rsidRPr="00D152A2">
              <w:rPr>
                <w:rFonts w:eastAsia="Times New Roman" w:cs="Arial"/>
                <w:lang w:eastAsia="cs-CZ"/>
              </w:rPr>
              <w:t xml:space="preserve"> v RES do institucionální</w:t>
            </w:r>
            <w:r w:rsidR="005A0903">
              <w:rPr>
                <w:rFonts w:eastAsia="Times New Roman" w:cs="Arial"/>
                <w:lang w:eastAsia="cs-CZ"/>
              </w:rPr>
              <w:t>ho</w:t>
            </w:r>
            <w:r w:rsidR="0043430B" w:rsidRPr="00D152A2">
              <w:rPr>
                <w:rFonts w:eastAsia="Times New Roman" w:cs="Arial"/>
                <w:lang w:eastAsia="cs-CZ"/>
              </w:rPr>
              <w:t xml:space="preserve"> sektor</w:t>
            </w:r>
            <w:r w:rsidR="005A0903">
              <w:rPr>
                <w:rFonts w:eastAsia="Times New Roman" w:cs="Arial"/>
                <w:lang w:eastAsia="cs-CZ"/>
              </w:rPr>
              <w:t>u</w:t>
            </w:r>
            <w:r w:rsidR="0043430B" w:rsidRPr="00D152A2">
              <w:rPr>
                <w:rFonts w:eastAsia="Times New Roman" w:cs="Arial"/>
                <w:lang w:eastAsia="cs-CZ"/>
              </w:rPr>
              <w:t xml:space="preserve"> 13110)</w:t>
            </w:r>
            <w:r w:rsidR="00E15368">
              <w:rPr>
                <w:rFonts w:eastAsia="Times New Roman" w:cs="Arial"/>
                <w:lang w:eastAsia="cs-CZ"/>
              </w:rPr>
              <w:t>,</w:t>
            </w:r>
          </w:p>
          <w:p w:rsidR="001211EA" w:rsidRDefault="001211EA" w:rsidP="00D152A2">
            <w:pPr>
              <w:pStyle w:val="Odstavecseseznamem"/>
              <w:numPr>
                <w:ilvl w:val="0"/>
                <w:numId w:val="2"/>
              </w:numPr>
              <w:spacing w:after="0" w:line="240" w:lineRule="auto"/>
              <w:jc w:val="both"/>
              <w:rPr>
                <w:rFonts w:eastAsia="Times New Roman" w:cs="Arial"/>
                <w:lang w:eastAsia="cs-CZ"/>
              </w:rPr>
            </w:pPr>
            <w:r>
              <w:rPr>
                <w:rFonts w:eastAsia="Times New Roman" w:cs="Arial"/>
                <w:lang w:eastAsia="cs-CZ"/>
              </w:rPr>
              <w:t>místní vládní</w:t>
            </w:r>
            <w:r w:rsidR="009D1647" w:rsidRPr="00D152A2">
              <w:rPr>
                <w:rFonts w:eastAsia="Times New Roman" w:cs="Arial"/>
                <w:lang w:eastAsia="cs-CZ"/>
              </w:rPr>
              <w:t xml:space="preserve"> instituce</w:t>
            </w:r>
            <w:r>
              <w:rPr>
                <w:rFonts w:eastAsia="Times New Roman" w:cs="Arial"/>
                <w:lang w:eastAsia="cs-CZ"/>
              </w:rPr>
              <w:t xml:space="preserve"> </w:t>
            </w:r>
            <w:r w:rsidR="005A0903" w:rsidRPr="00987E5B">
              <w:rPr>
                <w:rFonts w:eastAsia="Times New Roman" w:cs="Arial"/>
                <w:lang w:eastAsia="cs-CZ"/>
              </w:rPr>
              <w:t>(</w:t>
            </w:r>
            <w:r w:rsidR="00D92B9B">
              <w:rPr>
                <w:rFonts w:eastAsia="Times New Roman" w:cs="Arial"/>
                <w:lang w:eastAsia="cs-CZ"/>
              </w:rPr>
              <w:t>jednotka zařazená</w:t>
            </w:r>
            <w:r w:rsidR="005A0903" w:rsidRPr="00987E5B">
              <w:rPr>
                <w:rFonts w:eastAsia="Times New Roman" w:cs="Arial"/>
                <w:lang w:eastAsia="cs-CZ"/>
              </w:rPr>
              <w:t xml:space="preserve"> v RES do institucionální</w:t>
            </w:r>
            <w:r w:rsidR="00D92B9B">
              <w:rPr>
                <w:rFonts w:eastAsia="Times New Roman" w:cs="Arial"/>
                <w:lang w:eastAsia="cs-CZ"/>
              </w:rPr>
              <w:t>ho</w:t>
            </w:r>
            <w:r w:rsidR="005A0903" w:rsidRPr="00987E5B">
              <w:rPr>
                <w:rFonts w:eastAsia="Times New Roman" w:cs="Arial"/>
                <w:lang w:eastAsia="cs-CZ"/>
              </w:rPr>
              <w:t xml:space="preserve"> sektor</w:t>
            </w:r>
            <w:r w:rsidR="00D92B9B">
              <w:rPr>
                <w:rFonts w:eastAsia="Times New Roman" w:cs="Arial"/>
                <w:lang w:eastAsia="cs-CZ"/>
              </w:rPr>
              <w:t>u</w:t>
            </w:r>
            <w:r w:rsidR="005A0903">
              <w:rPr>
                <w:rFonts w:eastAsia="Times New Roman" w:cs="Arial"/>
                <w:lang w:eastAsia="cs-CZ"/>
              </w:rPr>
              <w:t xml:space="preserve"> 1313</w:t>
            </w:r>
            <w:r w:rsidR="005A0903" w:rsidRPr="00987E5B">
              <w:rPr>
                <w:rFonts w:eastAsia="Times New Roman" w:cs="Arial"/>
                <w:lang w:eastAsia="cs-CZ"/>
              </w:rPr>
              <w:t>0)</w:t>
            </w:r>
            <w:r>
              <w:rPr>
                <w:rFonts w:eastAsia="Times New Roman" w:cs="Arial"/>
                <w:lang w:eastAsia="cs-CZ"/>
              </w:rPr>
              <w:t>,</w:t>
            </w:r>
          </w:p>
          <w:p w:rsidR="009D1647" w:rsidRPr="00D152A2" w:rsidRDefault="001211EA" w:rsidP="00D152A2">
            <w:pPr>
              <w:pStyle w:val="Odstavecseseznamem"/>
              <w:numPr>
                <w:ilvl w:val="0"/>
                <w:numId w:val="2"/>
              </w:numPr>
              <w:spacing w:after="0" w:line="240" w:lineRule="auto"/>
              <w:jc w:val="both"/>
              <w:rPr>
                <w:rFonts w:eastAsia="Times New Roman" w:cs="Arial"/>
                <w:lang w:eastAsia="cs-CZ"/>
              </w:rPr>
            </w:pPr>
            <w:r>
              <w:rPr>
                <w:rFonts w:eastAsia="Times New Roman" w:cs="Arial"/>
                <w:lang w:eastAsia="cs-CZ"/>
              </w:rPr>
              <w:t>zdravotní pojišťovna (jednotka zařazená v RES do institucionálního sektoru 13140)</w:t>
            </w:r>
            <w:r w:rsidR="0043430B" w:rsidRPr="00D152A2">
              <w:rPr>
                <w:rFonts w:eastAsia="Times New Roman" w:cs="Arial"/>
                <w:lang w:eastAsia="cs-CZ"/>
              </w:rPr>
              <w:t>.</w:t>
            </w:r>
          </w:p>
          <w:p w:rsidR="0043430B" w:rsidRDefault="0043430B" w:rsidP="009D1647">
            <w:pPr>
              <w:spacing w:after="0" w:line="240" w:lineRule="auto"/>
              <w:jc w:val="both"/>
              <w:rPr>
                <w:rFonts w:eastAsia="Times New Roman" w:cs="Arial"/>
                <w:lang w:eastAsia="cs-CZ"/>
              </w:rPr>
            </w:pPr>
            <w:r w:rsidRPr="00800FEE">
              <w:rPr>
                <w:rFonts w:eastAsia="Times New Roman" w:cs="Arial"/>
                <w:lang w:eastAsia="cs-CZ"/>
              </w:rPr>
              <w:t xml:space="preserve">Přijaté </w:t>
            </w:r>
            <w:r w:rsidR="00CF33B8">
              <w:rPr>
                <w:rFonts w:eastAsia="Times New Roman" w:cs="Arial"/>
                <w:lang w:eastAsia="cs-CZ"/>
              </w:rPr>
              <w:t>transfery</w:t>
            </w:r>
            <w:r w:rsidRPr="00800FEE">
              <w:rPr>
                <w:rFonts w:eastAsia="Times New Roman" w:cs="Arial"/>
                <w:lang w:eastAsia="cs-CZ"/>
              </w:rPr>
              <w:t xml:space="preserve"> rozdělené podle poskytovatele se dále člení na běžné</w:t>
            </w:r>
            <w:r w:rsidR="003B36A9">
              <w:rPr>
                <w:rFonts w:eastAsia="Times New Roman" w:cs="Arial"/>
                <w:lang w:eastAsia="cs-CZ"/>
              </w:rPr>
              <w:t xml:space="preserve"> (A.1.III.1., A.1.III.3., A.1.III.5.</w:t>
            </w:r>
            <w:r w:rsidR="005A0903">
              <w:rPr>
                <w:rFonts w:eastAsia="Times New Roman" w:cs="Arial"/>
                <w:lang w:eastAsia="cs-CZ"/>
              </w:rPr>
              <w:t>, A.1.III.7.</w:t>
            </w:r>
            <w:r w:rsidR="001211EA">
              <w:rPr>
                <w:rFonts w:eastAsia="Times New Roman" w:cs="Arial"/>
                <w:lang w:eastAsia="cs-CZ"/>
              </w:rPr>
              <w:t>, A.1.III.9.</w:t>
            </w:r>
            <w:r w:rsidR="003B36A9">
              <w:rPr>
                <w:rFonts w:eastAsia="Times New Roman" w:cs="Arial"/>
                <w:lang w:eastAsia="cs-CZ"/>
              </w:rPr>
              <w:t>)</w:t>
            </w:r>
            <w:r w:rsidRPr="00800FEE">
              <w:rPr>
                <w:rFonts w:eastAsia="Times New Roman" w:cs="Arial"/>
                <w:lang w:eastAsia="cs-CZ"/>
              </w:rPr>
              <w:t xml:space="preserve"> a kapitálové</w:t>
            </w:r>
            <w:r w:rsidR="003B36A9">
              <w:rPr>
                <w:rFonts w:eastAsia="Times New Roman" w:cs="Arial"/>
                <w:lang w:eastAsia="cs-CZ"/>
              </w:rPr>
              <w:t xml:space="preserve"> (A.1.III.2., A.1.III.4., A.1.III.6.</w:t>
            </w:r>
            <w:r w:rsidR="005A0903">
              <w:rPr>
                <w:rFonts w:eastAsia="Times New Roman" w:cs="Arial"/>
                <w:lang w:eastAsia="cs-CZ"/>
              </w:rPr>
              <w:t>, A.1.III.8.</w:t>
            </w:r>
            <w:r w:rsidR="001211EA">
              <w:rPr>
                <w:rFonts w:eastAsia="Times New Roman" w:cs="Arial"/>
                <w:lang w:eastAsia="cs-CZ"/>
              </w:rPr>
              <w:t>, A.1.III.10.</w:t>
            </w:r>
            <w:r w:rsidR="003B36A9">
              <w:rPr>
                <w:rFonts w:eastAsia="Times New Roman" w:cs="Arial"/>
                <w:lang w:eastAsia="cs-CZ"/>
              </w:rPr>
              <w:t>)</w:t>
            </w:r>
            <w:r w:rsidRPr="00800FEE">
              <w:rPr>
                <w:rFonts w:eastAsia="Times New Roman" w:cs="Arial"/>
                <w:lang w:eastAsia="cs-CZ"/>
              </w:rPr>
              <w:t>. Příjmy kapitálového charakteru jsou určeny na pořízení dlouhodobého nefinančního majetku. Pokud existují pochybnosti o charakteru příjmu, měl by být klasifikován jako běžný. Platí však zásada, že každý transfer by měl být klasifikován shodně oběma stranami (tj. poskytovatelem i příjemcem).</w:t>
            </w:r>
          </w:p>
          <w:p w:rsidR="00645360" w:rsidRPr="00800FEE" w:rsidRDefault="00645360" w:rsidP="009D1647">
            <w:pPr>
              <w:spacing w:after="0" w:line="240" w:lineRule="auto"/>
              <w:jc w:val="both"/>
              <w:rPr>
                <w:rFonts w:eastAsia="Times New Roman" w:cs="Arial"/>
                <w:lang w:eastAsia="cs-CZ"/>
              </w:rPr>
            </w:pPr>
            <w:r>
              <w:rPr>
                <w:rFonts w:eastAsia="Times New Roman" w:cs="Arial"/>
                <w:lang w:eastAsia="cs-CZ"/>
              </w:rPr>
              <w:t>Příjmy zdravotnických zařízení (nemocnic)</w:t>
            </w:r>
            <w:r w:rsidR="000271E9">
              <w:rPr>
                <w:rFonts w:eastAsia="Times New Roman" w:cs="Arial"/>
                <w:lang w:eastAsia="cs-CZ"/>
              </w:rPr>
              <w:t>, která</w:t>
            </w:r>
            <w:r>
              <w:rPr>
                <w:rFonts w:eastAsia="Times New Roman" w:cs="Arial"/>
                <w:lang w:eastAsia="cs-CZ"/>
              </w:rPr>
              <w:t xml:space="preserve"> </w:t>
            </w:r>
            <w:r w:rsidR="00C02235">
              <w:rPr>
                <w:rFonts w:eastAsia="Times New Roman" w:cs="Arial"/>
                <w:lang w:eastAsia="cs-CZ"/>
              </w:rPr>
              <w:t>tvoří součást sektoru vládních institucí,</w:t>
            </w:r>
            <w:r>
              <w:rPr>
                <w:rFonts w:eastAsia="Times New Roman" w:cs="Arial"/>
                <w:lang w:eastAsia="cs-CZ"/>
              </w:rPr>
              <w:t xml:space="preserve"> od zdravotních pojišťoven za poskytnutou zdravotní péči obyvatelstvu</w:t>
            </w:r>
            <w:r w:rsidR="000271E9">
              <w:rPr>
                <w:rFonts w:eastAsia="Times New Roman" w:cs="Arial"/>
                <w:lang w:eastAsia="cs-CZ"/>
              </w:rPr>
              <w:t xml:space="preserve"> jsou klasifikovány jako přijaté transfery</w:t>
            </w:r>
            <w:r w:rsidR="009E12BD">
              <w:rPr>
                <w:rFonts w:eastAsia="Times New Roman" w:cs="Arial"/>
                <w:lang w:eastAsia="cs-CZ"/>
              </w:rPr>
              <w:t xml:space="preserve"> na položce A.1.III.9</w:t>
            </w:r>
            <w:r w:rsidR="00F21EAF">
              <w:rPr>
                <w:rFonts w:eastAsia="Times New Roman" w:cs="Arial"/>
                <w:lang w:eastAsia="cs-CZ"/>
              </w:rPr>
              <w:t>.</w:t>
            </w:r>
            <w:r w:rsidR="000271E9">
              <w:rPr>
                <w:rFonts w:eastAsia="Times New Roman" w:cs="Arial"/>
                <w:lang w:eastAsia="cs-CZ"/>
              </w:rPr>
              <w:t>, nikoli jako příjmy z prodeje zboží a služeb.</w:t>
            </w:r>
            <w:r w:rsidR="00C02235">
              <w:rPr>
                <w:rFonts w:eastAsia="Times New Roman" w:cs="Arial"/>
                <w:lang w:eastAsia="cs-CZ"/>
              </w:rPr>
              <w:t xml:space="preserve"> </w:t>
            </w:r>
            <w:r>
              <w:rPr>
                <w:rFonts w:eastAsia="Times New Roman" w:cs="Arial"/>
                <w:lang w:eastAsia="cs-CZ"/>
              </w:rPr>
              <w:t xml:space="preserve"> </w:t>
            </w:r>
          </w:p>
        </w:tc>
      </w:tr>
      <w:tr w:rsidR="00C47548"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C47548" w:rsidRPr="00800FEE" w:rsidRDefault="00013D13" w:rsidP="002B79EF">
            <w:pPr>
              <w:spacing w:after="0" w:line="240" w:lineRule="auto"/>
              <w:rPr>
                <w:rFonts w:eastAsia="Times New Roman" w:cs="Arial"/>
                <w:b/>
                <w:bCs/>
                <w:lang w:eastAsia="cs-CZ"/>
              </w:rPr>
            </w:pPr>
            <w:r>
              <w:rPr>
                <w:rFonts w:eastAsia="Times New Roman" w:cs="Arial"/>
                <w:b/>
                <w:bCs/>
                <w:lang w:eastAsia="cs-CZ"/>
              </w:rPr>
              <w:lastRenderedPageBreak/>
              <w:t>A.1</w:t>
            </w:r>
            <w:r w:rsidR="00C47548">
              <w:rPr>
                <w:rFonts w:eastAsia="Times New Roman" w:cs="Arial"/>
                <w:b/>
                <w:bCs/>
                <w:lang w:eastAsia="cs-CZ"/>
              </w:rPr>
              <w:t>.IV.</w:t>
            </w:r>
          </w:p>
        </w:tc>
        <w:tc>
          <w:tcPr>
            <w:tcW w:w="12958" w:type="dxa"/>
            <w:tcBorders>
              <w:top w:val="single" w:sz="4" w:space="0" w:color="auto"/>
              <w:left w:val="nil"/>
              <w:right w:val="single" w:sz="4" w:space="0" w:color="auto"/>
            </w:tcBorders>
            <w:shd w:val="clear" w:color="auto" w:fill="auto"/>
            <w:vAlign w:val="center"/>
          </w:tcPr>
          <w:p w:rsidR="00C47548" w:rsidRPr="00800FEE" w:rsidRDefault="00C47548" w:rsidP="001203D0">
            <w:pPr>
              <w:spacing w:after="0" w:line="240" w:lineRule="auto"/>
              <w:jc w:val="both"/>
              <w:rPr>
                <w:rFonts w:eastAsia="Times New Roman" w:cs="Arial"/>
                <w:b/>
                <w:lang w:eastAsia="cs-CZ"/>
              </w:rPr>
            </w:pPr>
            <w:r>
              <w:rPr>
                <w:rFonts w:eastAsia="Times New Roman" w:cs="Arial"/>
                <w:b/>
                <w:lang w:eastAsia="cs-CZ"/>
              </w:rPr>
              <w:t>Příjmy z</w:t>
            </w:r>
            <w:r w:rsidR="00AD63C4">
              <w:rPr>
                <w:rFonts w:eastAsia="Times New Roman" w:cs="Arial"/>
                <w:b/>
                <w:lang w:eastAsia="cs-CZ"/>
              </w:rPr>
              <w:t> </w:t>
            </w:r>
            <w:r>
              <w:rPr>
                <w:rFonts w:eastAsia="Times New Roman" w:cs="Arial"/>
                <w:b/>
                <w:lang w:eastAsia="cs-CZ"/>
              </w:rPr>
              <w:t>úroků</w:t>
            </w:r>
          </w:p>
        </w:tc>
      </w:tr>
      <w:tr w:rsidR="00C47548" w:rsidRPr="001B70EE" w:rsidTr="00A71CE6">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548" w:rsidRPr="00800FEE" w:rsidRDefault="00C47548" w:rsidP="002B79EF">
            <w:pPr>
              <w:spacing w:after="0" w:line="240" w:lineRule="auto"/>
              <w:rPr>
                <w:rFonts w:eastAsia="Times New Roman" w:cs="Arial"/>
                <w:b/>
                <w:bCs/>
                <w:lang w:eastAsia="cs-CZ"/>
              </w:rPr>
            </w:pPr>
          </w:p>
        </w:tc>
        <w:tc>
          <w:tcPr>
            <w:tcW w:w="12958" w:type="dxa"/>
            <w:tcBorders>
              <w:top w:val="single" w:sz="4" w:space="0" w:color="auto"/>
              <w:left w:val="nil"/>
              <w:bottom w:val="single" w:sz="4" w:space="0" w:color="auto"/>
              <w:right w:val="single" w:sz="4" w:space="0" w:color="auto"/>
            </w:tcBorders>
            <w:shd w:val="clear" w:color="auto" w:fill="auto"/>
            <w:vAlign w:val="center"/>
          </w:tcPr>
          <w:p w:rsidR="00C47548" w:rsidRDefault="00C47548" w:rsidP="00C47548">
            <w:pPr>
              <w:spacing w:after="0" w:line="240" w:lineRule="auto"/>
              <w:jc w:val="both"/>
              <w:rPr>
                <w:rFonts w:eastAsia="Times New Roman" w:cs="Arial"/>
                <w:lang w:eastAsia="cs-CZ"/>
              </w:rPr>
            </w:pPr>
            <w:r w:rsidRPr="00800FEE">
              <w:rPr>
                <w:rFonts w:eastAsia="Times New Roman" w:cs="Arial"/>
                <w:lang w:eastAsia="cs-CZ"/>
              </w:rPr>
              <w:t>Jedná se o důchod z vlastni</w:t>
            </w:r>
            <w:r>
              <w:rPr>
                <w:rFonts w:eastAsia="Times New Roman" w:cs="Arial"/>
                <w:lang w:eastAsia="cs-CZ"/>
              </w:rPr>
              <w:t xml:space="preserve">ctví přijatý vládní institucí generovaný </w:t>
            </w:r>
            <w:r w:rsidRPr="00800FEE">
              <w:rPr>
                <w:rFonts w:eastAsia="Times New Roman" w:cs="Arial"/>
                <w:lang w:eastAsia="cs-CZ"/>
              </w:rPr>
              <w:t>finanční</w:t>
            </w:r>
            <w:r>
              <w:rPr>
                <w:rFonts w:eastAsia="Times New Roman" w:cs="Arial"/>
                <w:lang w:eastAsia="cs-CZ"/>
              </w:rPr>
              <w:t>m</w:t>
            </w:r>
            <w:r w:rsidRPr="00800FEE">
              <w:rPr>
                <w:rFonts w:eastAsia="Times New Roman" w:cs="Arial"/>
                <w:lang w:eastAsia="cs-CZ"/>
              </w:rPr>
              <w:t xml:space="preserve"> </w:t>
            </w:r>
            <w:r>
              <w:rPr>
                <w:rFonts w:eastAsia="Times New Roman" w:cs="Arial"/>
                <w:lang w:eastAsia="cs-CZ"/>
              </w:rPr>
              <w:t>majetkem</w:t>
            </w:r>
            <w:r w:rsidRPr="00800FEE">
              <w:rPr>
                <w:rFonts w:eastAsia="Times New Roman" w:cs="Arial"/>
                <w:lang w:eastAsia="cs-CZ"/>
              </w:rPr>
              <w:t>, zejména vklady,</w:t>
            </w:r>
            <w:r>
              <w:rPr>
                <w:rFonts w:eastAsia="Times New Roman" w:cs="Arial"/>
                <w:lang w:eastAsia="cs-CZ"/>
              </w:rPr>
              <w:t xml:space="preserve"> dluhovými cennými papíry</w:t>
            </w:r>
            <w:r w:rsidRPr="00800FEE">
              <w:rPr>
                <w:rFonts w:eastAsia="Times New Roman" w:cs="Arial"/>
                <w:lang w:eastAsia="cs-CZ"/>
              </w:rPr>
              <w:t>, úvěry a </w:t>
            </w:r>
            <w:r>
              <w:rPr>
                <w:rFonts w:eastAsia="Times New Roman" w:cs="Arial"/>
                <w:lang w:eastAsia="cs-CZ"/>
              </w:rPr>
              <w:t>půjčkami</w:t>
            </w:r>
            <w:r w:rsidRPr="00800FEE">
              <w:rPr>
                <w:rFonts w:eastAsia="Times New Roman" w:cs="Arial"/>
                <w:lang w:eastAsia="cs-CZ"/>
              </w:rPr>
              <w:t>. Tyto finanční nástroje vznikají v situaci, kdy vládní instituce půjčují prostředky jiným jednotkám</w:t>
            </w:r>
            <w:r>
              <w:rPr>
                <w:rFonts w:eastAsia="Times New Roman" w:cs="Arial"/>
                <w:lang w:eastAsia="cs-CZ"/>
              </w:rPr>
              <w:t xml:space="preserve"> a úrok je v takovém případě odměnou věřitele</w:t>
            </w:r>
            <w:r w:rsidRPr="00800FEE">
              <w:rPr>
                <w:rFonts w:eastAsia="Times New Roman" w:cs="Arial"/>
                <w:lang w:eastAsia="cs-CZ"/>
              </w:rPr>
              <w:t>.</w:t>
            </w:r>
          </w:p>
          <w:p w:rsidR="00C47548" w:rsidRDefault="00C47548" w:rsidP="00C47548">
            <w:pPr>
              <w:spacing w:after="0" w:line="240" w:lineRule="auto"/>
              <w:jc w:val="both"/>
              <w:rPr>
                <w:rFonts w:eastAsia="Times New Roman" w:cs="Arial"/>
                <w:color w:val="000000"/>
                <w:lang w:eastAsia="cs-CZ"/>
              </w:rPr>
            </w:pPr>
            <w:r>
              <w:rPr>
                <w:rFonts w:eastAsia="Times New Roman" w:cs="Arial"/>
                <w:color w:val="000000"/>
                <w:lang w:eastAsia="cs-CZ"/>
              </w:rPr>
              <w:t xml:space="preserve">V případě pořízení dluhopisu s diskontem (emisní kurz je nižší než nominální hodnota) je tento diskont zaznamenán jako </w:t>
            </w:r>
            <w:r w:rsidR="002846BC">
              <w:rPr>
                <w:rFonts w:eastAsia="Times New Roman" w:cs="Arial"/>
                <w:color w:val="000000"/>
                <w:lang w:eastAsia="cs-CZ"/>
              </w:rPr>
              <w:t xml:space="preserve">příjmový </w:t>
            </w:r>
            <w:r>
              <w:rPr>
                <w:rFonts w:eastAsia="Times New Roman" w:cs="Arial"/>
                <w:color w:val="000000"/>
                <w:lang w:eastAsia="cs-CZ"/>
              </w:rPr>
              <w:t xml:space="preserve">úrok při splatnosti dluhopisu. Naopak, pokud je emisní kurz vyšší než nominální hodnota dluhopisu, platí věřitel prémii ve výši rozdílu těchto dvou hodnot. Tu zachytí již v okamžiku nákupu takového cenného papíru jako záporný příjmový úrok. Jako úrokový příjem je klasifikován </w:t>
            </w:r>
            <w:r w:rsidR="00D860FF">
              <w:rPr>
                <w:rFonts w:eastAsia="Times New Roman" w:cs="Arial"/>
                <w:color w:val="000000"/>
                <w:lang w:eastAsia="cs-CZ"/>
              </w:rPr>
              <w:t>také příjem</w:t>
            </w:r>
            <w:r>
              <w:rPr>
                <w:rFonts w:eastAsia="Times New Roman" w:cs="Arial"/>
                <w:color w:val="000000"/>
                <w:lang w:eastAsia="cs-CZ"/>
              </w:rPr>
              <w:t xml:space="preserve"> z dluhopisů ve formě inkasovaných kuponových plateb.</w:t>
            </w:r>
          </w:p>
          <w:p w:rsidR="00C47548" w:rsidRDefault="00C47548" w:rsidP="00C47548">
            <w:pPr>
              <w:spacing w:after="0" w:line="240" w:lineRule="auto"/>
              <w:jc w:val="both"/>
              <w:rPr>
                <w:rFonts w:eastAsia="Times New Roman" w:cs="Arial"/>
                <w:lang w:eastAsia="cs-CZ"/>
              </w:rPr>
            </w:pPr>
            <w:r>
              <w:rPr>
                <w:rFonts w:eastAsia="Times New Roman" w:cs="Arial"/>
                <w:color w:val="000000"/>
                <w:lang w:eastAsia="cs-CZ"/>
              </w:rPr>
              <w:t>Vzhledem k tomu, že platba za finanční aktivum koupené na základě smlouvy o zpětném prodeji (reverzní repo operace) je považována za poskytnutý úvěr, inkasované úrokové platby z dané operace patří na tuto položku.</w:t>
            </w:r>
          </w:p>
          <w:p w:rsidR="00C47548" w:rsidRDefault="00C47548" w:rsidP="00C47548">
            <w:pPr>
              <w:spacing w:after="0" w:line="240" w:lineRule="auto"/>
              <w:jc w:val="both"/>
              <w:rPr>
                <w:rFonts w:eastAsia="Times New Roman" w:cs="Arial"/>
                <w:lang w:eastAsia="cs-CZ"/>
              </w:rPr>
            </w:pPr>
            <w:r>
              <w:rPr>
                <w:rFonts w:eastAsia="Times New Roman" w:cs="Arial"/>
                <w:lang w:eastAsia="cs-CZ"/>
              </w:rPr>
              <w:t>Na této položce jsou dále zaznamenávány úrokové příjmy z finančních derivátů.</w:t>
            </w:r>
          </w:p>
          <w:p w:rsidR="002D1144" w:rsidRPr="00D152A2" w:rsidRDefault="00216876" w:rsidP="00C47548">
            <w:pPr>
              <w:spacing w:after="0" w:line="240" w:lineRule="auto"/>
              <w:jc w:val="both"/>
              <w:rPr>
                <w:rFonts w:eastAsia="Times New Roman" w:cs="Arial"/>
                <w:lang w:eastAsia="cs-CZ"/>
              </w:rPr>
            </w:pPr>
            <w:r w:rsidRPr="00D152A2">
              <w:rPr>
                <w:rFonts w:eastAsia="Times New Roman" w:cs="Arial"/>
                <w:lang w:eastAsia="cs-CZ"/>
              </w:rPr>
              <w:t>Podrobnější členění úroků podle protistrany pro potřeby konsolidace:</w:t>
            </w:r>
          </w:p>
          <w:p w:rsidR="00216876" w:rsidRPr="00D152A2" w:rsidRDefault="00216876" w:rsidP="00D152A2">
            <w:pPr>
              <w:pStyle w:val="Odstavecseseznamem"/>
              <w:numPr>
                <w:ilvl w:val="0"/>
                <w:numId w:val="3"/>
              </w:numPr>
              <w:spacing w:after="0" w:line="240" w:lineRule="auto"/>
              <w:jc w:val="both"/>
              <w:rPr>
                <w:rFonts w:eastAsia="Times New Roman" w:cs="Arial"/>
                <w:b/>
                <w:lang w:eastAsia="cs-CZ"/>
              </w:rPr>
            </w:pPr>
            <w:r w:rsidRPr="001C5DDA">
              <w:rPr>
                <w:rFonts w:eastAsia="Times New Roman" w:cs="Arial"/>
                <w:b/>
                <w:lang w:eastAsia="cs-CZ"/>
              </w:rPr>
              <w:t>A.</w:t>
            </w:r>
            <w:r w:rsidR="003567D2">
              <w:rPr>
                <w:rFonts w:eastAsia="Times New Roman" w:cs="Arial"/>
                <w:b/>
                <w:lang w:eastAsia="cs-CZ"/>
              </w:rPr>
              <w:t>1</w:t>
            </w:r>
            <w:r w:rsidRPr="001C5DDA">
              <w:rPr>
                <w:rFonts w:eastAsia="Times New Roman" w:cs="Arial"/>
                <w:b/>
                <w:lang w:eastAsia="cs-CZ"/>
              </w:rPr>
              <w:t>.IV.</w:t>
            </w:r>
            <w:r w:rsidR="005B28DC" w:rsidRPr="00D152A2">
              <w:rPr>
                <w:rFonts w:eastAsia="Times New Roman" w:cs="Arial"/>
                <w:b/>
                <w:lang w:eastAsia="cs-CZ"/>
              </w:rPr>
              <w:t>1.</w:t>
            </w:r>
            <w:r w:rsidRPr="001C5DDA">
              <w:rPr>
                <w:rFonts w:eastAsia="Times New Roman" w:cs="Arial"/>
                <w:b/>
                <w:lang w:eastAsia="cs-CZ"/>
              </w:rPr>
              <w:t xml:space="preserve"> Úroky od ústředních vládních institucí</w:t>
            </w:r>
            <w:r w:rsidRPr="00D152A2">
              <w:rPr>
                <w:rFonts w:eastAsia="Times New Roman" w:cs="Arial"/>
                <w:lang w:eastAsia="cs-CZ"/>
              </w:rPr>
              <w:t xml:space="preserve"> (</w:t>
            </w:r>
            <w:r w:rsidR="005B28DC" w:rsidRPr="00987E5B">
              <w:rPr>
                <w:rFonts w:eastAsia="Times New Roman" w:cs="Arial"/>
                <w:lang w:eastAsia="cs-CZ"/>
              </w:rPr>
              <w:t>jednotky zařazené v RES do institucionální</w:t>
            </w:r>
            <w:r w:rsidR="005B28DC">
              <w:rPr>
                <w:rFonts w:eastAsia="Times New Roman" w:cs="Arial"/>
                <w:lang w:eastAsia="cs-CZ"/>
              </w:rPr>
              <w:t>ho</w:t>
            </w:r>
            <w:r w:rsidR="005B28DC" w:rsidRPr="00987E5B">
              <w:rPr>
                <w:rFonts w:eastAsia="Times New Roman" w:cs="Arial"/>
                <w:lang w:eastAsia="cs-CZ"/>
              </w:rPr>
              <w:t xml:space="preserve"> sektor</w:t>
            </w:r>
            <w:r w:rsidR="005B28DC">
              <w:rPr>
                <w:rFonts w:eastAsia="Times New Roman" w:cs="Arial"/>
                <w:lang w:eastAsia="cs-CZ"/>
              </w:rPr>
              <w:t>u</w:t>
            </w:r>
            <w:r w:rsidR="005B28DC" w:rsidRPr="00987E5B">
              <w:rPr>
                <w:rFonts w:eastAsia="Times New Roman" w:cs="Arial"/>
                <w:lang w:eastAsia="cs-CZ"/>
              </w:rPr>
              <w:t xml:space="preserve"> 13110</w:t>
            </w:r>
            <w:r w:rsidR="005B28DC">
              <w:rPr>
                <w:rFonts w:eastAsia="Times New Roman" w:cs="Arial"/>
                <w:lang w:eastAsia="cs-CZ"/>
              </w:rPr>
              <w:t>)</w:t>
            </w:r>
          </w:p>
          <w:p w:rsidR="005B28DC" w:rsidRPr="00D152A2" w:rsidRDefault="005B28DC" w:rsidP="00D152A2">
            <w:pPr>
              <w:pStyle w:val="Odstavecseseznamem"/>
              <w:numPr>
                <w:ilvl w:val="0"/>
                <w:numId w:val="3"/>
              </w:numPr>
              <w:spacing w:after="0" w:line="240" w:lineRule="auto"/>
              <w:jc w:val="both"/>
              <w:rPr>
                <w:rFonts w:eastAsia="Times New Roman" w:cs="Arial"/>
                <w:b/>
                <w:lang w:eastAsia="cs-CZ"/>
              </w:rPr>
            </w:pPr>
            <w:r w:rsidRPr="00D152A2">
              <w:rPr>
                <w:rFonts w:eastAsia="Times New Roman" w:cs="Arial"/>
                <w:b/>
                <w:lang w:eastAsia="cs-CZ"/>
              </w:rPr>
              <w:t>A.</w:t>
            </w:r>
            <w:r w:rsidR="003567D2">
              <w:rPr>
                <w:rFonts w:eastAsia="Times New Roman" w:cs="Arial"/>
                <w:b/>
                <w:lang w:eastAsia="cs-CZ"/>
              </w:rPr>
              <w:t>1</w:t>
            </w:r>
            <w:r w:rsidRPr="00D152A2">
              <w:rPr>
                <w:rFonts w:eastAsia="Times New Roman" w:cs="Arial"/>
                <w:b/>
                <w:lang w:eastAsia="cs-CZ"/>
              </w:rPr>
              <w:t>.IV.2. Úroky od vládních institucí jiných než ústředních</w:t>
            </w:r>
            <w:r>
              <w:rPr>
                <w:rFonts w:eastAsia="Times New Roman" w:cs="Arial"/>
                <w:lang w:eastAsia="cs-CZ"/>
              </w:rPr>
              <w:t xml:space="preserve"> (</w:t>
            </w:r>
            <w:r w:rsidRPr="00987E5B">
              <w:rPr>
                <w:rFonts w:eastAsia="Times New Roman" w:cs="Arial"/>
                <w:lang w:eastAsia="cs-CZ"/>
              </w:rPr>
              <w:t>jednotky zařazené v RES do institucionální</w:t>
            </w:r>
            <w:r>
              <w:rPr>
                <w:rFonts w:eastAsia="Times New Roman" w:cs="Arial"/>
                <w:lang w:eastAsia="cs-CZ"/>
              </w:rPr>
              <w:t>ch</w:t>
            </w:r>
            <w:r w:rsidRPr="00987E5B">
              <w:rPr>
                <w:rFonts w:eastAsia="Times New Roman" w:cs="Arial"/>
                <w:lang w:eastAsia="cs-CZ"/>
              </w:rPr>
              <w:t xml:space="preserve"> sektor</w:t>
            </w:r>
            <w:r>
              <w:rPr>
                <w:rFonts w:eastAsia="Times New Roman" w:cs="Arial"/>
                <w:lang w:eastAsia="cs-CZ"/>
              </w:rPr>
              <w:t>ů 1313</w:t>
            </w:r>
            <w:r w:rsidRPr="00987E5B">
              <w:rPr>
                <w:rFonts w:eastAsia="Times New Roman" w:cs="Arial"/>
                <w:lang w:eastAsia="cs-CZ"/>
              </w:rPr>
              <w:t>0</w:t>
            </w:r>
            <w:r>
              <w:rPr>
                <w:rFonts w:eastAsia="Times New Roman" w:cs="Arial"/>
                <w:lang w:eastAsia="cs-CZ"/>
              </w:rPr>
              <w:t xml:space="preserve"> a 13140</w:t>
            </w:r>
            <w:r w:rsidRPr="00987E5B">
              <w:rPr>
                <w:rFonts w:eastAsia="Times New Roman" w:cs="Arial"/>
                <w:lang w:eastAsia="cs-CZ"/>
              </w:rPr>
              <w:t>)</w:t>
            </w:r>
          </w:p>
          <w:p w:rsidR="005B28DC" w:rsidRPr="00D152A2" w:rsidRDefault="005B28DC" w:rsidP="00D152A2">
            <w:pPr>
              <w:pStyle w:val="Odstavecseseznamem"/>
              <w:numPr>
                <w:ilvl w:val="0"/>
                <w:numId w:val="3"/>
              </w:numPr>
              <w:spacing w:after="0" w:line="240" w:lineRule="auto"/>
              <w:jc w:val="both"/>
              <w:rPr>
                <w:rFonts w:eastAsia="Times New Roman" w:cs="Arial"/>
                <w:b/>
                <w:lang w:eastAsia="cs-CZ"/>
              </w:rPr>
            </w:pPr>
            <w:r w:rsidRPr="00D152A2">
              <w:rPr>
                <w:rFonts w:eastAsia="Times New Roman" w:cs="Arial"/>
                <w:b/>
                <w:lang w:eastAsia="cs-CZ"/>
              </w:rPr>
              <w:t>A.</w:t>
            </w:r>
            <w:r w:rsidR="003567D2">
              <w:rPr>
                <w:rFonts w:eastAsia="Times New Roman" w:cs="Arial"/>
                <w:b/>
                <w:lang w:eastAsia="cs-CZ"/>
              </w:rPr>
              <w:t>1</w:t>
            </w:r>
            <w:r w:rsidRPr="00D152A2">
              <w:rPr>
                <w:rFonts w:eastAsia="Times New Roman" w:cs="Arial"/>
                <w:b/>
                <w:lang w:eastAsia="cs-CZ"/>
              </w:rPr>
              <w:t>.IV.3. Úroky od jiných než vládních institucí</w:t>
            </w:r>
            <w:r>
              <w:rPr>
                <w:rFonts w:eastAsia="Times New Roman" w:cs="Arial"/>
                <w:lang w:eastAsia="cs-CZ"/>
              </w:rPr>
              <w:t xml:space="preserve"> (jednotky zařazené v RES do institucionálních sektorů jiných než 13110, 13130 a 13140)</w:t>
            </w:r>
          </w:p>
        </w:tc>
      </w:tr>
      <w:tr w:rsidR="00C47548"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C47548" w:rsidRPr="00800FEE" w:rsidRDefault="00013D13" w:rsidP="002B79EF">
            <w:pPr>
              <w:spacing w:after="0" w:line="240" w:lineRule="auto"/>
              <w:rPr>
                <w:rFonts w:eastAsia="Times New Roman" w:cs="Arial"/>
                <w:b/>
                <w:bCs/>
                <w:lang w:eastAsia="cs-CZ"/>
              </w:rPr>
            </w:pPr>
            <w:r>
              <w:rPr>
                <w:rFonts w:eastAsia="Times New Roman" w:cs="Arial"/>
                <w:b/>
                <w:bCs/>
                <w:lang w:eastAsia="cs-CZ"/>
              </w:rPr>
              <w:t>A.1.V.</w:t>
            </w:r>
          </w:p>
        </w:tc>
        <w:tc>
          <w:tcPr>
            <w:tcW w:w="12958" w:type="dxa"/>
            <w:tcBorders>
              <w:top w:val="single" w:sz="4" w:space="0" w:color="auto"/>
              <w:left w:val="nil"/>
              <w:right w:val="single" w:sz="4" w:space="0" w:color="auto"/>
            </w:tcBorders>
            <w:shd w:val="clear" w:color="auto" w:fill="auto"/>
            <w:vAlign w:val="center"/>
          </w:tcPr>
          <w:p w:rsidR="00C47548" w:rsidRPr="00800FEE" w:rsidRDefault="00013D13" w:rsidP="001203D0">
            <w:pPr>
              <w:spacing w:after="0" w:line="240" w:lineRule="auto"/>
              <w:jc w:val="both"/>
              <w:rPr>
                <w:rFonts w:eastAsia="Times New Roman" w:cs="Arial"/>
                <w:b/>
                <w:lang w:eastAsia="cs-CZ"/>
              </w:rPr>
            </w:pPr>
            <w:r w:rsidRPr="00013D13">
              <w:rPr>
                <w:rFonts w:eastAsia="Times New Roman" w:cs="Arial"/>
                <w:b/>
                <w:lang w:eastAsia="cs-CZ"/>
              </w:rPr>
              <w:t>Příjmy z neživotního pojištění a standardizovaných záručních programů</w:t>
            </w:r>
          </w:p>
        </w:tc>
      </w:tr>
      <w:tr w:rsidR="00013D13" w:rsidRPr="001B70EE" w:rsidTr="00A71CE6">
        <w:trPr>
          <w:trHeight w:val="255"/>
        </w:trPr>
        <w:tc>
          <w:tcPr>
            <w:tcW w:w="1291" w:type="dxa"/>
            <w:tcBorders>
              <w:left w:val="single" w:sz="4" w:space="0" w:color="auto"/>
              <w:bottom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tcPr>
          <w:p w:rsidR="008972F5" w:rsidRPr="009253AB" w:rsidRDefault="00E555A2" w:rsidP="001203D0">
            <w:pPr>
              <w:spacing w:after="0" w:line="240" w:lineRule="auto"/>
              <w:jc w:val="both"/>
              <w:rPr>
                <w:rFonts w:eastAsia="Times New Roman" w:cs="Arial"/>
                <w:lang w:eastAsia="cs-CZ"/>
              </w:rPr>
            </w:pPr>
            <w:r w:rsidRPr="009253AB">
              <w:rPr>
                <w:rFonts w:eastAsia="Times New Roman" w:cs="Arial"/>
                <w:lang w:eastAsia="cs-CZ"/>
              </w:rPr>
              <w:t>V rámci této kategorie jsou zachyceny příjmy z pojistného na neživotní pojištění</w:t>
            </w:r>
            <w:r w:rsidR="008972F5" w:rsidRPr="009253AB">
              <w:rPr>
                <w:rFonts w:eastAsia="Times New Roman" w:cs="Arial"/>
                <w:lang w:eastAsia="cs-CZ"/>
              </w:rPr>
              <w:t>, jejichž příjemcem je vládní instituce v pozici pojišťovny, stejně jako pojistné plnění přijaté vládní jednotkou v roli pojištěného. Dále se zde zaznamenávají poplatky inkasované poskytovatelem standardizovaných záruk.</w:t>
            </w:r>
          </w:p>
        </w:tc>
      </w:tr>
      <w:tr w:rsidR="00013D13"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r>
              <w:rPr>
                <w:rFonts w:eastAsia="Times New Roman" w:cs="Arial"/>
                <w:b/>
                <w:bCs/>
                <w:lang w:eastAsia="cs-CZ"/>
              </w:rPr>
              <w:t>A.1.V.1.</w:t>
            </w:r>
          </w:p>
        </w:tc>
        <w:tc>
          <w:tcPr>
            <w:tcW w:w="12958" w:type="dxa"/>
            <w:tcBorders>
              <w:top w:val="single" w:sz="4" w:space="0" w:color="auto"/>
              <w:left w:val="nil"/>
              <w:right w:val="single" w:sz="4" w:space="0" w:color="auto"/>
            </w:tcBorders>
            <w:shd w:val="clear" w:color="auto" w:fill="auto"/>
            <w:vAlign w:val="center"/>
          </w:tcPr>
          <w:p w:rsidR="00013D13" w:rsidRPr="00800FEE" w:rsidRDefault="00013D13" w:rsidP="001203D0">
            <w:pPr>
              <w:spacing w:after="0" w:line="240" w:lineRule="auto"/>
              <w:jc w:val="both"/>
              <w:rPr>
                <w:rFonts w:eastAsia="Times New Roman" w:cs="Arial"/>
                <w:b/>
                <w:lang w:eastAsia="cs-CZ"/>
              </w:rPr>
            </w:pPr>
            <w:r w:rsidRPr="00013D13">
              <w:rPr>
                <w:rFonts w:eastAsia="Times New Roman" w:cs="Arial"/>
                <w:b/>
                <w:lang w:eastAsia="cs-CZ"/>
              </w:rPr>
              <w:t>Pojistné z neživotního pojištění</w:t>
            </w:r>
          </w:p>
        </w:tc>
      </w:tr>
      <w:tr w:rsidR="00013D13" w:rsidRPr="001B70EE" w:rsidTr="00A71CE6">
        <w:trPr>
          <w:trHeight w:val="255"/>
        </w:trPr>
        <w:tc>
          <w:tcPr>
            <w:tcW w:w="1291" w:type="dxa"/>
            <w:tcBorders>
              <w:left w:val="single" w:sz="4" w:space="0" w:color="auto"/>
              <w:bottom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tcPr>
          <w:p w:rsidR="00013D13" w:rsidRPr="00800FEE" w:rsidRDefault="00751FCF" w:rsidP="001203D0">
            <w:pPr>
              <w:spacing w:after="0" w:line="240" w:lineRule="auto"/>
              <w:jc w:val="both"/>
              <w:rPr>
                <w:rFonts w:eastAsia="Times New Roman" w:cs="Arial"/>
                <w:b/>
                <w:lang w:eastAsia="cs-CZ"/>
              </w:rPr>
            </w:pPr>
            <w:r>
              <w:rPr>
                <w:rFonts w:eastAsia="Times New Roman" w:cs="Arial"/>
                <w:lang w:eastAsia="cs-CZ"/>
              </w:rPr>
              <w:t>Jednotka</w:t>
            </w:r>
            <w:r w:rsidR="00013D13">
              <w:rPr>
                <w:rFonts w:eastAsia="Times New Roman" w:cs="Arial"/>
                <w:lang w:eastAsia="cs-CZ"/>
              </w:rPr>
              <w:t xml:space="preserve"> sektoru vládních institucí v postavení pojišťovny zaznamenává na tuto položku p</w:t>
            </w:r>
            <w:r w:rsidR="00013D13" w:rsidRPr="00800FEE">
              <w:rPr>
                <w:rFonts w:eastAsia="Times New Roman" w:cs="Arial"/>
                <w:lang w:eastAsia="cs-CZ"/>
              </w:rPr>
              <w:t>ojistné na neživotní pojištění přijaté za poskytované pojistné krytí</w:t>
            </w:r>
            <w:r w:rsidR="00013D13">
              <w:rPr>
                <w:rFonts w:eastAsia="Times New Roman" w:cs="Arial"/>
                <w:lang w:eastAsia="cs-CZ"/>
              </w:rPr>
              <w:t>.</w:t>
            </w:r>
          </w:p>
        </w:tc>
      </w:tr>
      <w:tr w:rsidR="00013D13"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r>
              <w:rPr>
                <w:rFonts w:eastAsia="Times New Roman" w:cs="Arial"/>
                <w:b/>
                <w:bCs/>
                <w:lang w:eastAsia="cs-CZ"/>
              </w:rPr>
              <w:t>A.1.V.2.</w:t>
            </w:r>
          </w:p>
        </w:tc>
        <w:tc>
          <w:tcPr>
            <w:tcW w:w="12958" w:type="dxa"/>
            <w:tcBorders>
              <w:top w:val="single" w:sz="4" w:space="0" w:color="auto"/>
              <w:left w:val="nil"/>
              <w:right w:val="single" w:sz="4" w:space="0" w:color="auto"/>
            </w:tcBorders>
            <w:shd w:val="clear" w:color="auto" w:fill="auto"/>
            <w:vAlign w:val="center"/>
          </w:tcPr>
          <w:p w:rsidR="00013D13" w:rsidRPr="001C5DDA" w:rsidRDefault="00013D13" w:rsidP="001203D0">
            <w:pPr>
              <w:spacing w:after="0" w:line="240" w:lineRule="auto"/>
              <w:jc w:val="both"/>
              <w:rPr>
                <w:rFonts w:eastAsia="Times New Roman" w:cs="Arial"/>
                <w:b/>
                <w:bCs/>
                <w:lang w:eastAsia="cs-CZ"/>
              </w:rPr>
            </w:pPr>
            <w:r w:rsidRPr="001C5DDA">
              <w:rPr>
                <w:rFonts w:eastAsia="Times New Roman" w:cs="Arial"/>
                <w:b/>
                <w:bCs/>
                <w:lang w:eastAsia="cs-CZ"/>
              </w:rPr>
              <w:t>Poplatky ze standardizovaných záručních programů</w:t>
            </w:r>
          </w:p>
        </w:tc>
      </w:tr>
      <w:tr w:rsidR="00013D13" w:rsidRPr="001B70EE" w:rsidTr="00A71CE6">
        <w:trPr>
          <w:trHeight w:val="255"/>
        </w:trPr>
        <w:tc>
          <w:tcPr>
            <w:tcW w:w="1291" w:type="dxa"/>
            <w:tcBorders>
              <w:left w:val="single" w:sz="4" w:space="0" w:color="auto"/>
              <w:bottom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tcPr>
          <w:p w:rsidR="00013D13" w:rsidRPr="00800FEE" w:rsidRDefault="00C873F8" w:rsidP="00761472">
            <w:pPr>
              <w:spacing w:after="0" w:line="240" w:lineRule="auto"/>
              <w:jc w:val="both"/>
              <w:rPr>
                <w:rFonts w:eastAsia="Times New Roman" w:cs="Arial"/>
                <w:b/>
                <w:lang w:eastAsia="cs-CZ"/>
              </w:rPr>
            </w:pPr>
            <w:r w:rsidRPr="00800FEE">
              <w:rPr>
                <w:rFonts w:eastAsia="Times New Roman" w:cs="Arial"/>
                <w:lang w:eastAsia="cs-CZ"/>
              </w:rPr>
              <w:t>N</w:t>
            </w:r>
            <w:r>
              <w:rPr>
                <w:rFonts w:eastAsia="Times New Roman" w:cs="Arial"/>
                <w:lang w:eastAsia="cs-CZ"/>
              </w:rPr>
              <w:t xml:space="preserve">a danou položku se </w:t>
            </w:r>
            <w:r w:rsidRPr="00800FEE">
              <w:rPr>
                <w:rFonts w:eastAsia="Times New Roman" w:cs="Arial"/>
                <w:lang w:eastAsia="cs-CZ"/>
              </w:rPr>
              <w:t>zaznamenávají poplatky inkasované poskytovatelem standardizovaných záruk. Jedná se o takové druhy záruk, které jsou poskytovány ve velkém množství, obvykle na relativně malé částky a za stejných podmínek.</w:t>
            </w:r>
            <w:r w:rsidR="00B50A69">
              <w:rPr>
                <w:rFonts w:eastAsia="Times New Roman" w:cs="Arial"/>
                <w:lang w:eastAsia="cs-CZ"/>
              </w:rPr>
              <w:t xml:space="preserve"> </w:t>
            </w:r>
            <w:r w:rsidR="00B50A69" w:rsidRPr="00B50A69">
              <w:rPr>
                <w:rFonts w:eastAsia="Times New Roman" w:cs="Arial"/>
                <w:lang w:eastAsia="cs-CZ"/>
              </w:rPr>
              <w:t xml:space="preserve">I když míra pravděpodobnosti, že jedna určitá standardizovaná záruka bude uplatněna, je nejistá, skutečnost, že se vydává mnoho podobných záruk, znamená, že lze provést </w:t>
            </w:r>
            <w:r w:rsidR="00B50A69">
              <w:rPr>
                <w:rFonts w:eastAsia="Times New Roman" w:cs="Arial"/>
                <w:lang w:eastAsia="cs-CZ"/>
              </w:rPr>
              <w:t xml:space="preserve">relativně </w:t>
            </w:r>
            <w:r w:rsidR="00B50A69" w:rsidRPr="00B50A69">
              <w:rPr>
                <w:rFonts w:eastAsia="Times New Roman" w:cs="Arial"/>
                <w:lang w:eastAsia="cs-CZ"/>
              </w:rPr>
              <w:t xml:space="preserve">spolehlivý odhad počtu uplatněných záruk. </w:t>
            </w:r>
            <w:r w:rsidRPr="00800FEE">
              <w:rPr>
                <w:rFonts w:eastAsia="Times New Roman" w:cs="Arial"/>
                <w:lang w:eastAsia="cs-CZ"/>
              </w:rPr>
              <w:t xml:space="preserve"> Nejčastějším příkladem takových záruk jsou záruky za exportní úvěry, studentské pů</w:t>
            </w:r>
            <w:r>
              <w:rPr>
                <w:rFonts w:eastAsia="Times New Roman" w:cs="Arial"/>
                <w:lang w:eastAsia="cs-CZ"/>
              </w:rPr>
              <w:t>jčky a systémy pojištění vkladů.</w:t>
            </w:r>
            <w:r w:rsidRPr="00800FEE">
              <w:rPr>
                <w:rFonts w:eastAsia="Times New Roman" w:cs="Arial"/>
                <w:lang w:eastAsia="cs-CZ"/>
              </w:rPr>
              <w:t xml:space="preserve"> Pokud je však účast v systému pojištění vkladů či jiných záručních programech povinná a platby jsou zjevně nepřiměřené poskytované službě – nejedná se o případ standardizovaných záručních programů a takové platby by měly být zaznamenány jako daňový příjem (A.1.I.). </w:t>
            </w:r>
            <w:r>
              <w:rPr>
                <w:rFonts w:eastAsia="Times New Roman" w:cs="Arial"/>
                <w:lang w:eastAsia="cs-CZ"/>
              </w:rPr>
              <w:t>To je také případ pojištění vkladů v</w:t>
            </w:r>
            <w:r w:rsidR="008B1FBB">
              <w:rPr>
                <w:rFonts w:eastAsia="Times New Roman" w:cs="Arial"/>
                <w:lang w:eastAsia="cs-CZ"/>
              </w:rPr>
              <w:t> </w:t>
            </w:r>
            <w:r>
              <w:rPr>
                <w:rFonts w:eastAsia="Times New Roman" w:cs="Arial"/>
                <w:lang w:eastAsia="cs-CZ"/>
              </w:rPr>
              <w:t>ČR</w:t>
            </w:r>
            <w:r w:rsidR="008B1FBB">
              <w:rPr>
                <w:rFonts w:eastAsia="Times New Roman" w:cs="Arial"/>
                <w:lang w:eastAsia="cs-CZ"/>
              </w:rPr>
              <w:t xml:space="preserve"> spravovaného Garančním systémem finančního trhu</w:t>
            </w:r>
            <w:r w:rsidR="00EF78EE">
              <w:rPr>
                <w:rFonts w:eastAsia="Times New Roman" w:cs="Arial"/>
                <w:lang w:eastAsia="cs-CZ"/>
              </w:rPr>
              <w:t xml:space="preserve"> (resp. Fondem pojištění vkladů)</w:t>
            </w:r>
            <w:r>
              <w:rPr>
                <w:rFonts w:eastAsia="Times New Roman" w:cs="Arial"/>
                <w:lang w:eastAsia="cs-CZ"/>
              </w:rPr>
              <w:t>.</w:t>
            </w:r>
            <w:r w:rsidRPr="00800FEE">
              <w:rPr>
                <w:rFonts w:eastAsia="Times New Roman" w:cs="Arial"/>
                <w:lang w:eastAsia="cs-CZ"/>
              </w:rPr>
              <w:t xml:space="preserve"> </w:t>
            </w:r>
          </w:p>
        </w:tc>
      </w:tr>
      <w:tr w:rsidR="00013D13"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013D13" w:rsidRPr="00800FEE" w:rsidRDefault="00013D13" w:rsidP="002B79EF">
            <w:pPr>
              <w:spacing w:after="0" w:line="240" w:lineRule="auto"/>
              <w:rPr>
                <w:rFonts w:eastAsia="Times New Roman" w:cs="Arial"/>
                <w:b/>
                <w:bCs/>
                <w:lang w:eastAsia="cs-CZ"/>
              </w:rPr>
            </w:pPr>
            <w:r>
              <w:rPr>
                <w:rFonts w:eastAsia="Times New Roman" w:cs="Arial"/>
                <w:b/>
                <w:bCs/>
                <w:lang w:eastAsia="cs-CZ"/>
              </w:rPr>
              <w:t>A.1.V.3.</w:t>
            </w:r>
          </w:p>
        </w:tc>
        <w:tc>
          <w:tcPr>
            <w:tcW w:w="12958" w:type="dxa"/>
            <w:tcBorders>
              <w:top w:val="single" w:sz="4" w:space="0" w:color="auto"/>
              <w:left w:val="nil"/>
              <w:right w:val="single" w:sz="4" w:space="0" w:color="auto"/>
            </w:tcBorders>
            <w:shd w:val="clear" w:color="auto" w:fill="auto"/>
            <w:vAlign w:val="center"/>
          </w:tcPr>
          <w:p w:rsidR="00013D13" w:rsidRPr="00800FEE" w:rsidRDefault="00013D13" w:rsidP="001203D0">
            <w:pPr>
              <w:spacing w:after="0" w:line="240" w:lineRule="auto"/>
              <w:jc w:val="both"/>
              <w:rPr>
                <w:rFonts w:eastAsia="Times New Roman" w:cs="Arial"/>
                <w:b/>
                <w:lang w:eastAsia="cs-CZ"/>
              </w:rPr>
            </w:pPr>
            <w:r w:rsidRPr="00013D13">
              <w:rPr>
                <w:rFonts w:eastAsia="Times New Roman" w:cs="Arial"/>
                <w:b/>
                <w:lang w:eastAsia="cs-CZ"/>
              </w:rPr>
              <w:t>Plnění z neživotního pojištění</w:t>
            </w:r>
          </w:p>
        </w:tc>
      </w:tr>
      <w:tr w:rsidR="00013D13" w:rsidRPr="001B70EE" w:rsidTr="00A71CE6">
        <w:trPr>
          <w:trHeight w:val="255"/>
        </w:trPr>
        <w:tc>
          <w:tcPr>
            <w:tcW w:w="1291" w:type="dxa"/>
            <w:tcBorders>
              <w:left w:val="single" w:sz="4" w:space="0" w:color="auto"/>
              <w:bottom w:val="single" w:sz="4" w:space="0" w:color="auto"/>
              <w:right w:val="single" w:sz="4" w:space="0" w:color="auto"/>
            </w:tcBorders>
            <w:shd w:val="clear" w:color="auto" w:fill="auto"/>
            <w:noWrap/>
            <w:vAlign w:val="center"/>
          </w:tcPr>
          <w:p w:rsidR="00013D13" w:rsidRPr="00800FEE" w:rsidRDefault="00013D13" w:rsidP="001203D0">
            <w:pPr>
              <w:spacing w:after="0" w:line="240" w:lineRule="auto"/>
              <w:jc w:val="center"/>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tcPr>
          <w:p w:rsidR="00013D13" w:rsidRPr="00800FEE" w:rsidRDefault="00C873F8" w:rsidP="001C5DDA">
            <w:pPr>
              <w:spacing w:after="0" w:line="240" w:lineRule="auto"/>
              <w:jc w:val="both"/>
              <w:rPr>
                <w:rFonts w:eastAsia="Times New Roman" w:cs="Arial"/>
                <w:b/>
                <w:lang w:eastAsia="cs-CZ"/>
              </w:rPr>
            </w:pPr>
            <w:r>
              <w:rPr>
                <w:rFonts w:eastAsia="Times New Roman" w:cs="Arial"/>
                <w:lang w:eastAsia="cs-CZ"/>
              </w:rPr>
              <w:t>Na této položce zachytí vládní instituce, které vznikla pojistná událost s nárokem na pojistné plnění, náhradu vzniklé škody od pojišťovny v okamžiku jejího inkasa.</w:t>
            </w:r>
          </w:p>
        </w:tc>
      </w:tr>
    </w:tbl>
    <w:p w:rsidR="00761472" w:rsidRDefault="00761472">
      <w:r>
        <w:br w:type="page"/>
      </w:r>
    </w:p>
    <w:tbl>
      <w:tblPr>
        <w:tblW w:w="14249" w:type="dxa"/>
        <w:tblInd w:w="55" w:type="dxa"/>
        <w:tblCellMar>
          <w:left w:w="70" w:type="dxa"/>
          <w:right w:w="70" w:type="dxa"/>
        </w:tblCellMar>
        <w:tblLook w:val="04A0"/>
      </w:tblPr>
      <w:tblGrid>
        <w:gridCol w:w="1291"/>
        <w:gridCol w:w="12958"/>
      </w:tblGrid>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lastRenderedPageBreak/>
              <w:t>A.1.</w:t>
            </w:r>
            <w:r w:rsidR="00742F22">
              <w:rPr>
                <w:rFonts w:eastAsia="Times New Roman" w:cs="Arial"/>
                <w:b/>
                <w:bCs/>
                <w:lang w:eastAsia="cs-CZ"/>
              </w:rPr>
              <w:t>VI</w:t>
            </w:r>
            <w:r w:rsidRPr="00800FEE">
              <w:rPr>
                <w:rFonts w:eastAsia="Times New Roman" w:cs="Arial"/>
                <w:b/>
                <w:bCs/>
                <w:lang w:eastAsia="cs-CZ"/>
              </w:rPr>
              <w:t>.</w:t>
            </w:r>
          </w:p>
        </w:tc>
        <w:tc>
          <w:tcPr>
            <w:tcW w:w="12958" w:type="dxa"/>
            <w:tcBorders>
              <w:top w:val="single" w:sz="4" w:space="0" w:color="auto"/>
              <w:left w:val="nil"/>
              <w:right w:val="single" w:sz="4" w:space="0" w:color="auto"/>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Jiné příjmy z provozní činnosti</w:t>
            </w:r>
          </w:p>
        </w:tc>
      </w:tr>
      <w:tr w:rsidR="0043430B" w:rsidRPr="001B70EE" w:rsidTr="00A71CE6">
        <w:trPr>
          <w:trHeight w:val="840"/>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800FEE" w:rsidRDefault="0043430B" w:rsidP="001C5DDA">
            <w:pPr>
              <w:spacing w:after="0" w:line="240" w:lineRule="auto"/>
              <w:jc w:val="both"/>
              <w:rPr>
                <w:rFonts w:eastAsia="Times New Roman" w:cs="Arial"/>
                <w:lang w:eastAsia="cs-CZ"/>
              </w:rPr>
            </w:pPr>
            <w:r>
              <w:rPr>
                <w:rFonts w:eastAsia="Times New Roman" w:cs="Arial"/>
                <w:lang w:eastAsia="cs-CZ"/>
              </w:rPr>
              <w:t xml:space="preserve">Tato kategorie zahrnuje příjmy z provozní činnosti </w:t>
            </w:r>
            <w:r w:rsidR="002846BC">
              <w:rPr>
                <w:rFonts w:eastAsia="Times New Roman" w:cs="Arial"/>
                <w:lang w:eastAsia="cs-CZ"/>
              </w:rPr>
              <w:t xml:space="preserve">kromě daní (A.1.I.), </w:t>
            </w:r>
            <w:r>
              <w:rPr>
                <w:rFonts w:eastAsia="Times New Roman" w:cs="Arial"/>
                <w:lang w:eastAsia="cs-CZ"/>
              </w:rPr>
              <w:t>příspěvků</w:t>
            </w:r>
            <w:r w:rsidR="002846BC">
              <w:rPr>
                <w:rFonts w:eastAsia="Times New Roman" w:cs="Arial"/>
                <w:lang w:eastAsia="cs-CZ"/>
              </w:rPr>
              <w:t xml:space="preserve"> na sociální a zdravotní pojištění</w:t>
            </w:r>
            <w:r>
              <w:rPr>
                <w:rFonts w:eastAsia="Times New Roman" w:cs="Arial"/>
                <w:lang w:eastAsia="cs-CZ"/>
              </w:rPr>
              <w:t xml:space="preserve"> (A.1.II.)</w:t>
            </w:r>
            <w:r w:rsidR="002E5BB3">
              <w:rPr>
                <w:rFonts w:eastAsia="Times New Roman" w:cs="Arial"/>
                <w:lang w:eastAsia="cs-CZ"/>
              </w:rPr>
              <w:t>,</w:t>
            </w:r>
            <w:r>
              <w:rPr>
                <w:rFonts w:eastAsia="Times New Roman" w:cs="Arial"/>
                <w:lang w:eastAsia="cs-CZ"/>
              </w:rPr>
              <w:t xml:space="preserve"> transferů zaznamenaných </w:t>
            </w:r>
            <w:r w:rsidR="000D60D2">
              <w:rPr>
                <w:rFonts w:eastAsia="Times New Roman" w:cs="Arial"/>
                <w:lang w:eastAsia="cs-CZ"/>
              </w:rPr>
              <w:t>výše</w:t>
            </w:r>
            <w:r>
              <w:rPr>
                <w:rFonts w:eastAsia="Times New Roman" w:cs="Arial"/>
                <w:lang w:eastAsia="cs-CZ"/>
              </w:rPr>
              <w:t xml:space="preserve"> (A.1.III.)</w:t>
            </w:r>
            <w:r w:rsidR="002E5BB3">
              <w:rPr>
                <w:rFonts w:eastAsia="Times New Roman" w:cs="Arial"/>
                <w:lang w:eastAsia="cs-CZ"/>
              </w:rPr>
              <w:t>, úroků (A.1.IV.) a příjmů z neživotního pojištění a standardizovaných záručních programů (A.1.V.)</w:t>
            </w:r>
            <w:r>
              <w:rPr>
                <w:rFonts w:eastAsia="Times New Roman" w:cs="Arial"/>
                <w:lang w:eastAsia="cs-CZ"/>
              </w:rPr>
              <w:t>. Jsou zde zachyceny například příjmy</w:t>
            </w:r>
            <w:r w:rsidRPr="00800FEE">
              <w:rPr>
                <w:rFonts w:eastAsia="Times New Roman" w:cs="Arial"/>
                <w:lang w:eastAsia="cs-CZ"/>
              </w:rPr>
              <w:t xml:space="preserve"> z</w:t>
            </w:r>
            <w:r w:rsidR="00742F22">
              <w:rPr>
                <w:rFonts w:eastAsia="Times New Roman" w:cs="Arial"/>
                <w:lang w:eastAsia="cs-CZ"/>
              </w:rPr>
              <w:t> </w:t>
            </w:r>
            <w:r w:rsidRPr="00800FEE">
              <w:rPr>
                <w:rFonts w:eastAsia="Times New Roman" w:cs="Arial"/>
                <w:lang w:eastAsia="cs-CZ"/>
              </w:rPr>
              <w:t>vlastnictví</w:t>
            </w:r>
            <w:r w:rsidR="00742F22">
              <w:rPr>
                <w:rFonts w:eastAsia="Times New Roman" w:cs="Arial"/>
                <w:lang w:eastAsia="cs-CZ"/>
              </w:rPr>
              <w:t xml:space="preserve"> </w:t>
            </w:r>
            <w:r w:rsidR="000D60D2">
              <w:rPr>
                <w:rFonts w:eastAsia="Times New Roman" w:cs="Arial"/>
                <w:lang w:eastAsia="cs-CZ"/>
              </w:rPr>
              <w:t>jiné než úroky</w:t>
            </w:r>
            <w:r>
              <w:rPr>
                <w:rFonts w:eastAsia="Times New Roman" w:cs="Arial"/>
                <w:lang w:eastAsia="cs-CZ"/>
              </w:rPr>
              <w:t xml:space="preserve"> (dividendy, nájemné z</w:t>
            </w:r>
            <w:r w:rsidR="0068295B">
              <w:rPr>
                <w:rFonts w:eastAsia="Times New Roman" w:cs="Arial"/>
                <w:lang w:eastAsia="cs-CZ"/>
              </w:rPr>
              <w:t xml:space="preserve"> </w:t>
            </w:r>
            <w:r>
              <w:rPr>
                <w:rFonts w:eastAsia="Times New Roman" w:cs="Arial"/>
                <w:lang w:eastAsia="cs-CZ"/>
              </w:rPr>
              <w:t>nevyráběných aktiv)</w:t>
            </w:r>
            <w:r w:rsidRPr="00800FEE">
              <w:rPr>
                <w:rFonts w:eastAsia="Times New Roman" w:cs="Arial"/>
                <w:lang w:eastAsia="cs-CZ"/>
              </w:rPr>
              <w:t>, příjmy z prodeje zboží a služeb</w:t>
            </w:r>
            <w:r w:rsidR="002E5BB3">
              <w:rPr>
                <w:rFonts w:eastAsia="Times New Roman" w:cs="Arial"/>
                <w:lang w:eastAsia="cs-CZ"/>
              </w:rPr>
              <w:t xml:space="preserve"> či správní poplatky</w:t>
            </w:r>
            <w:r>
              <w:rPr>
                <w:rFonts w:eastAsia="Times New Roman" w:cs="Arial"/>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t>A.1.</w:t>
            </w:r>
            <w:r w:rsidR="000D60D2">
              <w:rPr>
                <w:rFonts w:eastAsia="Times New Roman" w:cs="Arial"/>
                <w:b/>
                <w:bCs/>
                <w:lang w:eastAsia="cs-CZ"/>
              </w:rPr>
              <w:t>VI</w:t>
            </w:r>
            <w:r w:rsidRPr="00800FEE">
              <w:rPr>
                <w:rFonts w:eastAsia="Times New Roman" w:cs="Arial"/>
                <w:b/>
                <w:bCs/>
                <w:lang w:eastAsia="cs-CZ"/>
              </w:rPr>
              <w:t>.</w:t>
            </w:r>
            <w:r w:rsidR="000D60D2">
              <w:rPr>
                <w:rFonts w:eastAsia="Times New Roman" w:cs="Arial"/>
                <w:b/>
                <w:bCs/>
                <w:lang w:eastAsia="cs-CZ"/>
              </w:rPr>
              <w:t>1</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Dividendy</w:t>
            </w:r>
          </w:p>
        </w:tc>
      </w:tr>
      <w:tr w:rsidR="0043430B" w:rsidRPr="001B70EE" w:rsidTr="00A71CE6">
        <w:trPr>
          <w:trHeight w:val="811"/>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800FEE" w:rsidRDefault="0043430B" w:rsidP="001203D0">
            <w:pPr>
              <w:spacing w:after="0" w:line="240" w:lineRule="auto"/>
              <w:jc w:val="both"/>
              <w:rPr>
                <w:rFonts w:eastAsia="Times New Roman" w:cs="Arial"/>
                <w:lang w:eastAsia="cs-CZ"/>
              </w:rPr>
            </w:pPr>
            <w:r w:rsidRPr="00800FEE">
              <w:rPr>
                <w:rFonts w:eastAsia="Times New Roman" w:cs="Arial"/>
                <w:lang w:eastAsia="cs-CZ"/>
              </w:rPr>
              <w:t>Jedná se o příjem z vlastnictví vládní jednotky, k</w:t>
            </w:r>
            <w:r w:rsidR="007265B9">
              <w:rPr>
                <w:rFonts w:eastAsia="Times New Roman" w:cs="Arial"/>
                <w:lang w:eastAsia="cs-CZ"/>
              </w:rPr>
              <w:t xml:space="preserve">terá je v postavení akcionáře, resp. </w:t>
            </w:r>
            <w:r w:rsidRPr="00800FEE">
              <w:rPr>
                <w:rFonts w:eastAsia="Times New Roman" w:cs="Arial"/>
                <w:lang w:eastAsia="cs-CZ"/>
              </w:rPr>
              <w:t>vlastníka</w:t>
            </w:r>
            <w:r w:rsidR="00161F81">
              <w:rPr>
                <w:rFonts w:eastAsia="Times New Roman" w:cs="Arial"/>
                <w:lang w:eastAsia="cs-CZ"/>
              </w:rPr>
              <w:t xml:space="preserve"> či spoluvlastníka</w:t>
            </w:r>
            <w:r w:rsidRPr="00800FEE">
              <w:rPr>
                <w:rFonts w:eastAsia="Times New Roman" w:cs="Arial"/>
                <w:lang w:eastAsia="cs-CZ"/>
              </w:rPr>
              <w:t xml:space="preserve"> </w:t>
            </w:r>
            <w:r w:rsidR="007265B9">
              <w:rPr>
                <w:rFonts w:eastAsia="Times New Roman" w:cs="Arial"/>
                <w:lang w:eastAsia="cs-CZ"/>
              </w:rPr>
              <w:t xml:space="preserve">obchodní </w:t>
            </w:r>
            <w:r w:rsidRPr="00800FEE">
              <w:rPr>
                <w:rFonts w:eastAsia="Times New Roman" w:cs="Arial"/>
                <w:lang w:eastAsia="cs-CZ"/>
              </w:rPr>
              <w:t>korporace. Dividendy jsou odměnou za poskytnutí vlastních zdrojů a zahrnují všechny podíly na z</w:t>
            </w:r>
            <w:r w:rsidR="007265B9">
              <w:rPr>
                <w:rFonts w:eastAsia="Times New Roman" w:cs="Arial"/>
                <w:lang w:eastAsia="cs-CZ"/>
              </w:rPr>
              <w:t xml:space="preserve">isku rozdělené mezi </w:t>
            </w:r>
            <w:r w:rsidRPr="00800FEE">
              <w:rPr>
                <w:rFonts w:eastAsia="Times New Roman" w:cs="Arial"/>
                <w:lang w:eastAsia="cs-CZ"/>
              </w:rPr>
              <w:t>vlastníky</w:t>
            </w:r>
            <w:r w:rsidR="007265B9">
              <w:rPr>
                <w:rFonts w:eastAsia="Times New Roman" w:cs="Arial"/>
                <w:lang w:eastAsia="cs-CZ"/>
              </w:rPr>
              <w:t xml:space="preserve"> či spoluvlastníky</w:t>
            </w:r>
            <w:r w:rsidRPr="00800FEE">
              <w:rPr>
                <w:rFonts w:eastAsia="Times New Roman" w:cs="Arial"/>
                <w:lang w:eastAsia="cs-CZ"/>
              </w:rPr>
              <w:t>, bez ohledu na to, zda jsou explicitně označovány jako dividendy.</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t>A.1.</w:t>
            </w:r>
            <w:r w:rsidR="000D60D2">
              <w:rPr>
                <w:rFonts w:eastAsia="Times New Roman" w:cs="Arial"/>
                <w:b/>
                <w:bCs/>
                <w:lang w:eastAsia="cs-CZ"/>
              </w:rPr>
              <w:t>VI.2</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Nájemné z</w:t>
            </w:r>
            <w:r w:rsidR="006D6C59">
              <w:rPr>
                <w:rFonts w:eastAsia="Times New Roman" w:cs="Arial"/>
                <w:b/>
                <w:lang w:eastAsia="cs-CZ"/>
              </w:rPr>
              <w:t xml:space="preserve"> </w:t>
            </w:r>
            <w:r w:rsidRPr="00800FEE">
              <w:rPr>
                <w:rFonts w:eastAsia="Times New Roman" w:cs="Arial"/>
                <w:b/>
                <w:lang w:eastAsia="cs-CZ"/>
              </w:rPr>
              <w:t>nevyráběných aktiv</w:t>
            </w:r>
          </w:p>
        </w:tc>
      </w:tr>
      <w:tr w:rsidR="0043430B" w:rsidRPr="001B70EE" w:rsidTr="00A71CE6">
        <w:trPr>
          <w:trHeight w:val="2698"/>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800FEE" w:rsidRDefault="0043430B" w:rsidP="001203D0">
            <w:pPr>
              <w:spacing w:after="0" w:line="240" w:lineRule="auto"/>
              <w:jc w:val="both"/>
              <w:rPr>
                <w:rFonts w:eastAsia="Times New Roman" w:cs="Arial"/>
                <w:color w:val="000000"/>
                <w:lang w:eastAsia="cs-CZ"/>
              </w:rPr>
            </w:pPr>
            <w:r w:rsidRPr="00800FEE">
              <w:rPr>
                <w:rFonts w:eastAsia="Times New Roman" w:cs="Arial"/>
                <w:color w:val="000000"/>
                <w:lang w:eastAsia="cs-CZ"/>
              </w:rPr>
              <w:t>Položka zahrnuje příjem z pronájmu pozemků, půdy a jiných přírodních zdrojů (ložiska nerostný</w:t>
            </w:r>
            <w:r w:rsidR="004A185E">
              <w:rPr>
                <w:rFonts w:eastAsia="Times New Roman" w:cs="Arial"/>
                <w:color w:val="000000"/>
                <w:lang w:eastAsia="cs-CZ"/>
              </w:rPr>
              <w:t>ch surovin). Pronájem vyráběných</w:t>
            </w:r>
            <w:r w:rsidRPr="00800FEE">
              <w:rPr>
                <w:rFonts w:eastAsia="Times New Roman" w:cs="Arial"/>
                <w:color w:val="000000"/>
                <w:lang w:eastAsia="cs-CZ"/>
              </w:rPr>
              <w:t xml:space="preserve"> aktiv</w:t>
            </w:r>
            <w:r>
              <w:rPr>
                <w:rFonts w:eastAsia="Times New Roman" w:cs="Arial"/>
                <w:color w:val="000000"/>
                <w:lang w:eastAsia="cs-CZ"/>
              </w:rPr>
              <w:t xml:space="preserve"> (především budov a strojů)</w:t>
            </w:r>
            <w:r w:rsidRPr="00800FEE">
              <w:rPr>
                <w:rFonts w:eastAsia="Times New Roman" w:cs="Arial"/>
                <w:color w:val="000000"/>
                <w:lang w:eastAsia="cs-CZ"/>
              </w:rPr>
              <w:t xml:space="preserve"> je zaznamenán jako prodej služeb (</w:t>
            </w:r>
            <w:r>
              <w:rPr>
                <w:rFonts w:eastAsia="Times New Roman" w:cs="Arial"/>
                <w:color w:val="000000"/>
                <w:lang w:eastAsia="cs-CZ"/>
              </w:rPr>
              <w:t>A.1.V</w:t>
            </w:r>
            <w:r w:rsidR="000E6748">
              <w:rPr>
                <w:rFonts w:eastAsia="Times New Roman" w:cs="Arial"/>
                <w:color w:val="000000"/>
                <w:lang w:eastAsia="cs-CZ"/>
              </w:rPr>
              <w:t>I</w:t>
            </w:r>
            <w:r>
              <w:rPr>
                <w:rFonts w:eastAsia="Times New Roman" w:cs="Arial"/>
                <w:color w:val="000000"/>
                <w:lang w:eastAsia="cs-CZ"/>
              </w:rPr>
              <w:t>.</w:t>
            </w:r>
            <w:r w:rsidR="000E6748">
              <w:rPr>
                <w:rFonts w:eastAsia="Times New Roman" w:cs="Arial"/>
                <w:color w:val="000000"/>
                <w:lang w:eastAsia="cs-CZ"/>
              </w:rPr>
              <w:t>3</w:t>
            </w:r>
            <w:r w:rsidRPr="00800FEE">
              <w:rPr>
                <w:rFonts w:eastAsia="Times New Roman" w:cs="Arial"/>
                <w:color w:val="000000"/>
                <w:lang w:eastAsia="cs-CZ"/>
              </w:rPr>
              <w:t xml:space="preserve">., resp. </w:t>
            </w:r>
            <w:r>
              <w:rPr>
                <w:rFonts w:eastAsia="Times New Roman" w:cs="Arial"/>
                <w:color w:val="000000"/>
                <w:lang w:eastAsia="cs-CZ"/>
              </w:rPr>
              <w:t>A.1.V</w:t>
            </w:r>
            <w:r w:rsidR="000E6748">
              <w:rPr>
                <w:rFonts w:eastAsia="Times New Roman" w:cs="Arial"/>
                <w:color w:val="000000"/>
                <w:lang w:eastAsia="cs-CZ"/>
              </w:rPr>
              <w:t>I</w:t>
            </w:r>
            <w:r>
              <w:rPr>
                <w:rFonts w:eastAsia="Times New Roman" w:cs="Arial"/>
                <w:color w:val="000000"/>
                <w:lang w:eastAsia="cs-CZ"/>
              </w:rPr>
              <w:t>.</w:t>
            </w:r>
            <w:r w:rsidR="000E6748">
              <w:rPr>
                <w:rFonts w:eastAsia="Times New Roman" w:cs="Arial"/>
                <w:color w:val="000000"/>
                <w:lang w:eastAsia="cs-CZ"/>
              </w:rPr>
              <w:t>5</w:t>
            </w:r>
            <w:r>
              <w:rPr>
                <w:rFonts w:eastAsia="Times New Roman" w:cs="Arial"/>
                <w:color w:val="000000"/>
                <w:lang w:eastAsia="cs-CZ"/>
              </w:rPr>
              <w:t>.). Logika</w:t>
            </w:r>
            <w:r w:rsidRPr="00800FEE">
              <w:rPr>
                <w:rFonts w:eastAsia="Times New Roman" w:cs="Arial"/>
                <w:color w:val="000000"/>
                <w:lang w:eastAsia="cs-CZ"/>
              </w:rPr>
              <w:t xml:space="preserve"> záznamu vychází z toho, že pronajímatel vyráběných aktiv poskytuje </w:t>
            </w:r>
            <w:r w:rsidR="00BB1199">
              <w:rPr>
                <w:rFonts w:eastAsia="Times New Roman" w:cs="Arial"/>
                <w:color w:val="000000"/>
                <w:lang w:eastAsia="cs-CZ"/>
              </w:rPr>
              <w:t xml:space="preserve">nájemci zpravidla také </w:t>
            </w:r>
            <w:r w:rsidR="00A11B23">
              <w:rPr>
                <w:rFonts w:eastAsia="Times New Roman" w:cs="Arial"/>
                <w:color w:val="000000"/>
                <w:lang w:eastAsia="cs-CZ"/>
              </w:rPr>
              <w:t xml:space="preserve">související </w:t>
            </w:r>
            <w:r w:rsidRPr="00800FEE">
              <w:rPr>
                <w:rFonts w:eastAsia="Times New Roman" w:cs="Arial"/>
                <w:color w:val="000000"/>
                <w:lang w:eastAsia="cs-CZ"/>
              </w:rPr>
              <w:t>služby</w:t>
            </w:r>
            <w:r w:rsidR="00BB1199">
              <w:rPr>
                <w:rFonts w:eastAsia="Times New Roman" w:cs="Arial"/>
                <w:color w:val="000000"/>
                <w:lang w:eastAsia="cs-CZ"/>
              </w:rPr>
              <w:t xml:space="preserve"> </w:t>
            </w:r>
            <w:r w:rsidRPr="00800FEE">
              <w:rPr>
                <w:rFonts w:eastAsia="Times New Roman" w:cs="Arial"/>
                <w:color w:val="000000"/>
                <w:lang w:eastAsia="cs-CZ"/>
              </w:rPr>
              <w:t xml:space="preserve">jako například údržbu a opravy pronajatého majetku. </w:t>
            </w:r>
            <w:r w:rsidR="00A11B23">
              <w:rPr>
                <w:rFonts w:eastAsia="Times New Roman" w:cs="Arial"/>
                <w:color w:val="000000"/>
                <w:lang w:eastAsia="cs-CZ"/>
              </w:rPr>
              <w:t>Na p</w:t>
            </w:r>
            <w:r w:rsidRPr="00800FEE">
              <w:rPr>
                <w:rFonts w:eastAsia="Times New Roman" w:cs="Arial"/>
                <w:color w:val="000000"/>
                <w:lang w:eastAsia="cs-CZ"/>
              </w:rPr>
              <w:t xml:space="preserve">lacené nájemné je tak </w:t>
            </w:r>
            <w:r w:rsidR="00A11B23">
              <w:rPr>
                <w:rFonts w:eastAsia="Times New Roman" w:cs="Arial"/>
                <w:color w:val="000000"/>
                <w:lang w:eastAsia="cs-CZ"/>
              </w:rPr>
              <w:t>nahlíženo jako na</w:t>
            </w:r>
            <w:r>
              <w:rPr>
                <w:rFonts w:eastAsia="Times New Roman" w:cs="Arial"/>
                <w:color w:val="000000"/>
                <w:lang w:eastAsia="cs-CZ"/>
              </w:rPr>
              <w:t xml:space="preserve"> platbu</w:t>
            </w:r>
            <w:r w:rsidRPr="00800FEE">
              <w:rPr>
                <w:rFonts w:eastAsia="Times New Roman" w:cs="Arial"/>
                <w:color w:val="000000"/>
                <w:lang w:eastAsia="cs-CZ"/>
              </w:rPr>
              <w:t xml:space="preserve"> za službu.</w:t>
            </w:r>
          </w:p>
          <w:p w:rsidR="0043430B" w:rsidRPr="00800FEE" w:rsidRDefault="0043430B" w:rsidP="001203D0">
            <w:pPr>
              <w:spacing w:after="0" w:line="240" w:lineRule="auto"/>
              <w:jc w:val="both"/>
              <w:rPr>
                <w:rFonts w:eastAsia="Times New Roman" w:cs="Arial"/>
                <w:color w:val="000000"/>
                <w:lang w:eastAsia="cs-CZ"/>
              </w:rPr>
            </w:pPr>
            <w:r w:rsidRPr="00800FEE">
              <w:rPr>
                <w:rFonts w:eastAsia="Times New Roman" w:cs="Arial"/>
                <w:color w:val="000000"/>
                <w:lang w:eastAsia="cs-CZ"/>
              </w:rPr>
              <w:t>Jedna transakce může zároveň zahrnovat nájemné z pronájmu nevyráběných a vyráběných aktiv. Taková situace může nastat například v </w:t>
            </w:r>
            <w:r>
              <w:rPr>
                <w:rFonts w:eastAsia="Times New Roman" w:cs="Arial"/>
                <w:color w:val="000000"/>
                <w:lang w:eastAsia="cs-CZ"/>
              </w:rPr>
              <w:t>případě, kdy vládní instituce</w:t>
            </w:r>
            <w:r w:rsidRPr="00800FEE">
              <w:rPr>
                <w:rFonts w:eastAsia="Times New Roman" w:cs="Arial"/>
                <w:color w:val="000000"/>
                <w:lang w:eastAsia="cs-CZ"/>
              </w:rPr>
              <w:t xml:space="preserve"> v jedné smlouvě pronajímá pozemky a jiné nemovité věci, které se na nich nacházejí, a ve smlouvě není odlišeno zvlášť nájemné z pozemků a nájemné z těchto nemovitých věcí. Pokud neexistuje žádný objektivní základ pro rozvržení plateb na nájemné za budovy a stavby a nájemné za pozemky, částka se zaznamená jako nájemné za pronájem nevyráběných aktiv (A.1.V</w:t>
            </w:r>
            <w:r w:rsidR="00A11B23">
              <w:rPr>
                <w:rFonts w:eastAsia="Times New Roman" w:cs="Arial"/>
                <w:color w:val="000000"/>
                <w:lang w:eastAsia="cs-CZ"/>
              </w:rPr>
              <w:t>I</w:t>
            </w:r>
            <w:r w:rsidRPr="00800FEE">
              <w:rPr>
                <w:rFonts w:eastAsia="Times New Roman" w:cs="Arial"/>
                <w:color w:val="000000"/>
                <w:lang w:eastAsia="cs-CZ"/>
              </w:rPr>
              <w:t>.</w:t>
            </w:r>
            <w:r w:rsidR="00A11B23">
              <w:rPr>
                <w:rFonts w:eastAsia="Times New Roman" w:cs="Arial"/>
                <w:color w:val="000000"/>
                <w:lang w:eastAsia="cs-CZ"/>
              </w:rPr>
              <w:t>2</w:t>
            </w:r>
            <w:r w:rsidRPr="00800FEE">
              <w:rPr>
                <w:rFonts w:eastAsia="Times New Roman" w:cs="Arial"/>
                <w:color w:val="000000"/>
                <w:lang w:eastAsia="cs-CZ"/>
              </w:rPr>
              <w:t>.) v případě, že je hodnota budov a jiných staveb nižší, než hodnota pozemků. Naopak, je-li hodnota pozemků nižší, zaznamená se celá operace na položku prodej zboží a služeb (</w:t>
            </w:r>
            <w:r>
              <w:rPr>
                <w:rFonts w:eastAsia="Times New Roman" w:cs="Arial"/>
                <w:color w:val="000000"/>
                <w:lang w:eastAsia="cs-CZ"/>
              </w:rPr>
              <w:t>A.1.V</w:t>
            </w:r>
            <w:r w:rsidR="00A11B23">
              <w:rPr>
                <w:rFonts w:eastAsia="Times New Roman" w:cs="Arial"/>
                <w:color w:val="000000"/>
                <w:lang w:eastAsia="cs-CZ"/>
              </w:rPr>
              <w:t>I</w:t>
            </w:r>
            <w:r>
              <w:rPr>
                <w:rFonts w:eastAsia="Times New Roman" w:cs="Arial"/>
                <w:color w:val="000000"/>
                <w:lang w:eastAsia="cs-CZ"/>
              </w:rPr>
              <w:t>.</w:t>
            </w:r>
            <w:r w:rsidR="00A11B23">
              <w:rPr>
                <w:rFonts w:eastAsia="Times New Roman" w:cs="Arial"/>
                <w:color w:val="000000"/>
                <w:lang w:eastAsia="cs-CZ"/>
              </w:rPr>
              <w:t>3</w:t>
            </w:r>
            <w:r w:rsidRPr="00800FEE">
              <w:rPr>
                <w:rFonts w:eastAsia="Times New Roman" w:cs="Arial"/>
                <w:color w:val="000000"/>
                <w:lang w:eastAsia="cs-CZ"/>
              </w:rPr>
              <w:t xml:space="preserve">., resp. </w:t>
            </w:r>
            <w:r>
              <w:rPr>
                <w:rFonts w:eastAsia="Times New Roman" w:cs="Arial"/>
                <w:color w:val="000000"/>
                <w:lang w:eastAsia="cs-CZ"/>
              </w:rPr>
              <w:t>A.1.V</w:t>
            </w:r>
            <w:r w:rsidR="00A11B23">
              <w:rPr>
                <w:rFonts w:eastAsia="Times New Roman" w:cs="Arial"/>
                <w:color w:val="000000"/>
                <w:lang w:eastAsia="cs-CZ"/>
              </w:rPr>
              <w:t>I</w:t>
            </w:r>
            <w:r>
              <w:rPr>
                <w:rFonts w:eastAsia="Times New Roman" w:cs="Arial"/>
                <w:color w:val="000000"/>
                <w:lang w:eastAsia="cs-CZ"/>
              </w:rPr>
              <w:t>.</w:t>
            </w:r>
            <w:r w:rsidR="00A11B23">
              <w:rPr>
                <w:rFonts w:eastAsia="Times New Roman" w:cs="Arial"/>
                <w:color w:val="000000"/>
                <w:lang w:eastAsia="cs-CZ"/>
              </w:rPr>
              <w:t>5</w:t>
            </w:r>
            <w:r w:rsidRPr="00800FEE">
              <w:rPr>
                <w:rFonts w:eastAsia="Times New Roman" w:cs="Arial"/>
                <w:color w:val="000000"/>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t>A.1.</w:t>
            </w:r>
            <w:r w:rsidR="000D60D2">
              <w:rPr>
                <w:rFonts w:eastAsia="Times New Roman" w:cs="Arial"/>
                <w:b/>
                <w:bCs/>
                <w:lang w:eastAsia="cs-CZ"/>
              </w:rPr>
              <w:t>VI.3</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Příjmy z prodeje zboží a služeb na tržním principu</w:t>
            </w:r>
          </w:p>
        </w:tc>
      </w:tr>
      <w:tr w:rsidR="0043430B" w:rsidRPr="001B70EE" w:rsidTr="00A71CE6">
        <w:trPr>
          <w:trHeight w:val="546"/>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lang w:eastAsia="cs-CZ"/>
              </w:rPr>
            </w:pPr>
            <w:r>
              <w:rPr>
                <w:rFonts w:eastAsia="Times New Roman" w:cs="Arial"/>
                <w:lang w:eastAsia="cs-CZ"/>
              </w:rPr>
              <w:t>Jestliže vládní instituce</w:t>
            </w:r>
            <w:r w:rsidRPr="00800FEE">
              <w:rPr>
                <w:rFonts w:eastAsia="Times New Roman" w:cs="Arial"/>
                <w:lang w:eastAsia="cs-CZ"/>
              </w:rPr>
              <w:t xml:space="preserve"> prodává </w:t>
            </w:r>
            <w:r>
              <w:rPr>
                <w:rFonts w:eastAsia="Times New Roman" w:cs="Arial"/>
                <w:lang w:eastAsia="cs-CZ"/>
              </w:rPr>
              <w:t xml:space="preserve">celou nebo většinu své produkce </w:t>
            </w:r>
            <w:r w:rsidRPr="00800FEE">
              <w:rPr>
                <w:rFonts w:eastAsia="Times New Roman" w:cs="Arial"/>
                <w:lang w:eastAsia="cs-CZ"/>
              </w:rPr>
              <w:t>na tržním principu (tj. za ceny ekonomicky významné</w:t>
            </w:r>
            <w:r w:rsidR="00B4296B">
              <w:rPr>
                <w:rStyle w:val="Znakapoznpodarou"/>
                <w:rFonts w:eastAsia="Times New Roman" w:cs="Arial"/>
                <w:lang w:eastAsia="cs-CZ"/>
              </w:rPr>
              <w:footnoteReference w:id="8"/>
            </w:r>
            <w:r w:rsidRPr="00800FEE">
              <w:rPr>
                <w:rFonts w:eastAsia="Times New Roman" w:cs="Arial"/>
                <w:lang w:eastAsia="cs-CZ"/>
              </w:rPr>
              <w:t xml:space="preserve">), zahrne tyto příjmy na </w:t>
            </w:r>
            <w:r w:rsidR="00A11B23">
              <w:rPr>
                <w:rFonts w:eastAsia="Times New Roman" w:cs="Arial"/>
                <w:lang w:eastAsia="cs-CZ"/>
              </w:rPr>
              <w:t>danou</w:t>
            </w:r>
            <w:r w:rsidRPr="00800FEE">
              <w:rPr>
                <w:rFonts w:eastAsia="Times New Roman" w:cs="Arial"/>
                <w:lang w:eastAsia="cs-CZ"/>
              </w:rPr>
              <w:t xml:space="preserve"> položku. Také pronájem vyráběných aktiv </w:t>
            </w:r>
            <w:r>
              <w:rPr>
                <w:rFonts w:eastAsia="Times New Roman" w:cs="Arial"/>
                <w:lang w:eastAsia="cs-CZ"/>
              </w:rPr>
              <w:t xml:space="preserve">(zejména budov a strojů) </w:t>
            </w:r>
            <w:r w:rsidRPr="00800FEE">
              <w:rPr>
                <w:rFonts w:eastAsia="Times New Roman" w:cs="Arial"/>
                <w:lang w:eastAsia="cs-CZ"/>
              </w:rPr>
              <w:t>na tržním principu je zaznamenán v </w:t>
            </w:r>
            <w:r>
              <w:rPr>
                <w:rFonts w:eastAsia="Times New Roman" w:cs="Arial"/>
                <w:lang w:eastAsia="cs-CZ"/>
              </w:rPr>
              <w:t>této kategorii, avšak jejich prodej je klasifikován jako prodej</w:t>
            </w:r>
            <w:r w:rsidRPr="00800FEE">
              <w:rPr>
                <w:rFonts w:eastAsia="Times New Roman" w:cs="Arial"/>
                <w:lang w:eastAsia="cs-CZ"/>
              </w:rPr>
              <w:t xml:space="preserve"> dlouhodobého hmotného a nehmotného majetku (B.2.).</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t>A.1.</w:t>
            </w:r>
            <w:r w:rsidR="000D60D2">
              <w:rPr>
                <w:rFonts w:eastAsia="Times New Roman" w:cs="Arial"/>
                <w:b/>
                <w:bCs/>
                <w:lang w:eastAsia="cs-CZ"/>
              </w:rPr>
              <w:t>VI.4</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Správní poplatky</w:t>
            </w:r>
          </w:p>
        </w:tc>
      </w:tr>
      <w:tr w:rsidR="0043430B" w:rsidRPr="001B70EE" w:rsidTr="00A71CE6">
        <w:trPr>
          <w:trHeight w:val="546"/>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lang w:eastAsia="cs-CZ"/>
              </w:rPr>
            </w:pPr>
            <w:r w:rsidRPr="00800FEE">
              <w:rPr>
                <w:rFonts w:eastAsia="Times New Roman" w:cs="Arial"/>
                <w:lang w:eastAsia="cs-CZ"/>
              </w:rPr>
              <w:t xml:space="preserve">Tato položka zahrnuje </w:t>
            </w:r>
            <w:r w:rsidR="00AC3F24">
              <w:rPr>
                <w:rFonts w:eastAsia="Times New Roman" w:cs="Arial"/>
                <w:lang w:eastAsia="cs-CZ"/>
              </w:rPr>
              <w:t xml:space="preserve">přijaté </w:t>
            </w:r>
            <w:r w:rsidRPr="00800FEE">
              <w:rPr>
                <w:rFonts w:eastAsia="Times New Roman" w:cs="Arial"/>
                <w:lang w:eastAsia="cs-CZ"/>
              </w:rPr>
              <w:t xml:space="preserve">platby za licence a jiné administrativní poplatky, které jsou platbou za službu. Příkladem mohou být řidičské průkazy, pasy, soudní poplatky, poplatky za rozhlas a televizi. Jestliže je </w:t>
            </w:r>
            <w:r w:rsidR="00AC3F24">
              <w:rPr>
                <w:rFonts w:eastAsia="Times New Roman" w:cs="Arial"/>
                <w:lang w:eastAsia="cs-CZ"/>
              </w:rPr>
              <w:t>platba v nepoměru k výši výdajů vynaložených</w:t>
            </w:r>
            <w:r w:rsidRPr="00800FEE">
              <w:rPr>
                <w:rFonts w:eastAsia="Times New Roman" w:cs="Arial"/>
                <w:lang w:eastAsia="cs-CZ"/>
              </w:rPr>
              <w:t xml:space="preserve"> na poskytování služby, pak je poplatek klasifikován jako daň (A.1.I.).</w:t>
            </w:r>
          </w:p>
        </w:tc>
      </w:tr>
    </w:tbl>
    <w:p w:rsidR="001C6C63" w:rsidRDefault="001C6C63">
      <w:r>
        <w:br w:type="page"/>
      </w:r>
    </w:p>
    <w:tbl>
      <w:tblPr>
        <w:tblW w:w="14249" w:type="dxa"/>
        <w:tblInd w:w="55" w:type="dxa"/>
        <w:tblCellMar>
          <w:left w:w="70" w:type="dxa"/>
          <w:right w:w="70" w:type="dxa"/>
        </w:tblCellMar>
        <w:tblLook w:val="04A0"/>
      </w:tblPr>
      <w:tblGrid>
        <w:gridCol w:w="1291"/>
        <w:gridCol w:w="12958"/>
      </w:tblGrid>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lastRenderedPageBreak/>
              <w:t>A.1</w:t>
            </w:r>
            <w:r w:rsidR="000D60D2">
              <w:rPr>
                <w:rFonts w:eastAsia="Times New Roman" w:cs="Arial"/>
                <w:b/>
                <w:bCs/>
                <w:lang w:eastAsia="cs-CZ"/>
              </w:rPr>
              <w:t>.VI.5</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Příjmy z prodeje zboží a služeb na netržním principu</w:t>
            </w:r>
          </w:p>
        </w:tc>
      </w:tr>
      <w:tr w:rsidR="0043430B" w:rsidRPr="001B70EE" w:rsidTr="00A71CE6">
        <w:trPr>
          <w:trHeight w:val="546"/>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lang w:eastAsia="cs-CZ"/>
              </w:rPr>
            </w:pPr>
            <w:r w:rsidRPr="00800FEE">
              <w:rPr>
                <w:rFonts w:eastAsia="Times New Roman" w:cs="Arial"/>
                <w:lang w:eastAsia="cs-CZ"/>
              </w:rPr>
              <w:t>Zahrnuje prodeje zboží a služeb na netržním principu jiné než administrativní poplatky</w:t>
            </w:r>
            <w:r>
              <w:rPr>
                <w:rFonts w:eastAsia="Times New Roman" w:cs="Arial"/>
                <w:lang w:eastAsia="cs-CZ"/>
              </w:rPr>
              <w:t>. N</w:t>
            </w:r>
            <w:r w:rsidRPr="00800FEE">
              <w:rPr>
                <w:rFonts w:eastAsia="Times New Roman" w:cs="Arial"/>
                <w:lang w:eastAsia="cs-CZ"/>
              </w:rPr>
              <w:t xml:space="preserve">a tuto položku </w:t>
            </w:r>
            <w:r>
              <w:rPr>
                <w:rFonts w:eastAsia="Times New Roman" w:cs="Arial"/>
                <w:lang w:eastAsia="cs-CZ"/>
              </w:rPr>
              <w:t xml:space="preserve">se </w:t>
            </w:r>
            <w:r w:rsidRPr="00800FEE">
              <w:rPr>
                <w:rFonts w:eastAsia="Times New Roman" w:cs="Arial"/>
                <w:lang w:eastAsia="cs-CZ"/>
              </w:rPr>
              <w:t>řadí poplatky ve</w:t>
            </w:r>
            <w:r w:rsidRPr="00800FEE">
              <w:rPr>
                <w:rFonts w:eastAsia="Times New Roman" w:cs="Arial"/>
                <w:b/>
                <w:lang w:eastAsia="cs-CZ"/>
              </w:rPr>
              <w:t> </w:t>
            </w:r>
            <w:r w:rsidRPr="00800FEE">
              <w:rPr>
                <w:rFonts w:eastAsia="Times New Roman" w:cs="Arial"/>
                <w:lang w:eastAsia="cs-CZ"/>
              </w:rPr>
              <w:t>veřejných nemocnicích a klinikách, školné ve veřejných školách, vstupné do veřejných muzeí, parků, apod.</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r w:rsidRPr="00800FEE">
              <w:rPr>
                <w:rFonts w:eastAsia="Times New Roman" w:cs="Arial"/>
                <w:b/>
                <w:bCs/>
                <w:lang w:eastAsia="cs-CZ"/>
              </w:rPr>
              <w:t>A.1.</w:t>
            </w:r>
            <w:r w:rsidR="000D60D2">
              <w:rPr>
                <w:rFonts w:eastAsia="Times New Roman" w:cs="Arial"/>
                <w:b/>
                <w:bCs/>
                <w:lang w:eastAsia="cs-CZ"/>
              </w:rPr>
              <w:t>VI.6</w:t>
            </w:r>
            <w:r w:rsidRPr="00800FEE">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800FEE" w:rsidRDefault="0043430B" w:rsidP="001203D0">
            <w:pPr>
              <w:spacing w:after="0" w:line="240" w:lineRule="auto"/>
              <w:jc w:val="both"/>
              <w:rPr>
                <w:rFonts w:eastAsia="Times New Roman" w:cs="Arial"/>
                <w:b/>
                <w:lang w:eastAsia="cs-CZ"/>
              </w:rPr>
            </w:pPr>
            <w:r w:rsidRPr="00800FEE">
              <w:rPr>
                <w:rFonts w:eastAsia="Times New Roman" w:cs="Arial"/>
                <w:b/>
                <w:lang w:eastAsia="cs-CZ"/>
              </w:rPr>
              <w:t>Pokuty</w:t>
            </w:r>
            <w:r w:rsidR="00F3355B">
              <w:rPr>
                <w:rFonts w:eastAsia="Times New Roman" w:cs="Arial"/>
                <w:b/>
                <w:lang w:eastAsia="cs-CZ"/>
              </w:rPr>
              <w:t xml:space="preserve"> a</w:t>
            </w:r>
            <w:r w:rsidRPr="00800FEE">
              <w:rPr>
                <w:rFonts w:eastAsia="Times New Roman" w:cs="Arial"/>
                <w:b/>
                <w:lang w:eastAsia="cs-CZ"/>
              </w:rPr>
              <w:t xml:space="preserve"> penále</w:t>
            </w:r>
          </w:p>
        </w:tc>
      </w:tr>
      <w:tr w:rsidR="0043430B" w:rsidRPr="001B70EE" w:rsidTr="00314C7F">
        <w:trPr>
          <w:trHeight w:val="1147"/>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800FEE"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Default="0043430B" w:rsidP="001203D0">
            <w:pPr>
              <w:spacing w:after="0" w:line="240" w:lineRule="auto"/>
              <w:jc w:val="both"/>
              <w:rPr>
                <w:rFonts w:eastAsia="Times New Roman" w:cs="Arial"/>
                <w:lang w:eastAsia="cs-CZ"/>
              </w:rPr>
            </w:pPr>
            <w:r w:rsidRPr="00800FEE">
              <w:rPr>
                <w:rFonts w:eastAsia="Times New Roman" w:cs="Arial"/>
                <w:lang w:eastAsia="cs-CZ"/>
              </w:rPr>
              <w:t>Pokuty a penále jsou povinné běžné platby uložené jednotkám za porušení práva nebo administrativních pravidel. Na položce jsou zahrnuty také příjmy z mimosoudních dohod a zálohy, které propadly ve prospěch vládní jednotky v </w:t>
            </w:r>
            <w:r>
              <w:rPr>
                <w:rFonts w:eastAsia="Times New Roman" w:cs="Arial"/>
                <w:lang w:eastAsia="cs-CZ"/>
              </w:rPr>
              <w:t>rámci správního řízení.</w:t>
            </w:r>
          </w:p>
          <w:p w:rsidR="0043430B" w:rsidRPr="00800FEE" w:rsidRDefault="0043430B" w:rsidP="001203D0">
            <w:pPr>
              <w:spacing w:after="0" w:line="240" w:lineRule="auto"/>
              <w:jc w:val="both"/>
              <w:rPr>
                <w:rFonts w:eastAsia="Times New Roman" w:cs="Arial"/>
                <w:lang w:eastAsia="cs-CZ"/>
              </w:rPr>
            </w:pPr>
            <w:r w:rsidRPr="00800FEE">
              <w:rPr>
                <w:rFonts w:eastAsia="Times New Roman" w:cs="Arial"/>
                <w:lang w:eastAsia="cs-CZ"/>
              </w:rPr>
              <w:t>Pokuty a penále uložené za porušení daňových předpisů by měly být v zásadě zaznamenány na této položce. Metodika však připouští, že v praxi může být problém oddělit tyto sankční platby od vlastní daně, proto se obvykle klasifikují společně jako daňový příjem (A.1.I.).</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A.1.</w:t>
            </w:r>
            <w:r w:rsidR="000D60D2">
              <w:rPr>
                <w:rFonts w:eastAsia="Times New Roman" w:cs="Arial"/>
                <w:b/>
                <w:bCs/>
                <w:lang w:eastAsia="cs-CZ"/>
              </w:rPr>
              <w:t>VI.7</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9F1231" w:rsidP="001203D0">
            <w:pPr>
              <w:spacing w:after="0" w:line="240" w:lineRule="auto"/>
              <w:jc w:val="both"/>
              <w:rPr>
                <w:rFonts w:eastAsia="Times New Roman" w:cs="Arial"/>
                <w:b/>
                <w:lang w:eastAsia="cs-CZ"/>
              </w:rPr>
            </w:pPr>
            <w:r>
              <w:rPr>
                <w:rFonts w:eastAsia="Times New Roman" w:cs="Arial"/>
                <w:b/>
                <w:lang w:eastAsia="cs-CZ"/>
              </w:rPr>
              <w:t xml:space="preserve">Transfery </w:t>
            </w:r>
            <w:r w:rsidR="0043430B" w:rsidRPr="0052084B">
              <w:rPr>
                <w:rFonts w:eastAsia="Times New Roman" w:cs="Arial"/>
                <w:b/>
                <w:lang w:eastAsia="cs-CZ"/>
              </w:rPr>
              <w:t xml:space="preserve">jinde nezařazené </w:t>
            </w:r>
            <w:r w:rsidR="000174C4">
              <w:rPr>
                <w:rFonts w:eastAsia="Times New Roman" w:cs="Arial"/>
                <w:b/>
                <w:lang w:eastAsia="cs-CZ"/>
              </w:rPr>
              <w:t>–</w:t>
            </w:r>
            <w:r w:rsidR="0043430B" w:rsidRPr="0052084B">
              <w:rPr>
                <w:rFonts w:eastAsia="Times New Roman" w:cs="Arial"/>
                <w:b/>
                <w:lang w:eastAsia="cs-CZ"/>
              </w:rPr>
              <w:t xml:space="preserve"> běžné</w:t>
            </w:r>
          </w:p>
        </w:tc>
      </w:tr>
      <w:tr w:rsidR="0043430B" w:rsidRPr="001B70EE" w:rsidTr="00A71CE6">
        <w:trPr>
          <w:trHeight w:val="725"/>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CB2ECA" w:rsidRDefault="0043430B" w:rsidP="001203D0">
            <w:pPr>
              <w:spacing w:after="0" w:line="240" w:lineRule="auto"/>
              <w:jc w:val="both"/>
              <w:rPr>
                <w:rFonts w:eastAsia="Times New Roman" w:cs="Arial"/>
                <w:lang w:eastAsia="cs-CZ"/>
              </w:rPr>
            </w:pPr>
            <w:r w:rsidRPr="00CB2ECA">
              <w:rPr>
                <w:rFonts w:eastAsia="Times New Roman" w:cs="Arial"/>
                <w:lang w:eastAsia="cs-CZ"/>
              </w:rPr>
              <w:t xml:space="preserve">Tato kategorie zahrnuje dobrovolné dary od jednotlivců, soukromých neziskových institucí, nevládních nadací, společností a ostatní zdroje od </w:t>
            </w:r>
            <w:r w:rsidR="007D2A3B">
              <w:rPr>
                <w:rFonts w:eastAsia="Times New Roman" w:cs="Arial"/>
                <w:lang w:eastAsia="cs-CZ"/>
              </w:rPr>
              <w:t xml:space="preserve">jednotek </w:t>
            </w:r>
            <w:r w:rsidRPr="00CB2ECA">
              <w:rPr>
                <w:rFonts w:eastAsia="Times New Roman" w:cs="Arial"/>
                <w:lang w:eastAsia="cs-CZ"/>
              </w:rPr>
              <w:t xml:space="preserve">jiných než </w:t>
            </w:r>
            <w:r w:rsidR="007D2A3B">
              <w:rPr>
                <w:rFonts w:eastAsia="Times New Roman" w:cs="Arial"/>
                <w:lang w:eastAsia="cs-CZ"/>
              </w:rPr>
              <w:t xml:space="preserve">jsou zahraniční vlády, mezinárodní organizace a vládní instituce </w:t>
            </w:r>
            <w:r w:rsidRPr="00CB2ECA">
              <w:rPr>
                <w:rFonts w:eastAsia="Times New Roman" w:cs="Arial"/>
                <w:lang w:eastAsia="cs-CZ"/>
              </w:rPr>
              <w:t>(A.1.III.), které jsou určené na běžné výdaje.</w:t>
            </w:r>
          </w:p>
          <w:p w:rsidR="0043430B" w:rsidRPr="00CB2ECA" w:rsidRDefault="00786D17" w:rsidP="007D398A">
            <w:pPr>
              <w:spacing w:after="0" w:line="240" w:lineRule="auto"/>
              <w:jc w:val="both"/>
              <w:rPr>
                <w:rFonts w:eastAsia="Times New Roman" w:cs="Arial"/>
                <w:lang w:eastAsia="cs-CZ"/>
              </w:rPr>
            </w:pPr>
            <w:r w:rsidRPr="00CB2ECA">
              <w:rPr>
                <w:rFonts w:eastAsia="Times New Roman" w:cs="Arial"/>
                <w:lang w:eastAsia="cs-CZ"/>
              </w:rPr>
              <w:t xml:space="preserve">Existují-li pochybnosti o povaze </w:t>
            </w:r>
            <w:r w:rsidR="005E612F">
              <w:rPr>
                <w:rFonts w:eastAsia="Times New Roman" w:cs="Arial"/>
                <w:lang w:eastAsia="cs-CZ"/>
              </w:rPr>
              <w:t>transferu</w:t>
            </w:r>
            <w:r w:rsidRPr="00CB2ECA">
              <w:rPr>
                <w:rFonts w:eastAsia="Times New Roman" w:cs="Arial"/>
                <w:lang w:eastAsia="cs-CZ"/>
              </w:rPr>
              <w:t xml:space="preserve"> (A.1.V</w:t>
            </w:r>
            <w:r w:rsidR="000270FE">
              <w:rPr>
                <w:rFonts w:eastAsia="Times New Roman" w:cs="Arial"/>
                <w:lang w:eastAsia="cs-CZ"/>
              </w:rPr>
              <w:t>I</w:t>
            </w:r>
            <w:r w:rsidRPr="00CB2ECA">
              <w:rPr>
                <w:rFonts w:eastAsia="Times New Roman" w:cs="Arial"/>
                <w:lang w:eastAsia="cs-CZ"/>
              </w:rPr>
              <w:t>.</w:t>
            </w:r>
            <w:r w:rsidR="000270FE">
              <w:rPr>
                <w:rFonts w:eastAsia="Times New Roman" w:cs="Arial"/>
                <w:lang w:eastAsia="cs-CZ"/>
              </w:rPr>
              <w:t>7</w:t>
            </w:r>
            <w:r w:rsidRPr="00CB2ECA">
              <w:rPr>
                <w:rFonts w:eastAsia="Times New Roman" w:cs="Arial"/>
                <w:lang w:eastAsia="cs-CZ"/>
              </w:rPr>
              <w:t>. běžný vs. A.1.V</w:t>
            </w:r>
            <w:r w:rsidR="000270FE">
              <w:rPr>
                <w:rFonts w:eastAsia="Times New Roman" w:cs="Arial"/>
                <w:lang w:eastAsia="cs-CZ"/>
              </w:rPr>
              <w:t>I</w:t>
            </w:r>
            <w:r w:rsidRPr="00CB2ECA">
              <w:rPr>
                <w:rFonts w:eastAsia="Times New Roman" w:cs="Arial"/>
                <w:lang w:eastAsia="cs-CZ"/>
              </w:rPr>
              <w:t>.</w:t>
            </w:r>
            <w:r w:rsidR="000270FE">
              <w:rPr>
                <w:rFonts w:eastAsia="Times New Roman" w:cs="Arial"/>
                <w:lang w:eastAsia="cs-CZ"/>
              </w:rPr>
              <w:t>8</w:t>
            </w:r>
            <w:r w:rsidRPr="00CB2ECA">
              <w:rPr>
                <w:rFonts w:eastAsia="Times New Roman" w:cs="Arial"/>
                <w:lang w:eastAsia="cs-CZ"/>
              </w:rPr>
              <w:t>. kapitálový), měl by být považován za běžný.</w:t>
            </w:r>
            <w:r w:rsidR="0043430B" w:rsidRPr="00CB2ECA">
              <w:rPr>
                <w:rFonts w:eastAsia="Times New Roman" w:cs="Arial"/>
                <w:lang w:eastAsia="cs-CZ"/>
              </w:rPr>
              <w:t xml:space="preserve"> </w:t>
            </w:r>
          </w:p>
        </w:tc>
      </w:tr>
      <w:tr w:rsidR="0043430B" w:rsidRPr="001B70EE" w:rsidTr="00A71CE6">
        <w:trPr>
          <w:trHeight w:val="302"/>
        </w:trPr>
        <w:tc>
          <w:tcPr>
            <w:tcW w:w="1291" w:type="dxa"/>
            <w:tcBorders>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A.1.</w:t>
            </w:r>
            <w:r w:rsidR="000D60D2">
              <w:rPr>
                <w:rFonts w:eastAsia="Times New Roman" w:cs="Arial"/>
                <w:b/>
                <w:bCs/>
                <w:lang w:eastAsia="cs-CZ"/>
              </w:rPr>
              <w:t>VI.8</w:t>
            </w:r>
            <w:r w:rsidRPr="0052084B">
              <w:rPr>
                <w:rFonts w:eastAsia="Times New Roman" w:cs="Arial"/>
                <w:b/>
                <w:bCs/>
                <w:lang w:eastAsia="cs-CZ"/>
              </w:rPr>
              <w:t>.</w:t>
            </w:r>
          </w:p>
        </w:tc>
        <w:tc>
          <w:tcPr>
            <w:tcW w:w="12958" w:type="dxa"/>
            <w:tcBorders>
              <w:left w:val="nil"/>
              <w:right w:val="single" w:sz="4" w:space="0" w:color="000000"/>
            </w:tcBorders>
            <w:shd w:val="clear" w:color="auto" w:fill="auto"/>
            <w:vAlign w:val="center"/>
          </w:tcPr>
          <w:p w:rsidR="0043430B" w:rsidRPr="0052084B" w:rsidRDefault="009F1231" w:rsidP="001203D0">
            <w:pPr>
              <w:spacing w:after="0" w:line="240" w:lineRule="auto"/>
              <w:jc w:val="both"/>
              <w:rPr>
                <w:rFonts w:eastAsia="Times New Roman" w:cs="Arial"/>
                <w:lang w:eastAsia="cs-CZ"/>
              </w:rPr>
            </w:pPr>
            <w:r>
              <w:rPr>
                <w:rFonts w:eastAsia="Times New Roman" w:cs="Arial"/>
                <w:b/>
                <w:lang w:eastAsia="cs-CZ"/>
              </w:rPr>
              <w:t>Transfery</w:t>
            </w:r>
            <w:r w:rsidR="0043430B" w:rsidRPr="0052084B">
              <w:rPr>
                <w:rFonts w:eastAsia="Times New Roman" w:cs="Arial"/>
                <w:b/>
                <w:lang w:eastAsia="cs-CZ"/>
              </w:rPr>
              <w:t xml:space="preserve"> jinde nezařazené </w:t>
            </w:r>
            <w:r w:rsidR="000174C4">
              <w:rPr>
                <w:rFonts w:eastAsia="Times New Roman" w:cs="Arial"/>
                <w:b/>
                <w:lang w:eastAsia="cs-CZ"/>
              </w:rPr>
              <w:t>–</w:t>
            </w:r>
            <w:r w:rsidR="0043430B" w:rsidRPr="0052084B">
              <w:rPr>
                <w:rFonts w:eastAsia="Times New Roman" w:cs="Arial"/>
                <w:b/>
                <w:lang w:eastAsia="cs-CZ"/>
              </w:rPr>
              <w:t xml:space="preserve"> kapitálové</w:t>
            </w:r>
          </w:p>
        </w:tc>
      </w:tr>
      <w:tr w:rsidR="0043430B" w:rsidRPr="001B70EE" w:rsidTr="00A71CE6">
        <w:trPr>
          <w:trHeight w:val="797"/>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Tato kategorie zahrnuje dobrovolné dary od jednotlivců, soukromých neziskových institucí, nevládních nadací, společností a ostatní zdroje od </w:t>
            </w:r>
            <w:r w:rsidR="007D2A3B">
              <w:rPr>
                <w:rFonts w:eastAsia="Times New Roman" w:cs="Arial"/>
                <w:lang w:eastAsia="cs-CZ"/>
              </w:rPr>
              <w:t xml:space="preserve">jednotek </w:t>
            </w:r>
            <w:r w:rsidRPr="0052084B">
              <w:rPr>
                <w:rFonts w:eastAsia="Times New Roman" w:cs="Arial"/>
                <w:lang w:eastAsia="cs-CZ"/>
              </w:rPr>
              <w:t>ji</w:t>
            </w:r>
            <w:r>
              <w:rPr>
                <w:rFonts w:eastAsia="Times New Roman" w:cs="Arial"/>
                <w:lang w:eastAsia="cs-CZ"/>
              </w:rPr>
              <w:t>n</w:t>
            </w:r>
            <w:r w:rsidR="007D2A3B">
              <w:rPr>
                <w:rFonts w:eastAsia="Times New Roman" w:cs="Arial"/>
                <w:lang w:eastAsia="cs-CZ"/>
              </w:rPr>
              <w:t>ých než jsou zahraniční vlády, mezinárodní organizace a vládní instituce</w:t>
            </w:r>
            <w:r>
              <w:rPr>
                <w:rFonts w:eastAsia="Times New Roman" w:cs="Arial"/>
                <w:lang w:eastAsia="cs-CZ"/>
              </w:rPr>
              <w:t xml:space="preserve"> (A.1.III.)</w:t>
            </w:r>
            <w:r w:rsidRPr="0052084B">
              <w:rPr>
                <w:rFonts w:eastAsia="Times New Roman" w:cs="Arial"/>
                <w:lang w:eastAsia="cs-CZ"/>
              </w:rPr>
              <w:t xml:space="preserve">, které jsou určené na rekonstrukci nebo pořízení fixního </w:t>
            </w:r>
            <w:r w:rsidR="000270FE">
              <w:rPr>
                <w:rFonts w:eastAsia="Times New Roman" w:cs="Arial"/>
                <w:lang w:eastAsia="cs-CZ"/>
              </w:rPr>
              <w:t xml:space="preserve">(dlouhodobého) </w:t>
            </w:r>
            <w:r w:rsidRPr="0052084B">
              <w:rPr>
                <w:rFonts w:eastAsia="Times New Roman" w:cs="Arial"/>
                <w:lang w:eastAsia="cs-CZ"/>
              </w:rPr>
              <w:t>majetku.</w:t>
            </w:r>
          </w:p>
          <w:p w:rsidR="0043430B" w:rsidRPr="0052084B" w:rsidRDefault="0043430B">
            <w:pPr>
              <w:spacing w:after="0" w:line="240" w:lineRule="auto"/>
              <w:jc w:val="both"/>
              <w:rPr>
                <w:rFonts w:eastAsia="Times New Roman" w:cs="Arial"/>
                <w:lang w:eastAsia="cs-CZ"/>
              </w:rPr>
            </w:pPr>
            <w:r w:rsidRPr="00F70AED">
              <w:rPr>
                <w:rFonts w:eastAsia="Times New Roman" w:cs="Arial"/>
                <w:lang w:eastAsia="cs-CZ"/>
              </w:rPr>
              <w:t xml:space="preserve">Vládní instituce na danou položku zaznamená </w:t>
            </w:r>
            <w:r w:rsidR="00DD5FE5">
              <w:rPr>
                <w:rFonts w:eastAsia="Times New Roman" w:cs="Arial"/>
                <w:lang w:eastAsia="cs-CZ"/>
              </w:rPr>
              <w:t xml:space="preserve">také </w:t>
            </w:r>
            <w:r w:rsidRPr="00F70AED">
              <w:rPr>
                <w:rFonts w:eastAsia="Times New Roman" w:cs="Arial"/>
                <w:lang w:eastAsia="cs-CZ"/>
              </w:rPr>
              <w:t>náhrady za poškození majetku přija</w:t>
            </w:r>
            <w:r w:rsidR="00751FCF">
              <w:rPr>
                <w:rFonts w:eastAsia="Times New Roman" w:cs="Arial"/>
                <w:lang w:eastAsia="cs-CZ"/>
              </w:rPr>
              <w:t>té od jiné osoby</w:t>
            </w:r>
            <w:r w:rsidRPr="00F70AED">
              <w:rPr>
                <w:rFonts w:eastAsia="Times New Roman" w:cs="Arial"/>
                <w:lang w:eastAsia="cs-CZ"/>
              </w:rPr>
              <w:t xml:space="preserve"> než je pojišťovna.</w:t>
            </w:r>
          </w:p>
        </w:tc>
      </w:tr>
      <w:tr w:rsidR="009F1231" w:rsidRPr="001B70EE" w:rsidTr="00314C7F">
        <w:trPr>
          <w:trHeight w:val="334"/>
        </w:trPr>
        <w:tc>
          <w:tcPr>
            <w:tcW w:w="1291" w:type="dxa"/>
            <w:tcBorders>
              <w:top w:val="single" w:sz="4" w:space="0" w:color="auto"/>
              <w:left w:val="single" w:sz="4" w:space="0" w:color="auto"/>
              <w:right w:val="single" w:sz="4" w:space="0" w:color="000000"/>
            </w:tcBorders>
            <w:shd w:val="clear" w:color="auto" w:fill="auto"/>
            <w:noWrap/>
            <w:vAlign w:val="center"/>
          </w:tcPr>
          <w:p w:rsidR="009F1231" w:rsidRPr="0052084B" w:rsidRDefault="009F1231" w:rsidP="00C3149D">
            <w:pPr>
              <w:spacing w:after="0" w:line="240" w:lineRule="auto"/>
              <w:rPr>
                <w:rFonts w:eastAsia="Times New Roman" w:cs="Arial"/>
                <w:b/>
                <w:bCs/>
                <w:lang w:eastAsia="cs-CZ"/>
              </w:rPr>
            </w:pPr>
            <w:r>
              <w:rPr>
                <w:rFonts w:eastAsia="Times New Roman" w:cs="Arial"/>
                <w:b/>
                <w:bCs/>
                <w:lang w:eastAsia="cs-CZ"/>
              </w:rPr>
              <w:t>A.1.</w:t>
            </w:r>
            <w:r w:rsidR="000D60D2">
              <w:rPr>
                <w:rFonts w:eastAsia="Times New Roman" w:cs="Arial"/>
                <w:b/>
                <w:bCs/>
                <w:lang w:eastAsia="cs-CZ"/>
              </w:rPr>
              <w:t>VI.9.</w:t>
            </w:r>
          </w:p>
        </w:tc>
        <w:tc>
          <w:tcPr>
            <w:tcW w:w="12958" w:type="dxa"/>
            <w:tcBorders>
              <w:top w:val="single" w:sz="4" w:space="0" w:color="auto"/>
              <w:left w:val="nil"/>
              <w:right w:val="single" w:sz="4" w:space="0" w:color="000000"/>
            </w:tcBorders>
            <w:shd w:val="clear" w:color="auto" w:fill="auto"/>
            <w:vAlign w:val="center"/>
          </w:tcPr>
          <w:p w:rsidR="009F1231" w:rsidRPr="009F1231" w:rsidRDefault="009F1231" w:rsidP="001203D0">
            <w:pPr>
              <w:spacing w:after="0" w:line="240" w:lineRule="auto"/>
              <w:jc w:val="both"/>
              <w:rPr>
                <w:rFonts w:eastAsia="Times New Roman" w:cs="Arial"/>
                <w:b/>
                <w:lang w:eastAsia="cs-CZ"/>
              </w:rPr>
            </w:pPr>
            <w:r w:rsidRPr="009F1231">
              <w:rPr>
                <w:rFonts w:eastAsia="Times New Roman" w:cs="Arial"/>
                <w:b/>
                <w:lang w:eastAsia="cs-CZ"/>
              </w:rPr>
              <w:t>Ostatní příjmy</w:t>
            </w:r>
          </w:p>
        </w:tc>
      </w:tr>
      <w:tr w:rsidR="009F1231" w:rsidRPr="001B70EE" w:rsidTr="00A71CE6">
        <w:trPr>
          <w:trHeight w:val="797"/>
        </w:trPr>
        <w:tc>
          <w:tcPr>
            <w:tcW w:w="1291" w:type="dxa"/>
            <w:tcBorders>
              <w:left w:val="single" w:sz="4" w:space="0" w:color="auto"/>
              <w:bottom w:val="single" w:sz="4" w:space="0" w:color="auto"/>
              <w:right w:val="single" w:sz="4" w:space="0" w:color="000000"/>
            </w:tcBorders>
            <w:shd w:val="clear" w:color="auto" w:fill="auto"/>
            <w:noWrap/>
            <w:vAlign w:val="center"/>
          </w:tcPr>
          <w:p w:rsidR="009F1231" w:rsidRPr="0052084B" w:rsidRDefault="009F1231"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9F1231" w:rsidRPr="00CB2ECA" w:rsidRDefault="009F1231" w:rsidP="009F1231">
            <w:pPr>
              <w:spacing w:after="0" w:line="240" w:lineRule="auto"/>
              <w:jc w:val="both"/>
              <w:rPr>
                <w:rFonts w:eastAsia="Times New Roman" w:cs="Arial"/>
                <w:lang w:eastAsia="cs-CZ"/>
              </w:rPr>
            </w:pPr>
            <w:r>
              <w:rPr>
                <w:rFonts w:eastAsia="Times New Roman" w:cs="Arial"/>
                <w:lang w:eastAsia="cs-CZ"/>
              </w:rPr>
              <w:t>N</w:t>
            </w:r>
            <w:r w:rsidRPr="00CB2ECA">
              <w:rPr>
                <w:rFonts w:eastAsia="Times New Roman" w:cs="Arial"/>
                <w:lang w:eastAsia="cs-CZ"/>
              </w:rPr>
              <w:t xml:space="preserve">a této položce </w:t>
            </w:r>
            <w:r w:rsidR="001C1E8D">
              <w:rPr>
                <w:rFonts w:eastAsia="Times New Roman" w:cs="Arial"/>
                <w:lang w:eastAsia="cs-CZ"/>
              </w:rPr>
              <w:t>se eviduje</w:t>
            </w:r>
            <w:r w:rsidRPr="00CB2ECA">
              <w:rPr>
                <w:rFonts w:eastAsia="Times New Roman" w:cs="Arial"/>
                <w:lang w:eastAsia="cs-CZ"/>
              </w:rPr>
              <w:t xml:space="preserve"> </w:t>
            </w:r>
            <w:r w:rsidR="00843E46">
              <w:rPr>
                <w:rFonts w:eastAsia="Times New Roman" w:cs="Arial"/>
                <w:lang w:eastAsia="cs-CZ"/>
              </w:rPr>
              <w:t>zisk realizovaný z</w:t>
            </w:r>
            <w:r w:rsidR="0009565A">
              <w:rPr>
                <w:rFonts w:eastAsia="Times New Roman" w:cs="Arial"/>
                <w:lang w:eastAsia="cs-CZ"/>
              </w:rPr>
              <w:t> obchodů s</w:t>
            </w:r>
            <w:r w:rsidR="00843E46">
              <w:rPr>
                <w:rFonts w:eastAsia="Times New Roman" w:cs="Arial"/>
                <w:lang w:eastAsia="cs-CZ"/>
              </w:rPr>
              <w:t xml:space="preserve"> </w:t>
            </w:r>
            <w:r w:rsidR="0009565A">
              <w:rPr>
                <w:rFonts w:eastAsia="Times New Roman" w:cs="Arial"/>
                <w:lang w:eastAsia="cs-CZ"/>
              </w:rPr>
              <w:t>akciemi a jinými majetkovými podíly</w:t>
            </w:r>
            <w:r w:rsidR="00843E46">
              <w:rPr>
                <w:rFonts w:eastAsia="Times New Roman" w:cs="Arial"/>
                <w:lang w:eastAsia="cs-CZ"/>
              </w:rPr>
              <w:t xml:space="preserve">, </w:t>
            </w:r>
            <w:r w:rsidRPr="00CB2ECA">
              <w:rPr>
                <w:rFonts w:eastAsia="Times New Roman" w:cs="Arial"/>
                <w:lang w:eastAsia="cs-CZ"/>
              </w:rPr>
              <w:t>kurzové zisky z cizoměnových operací a účtů</w:t>
            </w:r>
            <w:r w:rsidR="00843E46">
              <w:rPr>
                <w:rFonts w:eastAsia="Times New Roman" w:cs="Arial"/>
                <w:lang w:eastAsia="cs-CZ"/>
              </w:rPr>
              <w:t>, stejně jako</w:t>
            </w:r>
            <w:r w:rsidRPr="00CB2ECA">
              <w:rPr>
                <w:rFonts w:eastAsia="Times New Roman" w:cs="Arial"/>
                <w:lang w:eastAsia="cs-CZ"/>
              </w:rPr>
              <w:t xml:space="preserve"> neúrokové příjmy z finančních derivátů (úrokové patří na A.1.IV.).</w:t>
            </w:r>
          </w:p>
          <w:p w:rsidR="009F1231" w:rsidRPr="0052084B" w:rsidRDefault="009F1231" w:rsidP="009F1231">
            <w:pPr>
              <w:spacing w:after="0" w:line="240" w:lineRule="auto"/>
              <w:jc w:val="both"/>
              <w:rPr>
                <w:rFonts w:eastAsia="Times New Roman" w:cs="Arial"/>
                <w:lang w:eastAsia="cs-CZ"/>
              </w:rPr>
            </w:pPr>
            <w:r w:rsidRPr="00CB2ECA">
              <w:rPr>
                <w:rFonts w:eastAsia="Times New Roman" w:cs="Arial"/>
                <w:lang w:eastAsia="cs-CZ"/>
              </w:rPr>
              <w:t xml:space="preserve">Zařadí se sem také </w:t>
            </w:r>
            <w:r>
              <w:rPr>
                <w:rFonts w:eastAsia="Times New Roman" w:cs="Arial"/>
                <w:lang w:eastAsia="cs-CZ"/>
              </w:rPr>
              <w:t xml:space="preserve">všechny </w:t>
            </w:r>
            <w:r w:rsidRPr="00CB2ECA">
              <w:rPr>
                <w:rFonts w:eastAsia="Times New Roman" w:cs="Arial"/>
                <w:lang w:eastAsia="cs-CZ"/>
              </w:rPr>
              <w:t>provozní příjmy, u kterých není dostatek informací, aby je bylo možno zařadit do jiné příjmové kategorie.</w:t>
            </w:r>
          </w:p>
        </w:tc>
      </w:tr>
      <w:tr w:rsidR="0043430B" w:rsidRPr="001B70EE" w:rsidTr="00314C7F">
        <w:trPr>
          <w:trHeight w:val="463"/>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1B70EE" w:rsidRDefault="0043430B" w:rsidP="00C3149D">
            <w:pPr>
              <w:spacing w:after="0" w:line="240" w:lineRule="auto"/>
              <w:rPr>
                <w:rFonts w:eastAsia="Times New Roman" w:cs="Arial"/>
                <w:b/>
                <w:bCs/>
                <w:sz w:val="24"/>
                <w:szCs w:val="24"/>
                <w:lang w:eastAsia="cs-CZ"/>
              </w:rPr>
            </w:pPr>
            <w:r w:rsidRPr="001B70EE">
              <w:rPr>
                <w:rFonts w:eastAsia="Times New Roman" w:cs="Arial"/>
                <w:b/>
                <w:bCs/>
                <w:sz w:val="24"/>
                <w:szCs w:val="24"/>
                <w:lang w:eastAsia="cs-CZ"/>
              </w:rPr>
              <w:t>A.2.</w:t>
            </w:r>
          </w:p>
        </w:tc>
        <w:tc>
          <w:tcPr>
            <w:tcW w:w="12958" w:type="dxa"/>
            <w:tcBorders>
              <w:left w:val="nil"/>
              <w:bottom w:val="single" w:sz="4" w:space="0" w:color="auto"/>
              <w:right w:val="single" w:sz="4" w:space="0" w:color="000000"/>
            </w:tcBorders>
            <w:shd w:val="clear" w:color="auto" w:fill="auto"/>
            <w:vAlign w:val="center"/>
          </w:tcPr>
          <w:p w:rsidR="0043430B" w:rsidRPr="001B70EE" w:rsidRDefault="0043430B" w:rsidP="00522316">
            <w:pPr>
              <w:pStyle w:val="Nadpis3"/>
              <w:rPr>
                <w:rFonts w:eastAsia="Times New Roman"/>
                <w:lang w:eastAsia="cs-CZ"/>
              </w:rPr>
            </w:pPr>
            <w:bookmarkStart w:id="13" w:name="_Toc483906422"/>
            <w:r w:rsidRPr="001B70EE">
              <w:rPr>
                <w:rFonts w:eastAsia="Times New Roman"/>
                <w:lang w:eastAsia="cs-CZ"/>
              </w:rPr>
              <w:t>VÝDAJE NA PROVOZNÍ ČINNOST</w:t>
            </w:r>
            <w:bookmarkEnd w:id="13"/>
          </w:p>
        </w:tc>
      </w:tr>
      <w:tr w:rsidR="0043430B" w:rsidRPr="001B70EE" w:rsidTr="00A71CE6">
        <w:trPr>
          <w:trHeight w:val="340"/>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A.2.V</w:t>
            </w:r>
            <w:r w:rsidR="00CD7A07">
              <w:rPr>
                <w:rFonts w:eastAsia="Times New Roman" w:cs="Arial"/>
                <w:b/>
                <w:bCs/>
                <w:lang w:eastAsia="cs-CZ"/>
              </w:rPr>
              <w:t>II</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Výdaje na náhrady zaměstnancům</w:t>
            </w:r>
          </w:p>
        </w:tc>
      </w:tr>
      <w:tr w:rsidR="0043430B" w:rsidRPr="001B70EE" w:rsidTr="00A71CE6">
        <w:trPr>
          <w:trHeight w:val="340"/>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lang w:eastAsia="cs-CZ"/>
              </w:rPr>
              <w:t>Položka obsahuje celkovou odměnu za vykonanou práci zaměstnance v pracovním poměru.</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A.2.V</w:t>
            </w:r>
            <w:r w:rsidR="00CD7A07">
              <w:rPr>
                <w:rFonts w:eastAsia="Times New Roman" w:cs="Arial"/>
                <w:b/>
                <w:bCs/>
                <w:lang w:eastAsia="cs-CZ"/>
              </w:rPr>
              <w:t>II</w:t>
            </w:r>
            <w:r w:rsidRPr="0052084B">
              <w:rPr>
                <w:rFonts w:eastAsia="Times New Roman" w:cs="Arial"/>
                <w:b/>
                <w:bCs/>
                <w:lang w:eastAsia="cs-CZ"/>
              </w:rPr>
              <w:t>.1.</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Mzdy a platy peněžní</w:t>
            </w:r>
          </w:p>
        </w:tc>
      </w:tr>
      <w:tr w:rsidR="0043430B" w:rsidRPr="001B70EE" w:rsidTr="00A71CE6">
        <w:trPr>
          <w:trHeight w:val="1750"/>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Položka zahrnuje platby zaměstnancům za provedenou práci, bez ohledu na to, zda byly vyplaceny přímo zaměstnanci nebo byly sraženy z jeho mzdy a odvedeny zaměstnavatelem na sociální a zdravotní pojištění, zálohu na daň z příjmů (popř. srážkovou daň z dohody o provedení práce) či jako jiné srážky ze mzdy (např. z důvodu exekuce, důchodového spoření atd.). V souhrnu se tedy jedná o objem hrubých mezd. Jednotlivé složky hrubé mzdy se zde promítn</w:t>
            </w:r>
            <w:r>
              <w:rPr>
                <w:rFonts w:eastAsia="Times New Roman" w:cs="Arial"/>
                <w:lang w:eastAsia="cs-CZ"/>
              </w:rPr>
              <w:t>ou v okamžiku jejich vyplacení.</w:t>
            </w:r>
          </w:p>
          <w:p w:rsidR="0043430B" w:rsidRPr="0052084B" w:rsidRDefault="0043430B" w:rsidP="001203D0">
            <w:pPr>
              <w:spacing w:after="0" w:line="240" w:lineRule="auto"/>
              <w:jc w:val="both"/>
              <w:rPr>
                <w:rFonts w:eastAsia="Times New Roman" w:cs="Arial"/>
                <w:lang w:eastAsia="cs-CZ"/>
              </w:rPr>
            </w:pPr>
            <w:r w:rsidRPr="0052084B">
              <w:rPr>
                <w:rFonts w:eastAsia="Times New Roman" w:cs="Arial"/>
                <w:lang w:eastAsia="cs-CZ"/>
              </w:rPr>
              <w:t>Nepatří sem platby placené dodavatelům nebo pracovníkům, kteří nejsou zaměstnanci vládních institucí</w:t>
            </w:r>
            <w:r>
              <w:rPr>
                <w:rFonts w:eastAsia="Times New Roman" w:cs="Arial"/>
                <w:lang w:eastAsia="cs-CZ"/>
              </w:rPr>
              <w:t xml:space="preserve">. Ty jsou považovány za výdaje na </w:t>
            </w:r>
            <w:r w:rsidRPr="0052084B">
              <w:rPr>
                <w:rFonts w:eastAsia="Times New Roman" w:cs="Arial"/>
                <w:lang w:eastAsia="cs-CZ"/>
              </w:rPr>
              <w:t>nákupy zboží a </w:t>
            </w:r>
            <w:r>
              <w:rPr>
                <w:rFonts w:eastAsia="Times New Roman" w:cs="Arial"/>
                <w:lang w:eastAsia="cs-CZ"/>
              </w:rPr>
              <w:t>služeb (A.2.VI</w:t>
            </w:r>
            <w:r w:rsidR="00937417">
              <w:rPr>
                <w:rFonts w:eastAsia="Times New Roman" w:cs="Arial"/>
                <w:lang w:eastAsia="cs-CZ"/>
              </w:rPr>
              <w:t>II</w:t>
            </w:r>
            <w:r>
              <w:rPr>
                <w:rFonts w:eastAsia="Times New Roman" w:cs="Arial"/>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lastRenderedPageBreak/>
              <w:t>A.2.V</w:t>
            </w:r>
            <w:r w:rsidR="00CD7A07">
              <w:rPr>
                <w:rFonts w:eastAsia="Times New Roman" w:cs="Arial"/>
                <w:b/>
                <w:bCs/>
                <w:lang w:eastAsia="cs-CZ"/>
              </w:rPr>
              <w:t>II</w:t>
            </w:r>
            <w:r w:rsidRPr="0052084B">
              <w:rPr>
                <w:rFonts w:eastAsia="Times New Roman" w:cs="Arial"/>
                <w:b/>
                <w:bCs/>
                <w:lang w:eastAsia="cs-CZ"/>
              </w:rPr>
              <w:t>.2.</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Zboží a služby poskytované zaměstnancům</w:t>
            </w:r>
          </w:p>
        </w:tc>
      </w:tr>
      <w:tr w:rsidR="0043430B" w:rsidRPr="001B70EE" w:rsidTr="00314C7F">
        <w:trPr>
          <w:trHeight w:val="860"/>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CE01E5">
            <w:pPr>
              <w:spacing w:after="0" w:line="240" w:lineRule="auto"/>
              <w:jc w:val="both"/>
              <w:rPr>
                <w:rFonts w:eastAsia="Times New Roman" w:cs="Arial"/>
                <w:lang w:eastAsia="cs-CZ"/>
              </w:rPr>
            </w:pPr>
            <w:r w:rsidRPr="0052084B">
              <w:rPr>
                <w:rFonts w:eastAsia="Times New Roman" w:cs="Arial"/>
                <w:lang w:eastAsia="cs-CZ"/>
              </w:rPr>
              <w:t>Položka zahrnuje výdaje spojené s nákupem uniforem, výdaje na ubytování a stravování zaměstnanců včetně nákupu stravenek atd. Do této kategorie j</w:t>
            </w:r>
            <w:r w:rsidR="00AC3F24">
              <w:rPr>
                <w:rFonts w:eastAsia="Times New Roman" w:cs="Arial"/>
                <w:lang w:eastAsia="cs-CZ"/>
              </w:rPr>
              <w:t>sou zahrnuty také příspěvky do F</w:t>
            </w:r>
            <w:r w:rsidRPr="0052084B">
              <w:rPr>
                <w:rFonts w:eastAsia="Times New Roman" w:cs="Arial"/>
                <w:lang w:eastAsia="cs-CZ"/>
              </w:rPr>
              <w:t>ondu kulturních a sociálních potřeb (tvorba FKSP</w:t>
            </w:r>
            <w:r>
              <w:rPr>
                <w:rFonts w:eastAsia="Times New Roman" w:cs="Arial"/>
                <w:lang w:eastAsia="cs-CZ"/>
              </w:rPr>
              <w:t xml:space="preserve">, pokud </w:t>
            </w:r>
            <w:r w:rsidR="001C1E8D">
              <w:rPr>
                <w:rFonts w:eastAsia="Times New Roman" w:cs="Arial"/>
                <w:lang w:eastAsia="cs-CZ"/>
              </w:rPr>
              <w:t>je tvořen</w:t>
            </w:r>
            <w:r w:rsidRPr="0052084B">
              <w:rPr>
                <w:rFonts w:eastAsia="Times New Roman" w:cs="Arial"/>
                <w:lang w:eastAsia="cs-CZ"/>
              </w:rPr>
              <w:t>). Převod na účet FKSP je považován za konečný výdaj a pohyby na tomto účtu se dále nesledují.</w:t>
            </w:r>
            <w:r w:rsidR="007E7C4C">
              <w:rPr>
                <w:rStyle w:val="Znakapoznpodarou"/>
                <w:rFonts w:eastAsia="Times New Roman" w:cs="Arial"/>
                <w:lang w:eastAsia="cs-CZ"/>
              </w:rPr>
              <w:footnoteReference w:id="9"/>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br w:type="page"/>
              <w:t>A.2.V</w:t>
            </w:r>
            <w:r w:rsidR="00CD7A07">
              <w:rPr>
                <w:rFonts w:eastAsia="Times New Roman" w:cs="Arial"/>
                <w:b/>
                <w:bCs/>
                <w:lang w:eastAsia="cs-CZ"/>
              </w:rPr>
              <w:t>II</w:t>
            </w:r>
            <w:r w:rsidRPr="0052084B">
              <w:rPr>
                <w:rFonts w:eastAsia="Times New Roman" w:cs="Arial"/>
                <w:b/>
                <w:bCs/>
                <w:lang w:eastAsia="cs-CZ"/>
              </w:rPr>
              <w:t>.3.</w:t>
            </w:r>
          </w:p>
        </w:tc>
        <w:tc>
          <w:tcPr>
            <w:tcW w:w="12958" w:type="dxa"/>
            <w:tcBorders>
              <w:top w:val="single" w:sz="4" w:space="0" w:color="auto"/>
              <w:left w:val="nil"/>
              <w:right w:val="single" w:sz="4" w:space="0" w:color="000000"/>
            </w:tcBorders>
            <w:shd w:val="clear" w:color="auto" w:fill="auto"/>
            <w:vAlign w:val="center"/>
          </w:tcPr>
          <w:p w:rsidR="0043430B" w:rsidRPr="0052084B" w:rsidRDefault="00361A0C" w:rsidP="001203D0">
            <w:pPr>
              <w:spacing w:after="0" w:line="240" w:lineRule="auto"/>
              <w:jc w:val="both"/>
              <w:rPr>
                <w:rFonts w:eastAsia="Times New Roman" w:cs="Arial"/>
                <w:b/>
                <w:lang w:eastAsia="cs-CZ"/>
              </w:rPr>
            </w:pPr>
            <w:r>
              <w:rPr>
                <w:rFonts w:eastAsia="Times New Roman" w:cs="Arial"/>
                <w:b/>
                <w:lang w:eastAsia="cs-CZ"/>
              </w:rPr>
              <w:t>P</w:t>
            </w:r>
            <w:r w:rsidR="0043430B" w:rsidRPr="0052084B">
              <w:rPr>
                <w:rFonts w:eastAsia="Times New Roman" w:cs="Arial"/>
                <w:b/>
                <w:lang w:eastAsia="cs-CZ"/>
              </w:rPr>
              <w:t>říspěvky zaměstnavatelů</w:t>
            </w:r>
            <w:r>
              <w:rPr>
                <w:rFonts w:eastAsia="Times New Roman" w:cs="Arial"/>
                <w:b/>
                <w:lang w:eastAsia="cs-CZ"/>
              </w:rPr>
              <w:t xml:space="preserve"> na sociální a zdravotní pojištění</w:t>
            </w:r>
          </w:p>
        </w:tc>
      </w:tr>
      <w:tr w:rsidR="0043430B" w:rsidRPr="001B70EE" w:rsidTr="00E32346">
        <w:trPr>
          <w:trHeight w:val="660"/>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361A0C">
            <w:pPr>
              <w:spacing w:after="0" w:line="240" w:lineRule="auto"/>
              <w:jc w:val="both"/>
              <w:rPr>
                <w:rFonts w:eastAsia="Times New Roman" w:cs="Arial"/>
                <w:lang w:eastAsia="cs-CZ"/>
              </w:rPr>
            </w:pPr>
            <w:r w:rsidRPr="0052084B">
              <w:rPr>
                <w:rFonts w:eastAsia="Times New Roman" w:cs="Arial"/>
                <w:lang w:eastAsia="cs-CZ"/>
              </w:rPr>
              <w:t xml:space="preserve">Položka zahrnuje platby sociálního a zdravotního pojištění placené zaměstnavatelem z úhrnu hrubých mezd. </w:t>
            </w:r>
            <w:r w:rsidR="00361A0C">
              <w:rPr>
                <w:rFonts w:eastAsia="Times New Roman" w:cs="Arial"/>
                <w:lang w:eastAsia="cs-CZ"/>
              </w:rPr>
              <w:t>P</w:t>
            </w:r>
            <w:r w:rsidRPr="0052084B">
              <w:rPr>
                <w:rFonts w:eastAsia="Times New Roman" w:cs="Arial"/>
                <w:lang w:eastAsia="cs-CZ"/>
              </w:rPr>
              <w:t>říspěvky</w:t>
            </w:r>
            <w:r w:rsidR="00361A0C">
              <w:rPr>
                <w:rFonts w:eastAsia="Times New Roman" w:cs="Arial"/>
                <w:lang w:eastAsia="cs-CZ"/>
              </w:rPr>
              <w:t xml:space="preserve"> na sociální a zdravotní pojištění</w:t>
            </w:r>
            <w:r w:rsidRPr="0052084B">
              <w:rPr>
                <w:rFonts w:eastAsia="Times New Roman" w:cs="Arial"/>
                <w:lang w:eastAsia="cs-CZ"/>
              </w:rPr>
              <w:t>, které jsou strhávány ze mzdy zaměstnanci, jsou součástí položky A.2.V</w:t>
            </w:r>
            <w:r w:rsidR="00937417">
              <w:rPr>
                <w:rFonts w:eastAsia="Times New Roman" w:cs="Arial"/>
                <w:lang w:eastAsia="cs-CZ"/>
              </w:rPr>
              <w:t>II</w:t>
            </w:r>
            <w:r w:rsidRPr="0052084B">
              <w:rPr>
                <w:rFonts w:eastAsia="Times New Roman" w:cs="Arial"/>
                <w:lang w:eastAsia="cs-CZ"/>
              </w:rPr>
              <w:t xml:space="preserve">.1. </w:t>
            </w:r>
          </w:p>
        </w:tc>
      </w:tr>
      <w:tr w:rsidR="0043430B" w:rsidRPr="001B70EE" w:rsidTr="00785E8E">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A.2.VI</w:t>
            </w:r>
            <w:r w:rsidR="00CD7A07">
              <w:rPr>
                <w:rFonts w:eastAsia="Times New Roman" w:cs="Arial"/>
                <w:b/>
                <w:bCs/>
                <w:lang w:eastAsia="cs-CZ"/>
              </w:rPr>
              <w:t>II</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Výdaje na nákupy zboží a služeb</w:t>
            </w:r>
          </w:p>
        </w:tc>
      </w:tr>
      <w:tr w:rsidR="0043430B" w:rsidRPr="001B70EE" w:rsidTr="00E32346">
        <w:trPr>
          <w:trHeight w:val="5099"/>
        </w:trPr>
        <w:tc>
          <w:tcPr>
            <w:tcW w:w="1291" w:type="dxa"/>
            <w:tcBorders>
              <w:left w:val="single" w:sz="4" w:space="0" w:color="auto"/>
              <w:bottom w:val="single" w:sz="4" w:space="0" w:color="000000"/>
              <w:right w:val="single" w:sz="4" w:space="0" w:color="000000"/>
            </w:tcBorders>
            <w:shd w:val="clear" w:color="auto" w:fill="auto"/>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000000"/>
              <w:right w:val="single" w:sz="4" w:space="0" w:color="auto"/>
            </w:tcBorders>
            <w:shd w:val="clear" w:color="auto" w:fill="auto"/>
            <w:vAlign w:val="center"/>
            <w:hideMark/>
          </w:tcPr>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Kategorie zahrnuje výdaje na nákupy zboží a služeb spotřebovávaných v procesu tržní i netržní produkce. Zaznamenává se hodnota zboží a</w:t>
            </w:r>
            <w:r w:rsidR="00C519BB">
              <w:rPr>
                <w:rFonts w:eastAsia="Times New Roman" w:cs="Arial"/>
                <w:lang w:eastAsia="cs-CZ"/>
              </w:rPr>
              <w:t> </w:t>
            </w:r>
            <w:r w:rsidRPr="0052084B">
              <w:rPr>
                <w:rFonts w:eastAsia="Times New Roman" w:cs="Arial"/>
                <w:lang w:eastAsia="cs-CZ"/>
              </w:rPr>
              <w:t>služeb, za které bylo v daném období zaplaceno bez ohledu na to, zda bylo ve stejné</w:t>
            </w:r>
            <w:r>
              <w:rPr>
                <w:rFonts w:eastAsia="Times New Roman" w:cs="Arial"/>
                <w:lang w:eastAsia="cs-CZ"/>
              </w:rPr>
              <w:t>m období současně spotřebováno.</w:t>
            </w:r>
          </w:p>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Na položku se zařazují zejména nákup materiálu, energií, služeb a ostatní n</w:t>
            </w:r>
            <w:r>
              <w:rPr>
                <w:rFonts w:eastAsia="Times New Roman" w:cs="Arial"/>
                <w:lang w:eastAsia="cs-CZ"/>
              </w:rPr>
              <w:t>einvestiční nákupy.</w:t>
            </w:r>
          </w:p>
          <w:p w:rsidR="0043430B" w:rsidRDefault="0043430B" w:rsidP="001203D0">
            <w:pPr>
              <w:spacing w:after="0" w:line="240" w:lineRule="auto"/>
              <w:jc w:val="both"/>
              <w:rPr>
                <w:rFonts w:eastAsia="Times New Roman" w:cs="Arial"/>
                <w:lang w:eastAsia="cs-CZ"/>
              </w:rPr>
            </w:pPr>
            <w:r>
              <w:rPr>
                <w:rFonts w:eastAsia="Times New Roman" w:cs="Arial"/>
                <w:lang w:eastAsia="cs-CZ"/>
              </w:rPr>
              <w:t xml:space="preserve">Patří </w:t>
            </w:r>
            <w:r w:rsidRPr="0052084B">
              <w:rPr>
                <w:rFonts w:eastAsia="Times New Roman" w:cs="Arial"/>
                <w:lang w:eastAsia="cs-CZ"/>
              </w:rPr>
              <w:t>sem také nákup cenin s výjimkou stravenek (ty se zařazují na položku A.2.V</w:t>
            </w:r>
            <w:r w:rsidR="00937417">
              <w:rPr>
                <w:rFonts w:eastAsia="Times New Roman" w:cs="Arial"/>
                <w:lang w:eastAsia="cs-CZ"/>
              </w:rPr>
              <w:t>II</w:t>
            </w:r>
            <w:r w:rsidRPr="0052084B">
              <w:rPr>
                <w:rFonts w:eastAsia="Times New Roman" w:cs="Arial"/>
                <w:lang w:eastAsia="cs-CZ"/>
              </w:rPr>
              <w:t>.2.) a poplatky související s obs</w:t>
            </w:r>
            <w:r>
              <w:rPr>
                <w:rFonts w:eastAsia="Times New Roman" w:cs="Arial"/>
                <w:lang w:eastAsia="cs-CZ"/>
              </w:rPr>
              <w:t>luhou dluhu vládních institucí.</w:t>
            </w:r>
          </w:p>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Za nákupy zboží a služeb se nepovažují nákupy fixních aktiv, cenností a nevyráběných aktiv, které jsou klasifikovány jako </w:t>
            </w:r>
            <w:r w:rsidR="00937417">
              <w:rPr>
                <w:rFonts w:eastAsia="Times New Roman" w:cs="Arial"/>
                <w:lang w:eastAsia="cs-CZ"/>
              </w:rPr>
              <w:t>n</w:t>
            </w:r>
            <w:r w:rsidRPr="0052084B">
              <w:rPr>
                <w:rFonts w:eastAsia="Times New Roman" w:cs="Arial"/>
                <w:lang w:eastAsia="cs-CZ"/>
              </w:rPr>
              <w:t>ákupy dlouhodobého hmotného a </w:t>
            </w:r>
            <w:r>
              <w:rPr>
                <w:rFonts w:eastAsia="Times New Roman" w:cs="Arial"/>
                <w:lang w:eastAsia="cs-CZ"/>
              </w:rPr>
              <w:t>nehmotného majetku (B.1.).</w:t>
            </w:r>
          </w:p>
          <w:p w:rsidR="0043430B" w:rsidRDefault="0043430B" w:rsidP="001203D0">
            <w:pPr>
              <w:spacing w:after="0" w:line="240" w:lineRule="auto"/>
              <w:jc w:val="both"/>
              <w:rPr>
                <w:rFonts w:eastAsia="Times New Roman" w:cs="Arial"/>
                <w:lang w:eastAsia="cs-CZ"/>
              </w:rPr>
            </w:pPr>
            <w:r>
              <w:rPr>
                <w:rFonts w:eastAsia="Times New Roman" w:cs="Arial"/>
                <w:lang w:eastAsia="cs-CZ"/>
              </w:rPr>
              <w:t>Výdaj za z</w:t>
            </w:r>
            <w:r w:rsidRPr="0052084B">
              <w:rPr>
                <w:rFonts w:eastAsia="Times New Roman" w:cs="Arial"/>
                <w:lang w:eastAsia="cs-CZ"/>
              </w:rPr>
              <w:t>boží nakoupené vládní jednotkou a následně bez jakékol</w:t>
            </w:r>
            <w:r w:rsidR="00BE3468">
              <w:rPr>
                <w:rFonts w:eastAsia="Times New Roman" w:cs="Arial"/>
                <w:lang w:eastAsia="cs-CZ"/>
              </w:rPr>
              <w:t>i přeměny převedené jiné osobě</w:t>
            </w:r>
            <w:r w:rsidRPr="0052084B">
              <w:rPr>
                <w:rFonts w:eastAsia="Times New Roman" w:cs="Arial"/>
                <w:lang w:eastAsia="cs-CZ"/>
              </w:rPr>
              <w:t xml:space="preserve"> je </w:t>
            </w:r>
            <w:r>
              <w:rPr>
                <w:rFonts w:eastAsia="Times New Roman" w:cs="Arial"/>
                <w:lang w:eastAsia="cs-CZ"/>
              </w:rPr>
              <w:t>klasifikován</w:t>
            </w:r>
            <w:r w:rsidRPr="0052084B">
              <w:rPr>
                <w:rFonts w:eastAsia="Times New Roman" w:cs="Arial"/>
                <w:lang w:eastAsia="cs-CZ"/>
              </w:rPr>
              <w:t xml:space="preserve"> jako transfer</w:t>
            </w:r>
            <w:r>
              <w:rPr>
                <w:rFonts w:eastAsia="Times New Roman" w:cs="Arial"/>
                <w:lang w:eastAsia="cs-CZ"/>
              </w:rPr>
              <w:t xml:space="preserve"> a</w:t>
            </w:r>
            <w:r w:rsidR="00C519BB">
              <w:rPr>
                <w:rFonts w:eastAsia="Times New Roman" w:cs="Arial"/>
                <w:lang w:eastAsia="cs-CZ"/>
              </w:rPr>
              <w:t> </w:t>
            </w:r>
            <w:r>
              <w:rPr>
                <w:rFonts w:eastAsia="Times New Roman" w:cs="Arial"/>
                <w:lang w:eastAsia="cs-CZ"/>
              </w:rPr>
              <w:t>v závislosti na tom, komu je určen, je zaznamenán na položce A.2.</w:t>
            </w:r>
            <w:r w:rsidR="00CF0B22">
              <w:rPr>
                <w:rFonts w:eastAsia="Times New Roman" w:cs="Arial"/>
                <w:lang w:eastAsia="cs-CZ"/>
              </w:rPr>
              <w:t>X</w:t>
            </w:r>
            <w:r w:rsidR="00751FCF">
              <w:rPr>
                <w:rFonts w:eastAsia="Times New Roman" w:cs="Arial"/>
                <w:lang w:eastAsia="cs-CZ"/>
              </w:rPr>
              <w:t>. (podnikatelská osoba</w:t>
            </w:r>
            <w:r>
              <w:rPr>
                <w:rFonts w:eastAsia="Times New Roman" w:cs="Arial"/>
                <w:lang w:eastAsia="cs-CZ"/>
              </w:rPr>
              <w:t xml:space="preserve"> mimo sektor vládních institucí), A.2.X</w:t>
            </w:r>
            <w:r w:rsidR="00CF0B22">
              <w:rPr>
                <w:rFonts w:eastAsia="Times New Roman" w:cs="Arial"/>
                <w:lang w:eastAsia="cs-CZ"/>
              </w:rPr>
              <w:t>I</w:t>
            </w:r>
            <w:r>
              <w:rPr>
                <w:rFonts w:eastAsia="Times New Roman" w:cs="Arial"/>
                <w:lang w:eastAsia="cs-CZ"/>
              </w:rPr>
              <w:t>.1. (zahraniční vláda), A.2.X</w:t>
            </w:r>
            <w:r w:rsidR="00CF0B22">
              <w:rPr>
                <w:rFonts w:eastAsia="Times New Roman" w:cs="Arial"/>
                <w:lang w:eastAsia="cs-CZ"/>
              </w:rPr>
              <w:t>I</w:t>
            </w:r>
            <w:r>
              <w:rPr>
                <w:rFonts w:eastAsia="Times New Roman" w:cs="Arial"/>
                <w:lang w:eastAsia="cs-CZ"/>
              </w:rPr>
              <w:t>.3. (mezinárodní organizace), A.2.X</w:t>
            </w:r>
            <w:r w:rsidR="00CF0B22">
              <w:rPr>
                <w:rFonts w:eastAsia="Times New Roman" w:cs="Arial"/>
                <w:lang w:eastAsia="cs-CZ"/>
              </w:rPr>
              <w:t>I</w:t>
            </w:r>
            <w:r>
              <w:rPr>
                <w:rFonts w:eastAsia="Times New Roman" w:cs="Arial"/>
                <w:lang w:eastAsia="cs-CZ"/>
              </w:rPr>
              <w:t>.5. (</w:t>
            </w:r>
            <w:r w:rsidR="00CF0B22">
              <w:rPr>
                <w:rFonts w:eastAsia="Times New Roman" w:cs="Arial"/>
                <w:lang w:eastAsia="cs-CZ"/>
              </w:rPr>
              <w:t>ústřední</w:t>
            </w:r>
            <w:r>
              <w:rPr>
                <w:rFonts w:eastAsia="Times New Roman" w:cs="Arial"/>
                <w:lang w:eastAsia="cs-CZ"/>
              </w:rPr>
              <w:t xml:space="preserve"> vládní instituce)</w:t>
            </w:r>
            <w:r w:rsidR="00CF0B22">
              <w:rPr>
                <w:rFonts w:eastAsia="Times New Roman" w:cs="Arial"/>
                <w:lang w:eastAsia="cs-CZ"/>
              </w:rPr>
              <w:t>, A.2.XI.7. (vládní instituce jiná než ústřední)</w:t>
            </w:r>
            <w:r>
              <w:rPr>
                <w:rFonts w:eastAsia="Times New Roman" w:cs="Arial"/>
                <w:lang w:eastAsia="cs-CZ"/>
              </w:rPr>
              <w:t xml:space="preserve">, </w:t>
            </w:r>
            <w:r w:rsidRPr="0052084B">
              <w:rPr>
                <w:rFonts w:eastAsia="Times New Roman" w:cs="Arial"/>
                <w:lang w:eastAsia="cs-CZ"/>
              </w:rPr>
              <w:t xml:space="preserve"> </w:t>
            </w:r>
            <w:r>
              <w:rPr>
                <w:rFonts w:eastAsia="Times New Roman" w:cs="Arial"/>
                <w:lang w:eastAsia="cs-CZ"/>
              </w:rPr>
              <w:t>A.2.X</w:t>
            </w:r>
            <w:r w:rsidR="00CF0B22">
              <w:rPr>
                <w:rFonts w:eastAsia="Times New Roman" w:cs="Arial"/>
                <w:lang w:eastAsia="cs-CZ"/>
              </w:rPr>
              <w:t>II</w:t>
            </w:r>
            <w:r>
              <w:rPr>
                <w:rFonts w:eastAsia="Times New Roman" w:cs="Arial"/>
                <w:lang w:eastAsia="cs-CZ"/>
              </w:rPr>
              <w:t xml:space="preserve">. (domácnost), popř. </w:t>
            </w:r>
            <w:r w:rsidR="00CF0B22">
              <w:rPr>
                <w:rFonts w:eastAsia="Times New Roman" w:cs="Arial"/>
                <w:lang w:eastAsia="cs-CZ"/>
              </w:rPr>
              <w:t>transfer jinde nezařazený (A.2.XIV.3.)</w:t>
            </w:r>
            <w:r>
              <w:rPr>
                <w:rFonts w:eastAsia="Times New Roman" w:cs="Arial"/>
                <w:lang w:eastAsia="cs-CZ"/>
              </w:rPr>
              <w:t>.</w:t>
            </w:r>
          </w:p>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Položka zahrnuje také zboží a služby nakoupené vládní jednotkou jako vstupy k výrobě netržního zboží a služeb poskytovaných jako sociální dávky nebo jako pomoc při konkrétní události (např. přírodní katastrofa apod.); pokud tyto výstupy nebyly vytvořeny přímo poskytující vládní jednotkou, klasifikují s</w:t>
            </w:r>
            <w:r>
              <w:rPr>
                <w:rFonts w:eastAsia="Times New Roman" w:cs="Arial"/>
                <w:lang w:eastAsia="cs-CZ"/>
              </w:rPr>
              <w:t>e jako sociální dávky (A.2.X</w:t>
            </w:r>
            <w:r w:rsidR="00B7254C">
              <w:rPr>
                <w:rFonts w:eastAsia="Times New Roman" w:cs="Arial"/>
                <w:lang w:eastAsia="cs-CZ"/>
              </w:rPr>
              <w:t>II</w:t>
            </w:r>
            <w:r>
              <w:rPr>
                <w:rFonts w:eastAsia="Times New Roman" w:cs="Arial"/>
                <w:lang w:eastAsia="cs-CZ"/>
              </w:rPr>
              <w:t>.).</w:t>
            </w:r>
          </w:p>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Zboží a služby nakoupené za účelem použití při údržbě či opravě fixních aktiv </w:t>
            </w:r>
            <w:r w:rsidR="00675998">
              <w:rPr>
                <w:rFonts w:eastAsia="Times New Roman" w:cs="Arial"/>
                <w:lang w:eastAsia="cs-CZ"/>
              </w:rPr>
              <w:t xml:space="preserve">(dlouhodobého majetku) </w:t>
            </w:r>
            <w:r w:rsidRPr="0052084B">
              <w:rPr>
                <w:rFonts w:eastAsia="Times New Roman" w:cs="Arial"/>
                <w:lang w:eastAsia="cs-CZ"/>
              </w:rPr>
              <w:t xml:space="preserve">se zahrnují na tuto položku s výjimkou rozsáhlých renovací, rekonstrukcí a rozšíření stávajících aktiv, které se klasifikují jako </w:t>
            </w:r>
            <w:r w:rsidR="00B7254C">
              <w:rPr>
                <w:rFonts w:eastAsia="Times New Roman" w:cs="Arial"/>
                <w:lang w:eastAsia="cs-CZ"/>
              </w:rPr>
              <w:t>n</w:t>
            </w:r>
            <w:r w:rsidRPr="0052084B">
              <w:rPr>
                <w:rFonts w:eastAsia="Times New Roman" w:cs="Arial"/>
                <w:lang w:eastAsia="cs-CZ"/>
              </w:rPr>
              <w:t>ákupy dlouhodobého hmotného a </w:t>
            </w:r>
            <w:r>
              <w:rPr>
                <w:rFonts w:eastAsia="Times New Roman" w:cs="Arial"/>
                <w:lang w:eastAsia="cs-CZ"/>
              </w:rPr>
              <w:t>nehmotného majetku (B.1.).</w:t>
            </w:r>
          </w:p>
          <w:p w:rsidR="00785E8E" w:rsidRDefault="00785E8E" w:rsidP="00785E8E">
            <w:pPr>
              <w:spacing w:after="0" w:line="240" w:lineRule="auto"/>
              <w:jc w:val="both"/>
              <w:rPr>
                <w:rFonts w:eastAsia="Times New Roman" w:cs="Arial"/>
                <w:lang w:eastAsia="cs-CZ"/>
              </w:rPr>
            </w:pPr>
            <w:r w:rsidRPr="0052084B">
              <w:rPr>
                <w:rFonts w:eastAsia="Times New Roman" w:cs="Arial"/>
                <w:lang w:eastAsia="cs-CZ"/>
              </w:rPr>
              <w:t xml:space="preserve">Na položku též patří zboží a služby pořízené </w:t>
            </w:r>
            <w:r>
              <w:rPr>
                <w:rFonts w:eastAsia="Times New Roman" w:cs="Arial"/>
                <w:lang w:eastAsia="cs-CZ"/>
              </w:rPr>
              <w:t>pro výzkum, vývoj a vzdělávání.</w:t>
            </w:r>
          </w:p>
          <w:p w:rsidR="0043430B" w:rsidRPr="0052084B" w:rsidRDefault="00785E8E" w:rsidP="00785E8E">
            <w:pPr>
              <w:spacing w:after="0" w:line="240" w:lineRule="auto"/>
              <w:jc w:val="both"/>
              <w:rPr>
                <w:rFonts w:eastAsia="Times New Roman" w:cs="Arial"/>
                <w:lang w:eastAsia="cs-CZ"/>
              </w:rPr>
            </w:pPr>
            <w:r w:rsidRPr="0052084B">
              <w:rPr>
                <w:rFonts w:eastAsia="Times New Roman" w:cs="Arial"/>
                <w:lang w:eastAsia="cs-CZ"/>
              </w:rPr>
              <w:t>V závislosti na způsobu užití se sem zařazují také výdaje na zboží a služby spotřebované zaměstnanci, a to v případě, že se jedná o pomůcky, zařízení, nástroje apod. určené přímo k výkonu povolání. V případě, že mohou být tyto prostředky spotřebovávány zaměstnancem i mimo práci a dle jeho vlastního uvážení, jedná se o náhrady zaměstnancům (A.2.V</w:t>
            </w:r>
            <w:r>
              <w:rPr>
                <w:rFonts w:eastAsia="Times New Roman" w:cs="Arial"/>
                <w:lang w:eastAsia="cs-CZ"/>
              </w:rPr>
              <w:t>II</w:t>
            </w:r>
            <w:r w:rsidRPr="0052084B">
              <w:rPr>
                <w:rFonts w:eastAsia="Times New Roman" w:cs="Arial"/>
                <w:lang w:eastAsia="cs-CZ"/>
              </w:rPr>
              <w:t>.2.).</w:t>
            </w:r>
          </w:p>
        </w:tc>
      </w:tr>
      <w:tr w:rsidR="00785E8E" w:rsidRPr="001B70EE" w:rsidTr="00E32346">
        <w:trPr>
          <w:trHeight w:val="837"/>
        </w:trPr>
        <w:tc>
          <w:tcPr>
            <w:tcW w:w="1291" w:type="dxa"/>
            <w:tcBorders>
              <w:top w:val="single" w:sz="4" w:space="0" w:color="000000"/>
              <w:left w:val="single" w:sz="4" w:space="0" w:color="auto"/>
              <w:bottom w:val="single" w:sz="4" w:space="0" w:color="auto"/>
              <w:right w:val="single" w:sz="4" w:space="0" w:color="000000"/>
            </w:tcBorders>
            <w:shd w:val="clear" w:color="auto" w:fill="auto"/>
            <w:vAlign w:val="center"/>
          </w:tcPr>
          <w:p w:rsidR="00785E8E" w:rsidRPr="0052084B" w:rsidRDefault="00785E8E" w:rsidP="00C3149D">
            <w:pPr>
              <w:spacing w:after="0" w:line="240" w:lineRule="auto"/>
              <w:rPr>
                <w:rFonts w:eastAsia="Times New Roman" w:cs="Arial"/>
                <w:b/>
                <w:bCs/>
                <w:lang w:eastAsia="cs-CZ"/>
              </w:rPr>
            </w:pPr>
          </w:p>
        </w:tc>
        <w:tc>
          <w:tcPr>
            <w:tcW w:w="12958" w:type="dxa"/>
            <w:tcBorders>
              <w:top w:val="single" w:sz="4" w:space="0" w:color="000000"/>
              <w:left w:val="nil"/>
              <w:bottom w:val="single" w:sz="4" w:space="0" w:color="auto"/>
              <w:right w:val="single" w:sz="4" w:space="0" w:color="auto"/>
            </w:tcBorders>
            <w:shd w:val="clear" w:color="auto" w:fill="auto"/>
            <w:vAlign w:val="center"/>
          </w:tcPr>
          <w:p w:rsidR="00785E8E" w:rsidRDefault="00785E8E" w:rsidP="00785E8E">
            <w:pPr>
              <w:spacing w:after="0" w:line="240" w:lineRule="auto"/>
              <w:jc w:val="both"/>
              <w:rPr>
                <w:rFonts w:eastAsia="Times New Roman" w:cs="Arial"/>
                <w:lang w:eastAsia="cs-CZ"/>
              </w:rPr>
            </w:pPr>
            <w:r w:rsidRPr="0052084B">
              <w:rPr>
                <w:rFonts w:eastAsia="Times New Roman" w:cs="Arial"/>
                <w:lang w:eastAsia="cs-CZ"/>
              </w:rPr>
              <w:t>Dále položka zahrnuje odměny za užití duševního vlast</w:t>
            </w:r>
            <w:r>
              <w:rPr>
                <w:rFonts w:eastAsia="Times New Roman" w:cs="Arial"/>
                <w:lang w:eastAsia="cs-CZ"/>
              </w:rPr>
              <w:t>nictví podle autorského zákona.</w:t>
            </w:r>
            <w:r>
              <w:rPr>
                <w:rStyle w:val="Znakapoznpodarou"/>
                <w:rFonts w:eastAsia="Times New Roman" w:cs="Arial"/>
                <w:lang w:eastAsia="cs-CZ"/>
              </w:rPr>
              <w:footnoteReference w:id="10"/>
            </w:r>
          </w:p>
          <w:p w:rsidR="00785E8E" w:rsidRPr="0052084B" w:rsidRDefault="00785E8E" w:rsidP="00785E8E">
            <w:pPr>
              <w:spacing w:after="0" w:line="240" w:lineRule="auto"/>
              <w:jc w:val="both"/>
              <w:rPr>
                <w:rFonts w:eastAsia="Times New Roman" w:cs="Arial"/>
                <w:lang w:eastAsia="cs-CZ"/>
              </w:rPr>
            </w:pPr>
            <w:r w:rsidRPr="0052084B">
              <w:rPr>
                <w:rFonts w:eastAsia="Times New Roman" w:cs="Arial"/>
                <w:lang w:eastAsia="cs-CZ"/>
              </w:rPr>
              <w:t>V neposlední řadě se jako platba za službu považuje operativní pronájem hmotných aktiv, zejména budov, dopravních prostředků a strojů</w:t>
            </w:r>
            <w:r>
              <w:rPr>
                <w:rFonts w:eastAsia="Times New Roman" w:cs="Arial"/>
                <w:lang w:eastAsia="cs-CZ"/>
              </w:rPr>
              <w:t>.</w:t>
            </w:r>
            <w:r w:rsidRPr="0052084B">
              <w:rPr>
                <w:rFonts w:eastAsia="Times New Roman" w:cs="Arial"/>
                <w:lang w:eastAsia="cs-CZ"/>
              </w:rPr>
              <w:t xml:space="preserve"> </w:t>
            </w:r>
            <w:r>
              <w:rPr>
                <w:rFonts w:eastAsia="Times New Roman" w:cs="Arial"/>
                <w:lang w:eastAsia="cs-CZ"/>
              </w:rPr>
              <w:t>N</w:t>
            </w:r>
            <w:r w:rsidRPr="0052084B">
              <w:rPr>
                <w:rFonts w:eastAsia="Times New Roman" w:cs="Arial"/>
                <w:lang w:eastAsia="cs-CZ"/>
              </w:rPr>
              <w:t>aproti tomu platba za pronájem nevyráběných aktiv (půda) s</w:t>
            </w:r>
            <w:r>
              <w:rPr>
                <w:rFonts w:eastAsia="Times New Roman" w:cs="Arial"/>
                <w:lang w:eastAsia="cs-CZ"/>
              </w:rPr>
              <w:t>e klasifikuje na položce</w:t>
            </w:r>
            <w:r w:rsidRPr="0052084B">
              <w:rPr>
                <w:rFonts w:eastAsia="Times New Roman" w:cs="Arial"/>
                <w:lang w:eastAsia="cs-CZ"/>
              </w:rPr>
              <w:t xml:space="preserve"> (A.2.</w:t>
            </w:r>
            <w:r>
              <w:rPr>
                <w:rFonts w:eastAsia="Times New Roman" w:cs="Arial"/>
                <w:lang w:eastAsia="cs-CZ"/>
              </w:rPr>
              <w:t>XIV</w:t>
            </w:r>
            <w:r w:rsidRPr="0052084B">
              <w:rPr>
                <w:rFonts w:eastAsia="Times New Roman" w:cs="Arial"/>
                <w:lang w:eastAsia="cs-CZ"/>
              </w:rPr>
              <w:t>.2.).</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w:t>
            </w:r>
            <w:r w:rsidR="00CD7A07">
              <w:rPr>
                <w:rFonts w:eastAsia="Times New Roman" w:cs="Arial"/>
                <w:b/>
                <w:bCs/>
                <w:lang w:eastAsia="cs-CZ"/>
              </w:rPr>
              <w:t>IX</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Výdaje na úroky</w:t>
            </w:r>
          </w:p>
        </w:tc>
      </w:tr>
      <w:tr w:rsidR="0043430B" w:rsidRPr="001B70EE" w:rsidTr="00A71CE6">
        <w:trPr>
          <w:trHeight w:val="645"/>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561355"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Kategorie zahrnuje úroky hrazené z cizích </w:t>
            </w:r>
            <w:r>
              <w:rPr>
                <w:rFonts w:eastAsia="Times New Roman" w:cs="Arial"/>
                <w:lang w:eastAsia="cs-CZ"/>
              </w:rPr>
              <w:t xml:space="preserve">finančních </w:t>
            </w:r>
            <w:r w:rsidRPr="0052084B">
              <w:rPr>
                <w:rFonts w:eastAsia="Times New Roman" w:cs="Arial"/>
                <w:lang w:eastAsia="cs-CZ"/>
              </w:rPr>
              <w:t xml:space="preserve">prostředků, </w:t>
            </w:r>
            <w:r>
              <w:rPr>
                <w:rFonts w:eastAsia="Times New Roman" w:cs="Arial"/>
                <w:lang w:eastAsia="cs-CZ"/>
              </w:rPr>
              <w:t>které si vládní instituce vypůjčila formou emise vlastních dluhových cenných papírů, ve formě půjčky, úvěru či jiného závazku.</w:t>
            </w:r>
            <w:r w:rsidR="000F6667">
              <w:rPr>
                <w:rFonts w:eastAsia="Times New Roman" w:cs="Arial"/>
                <w:lang w:eastAsia="cs-CZ"/>
              </w:rPr>
              <w:t xml:space="preserve"> Úroky se rozumí i úroky placené z přijatých vkladů.</w:t>
            </w:r>
          </w:p>
          <w:p w:rsidR="00E02865" w:rsidRDefault="00561355" w:rsidP="001203D0">
            <w:pPr>
              <w:spacing w:after="0" w:line="240" w:lineRule="auto"/>
              <w:jc w:val="both"/>
              <w:rPr>
                <w:rFonts w:eastAsia="Times New Roman" w:cs="Arial"/>
                <w:color w:val="000000"/>
                <w:lang w:eastAsia="cs-CZ"/>
              </w:rPr>
            </w:pPr>
            <w:r>
              <w:rPr>
                <w:rFonts w:eastAsia="Times New Roman" w:cs="Arial"/>
                <w:lang w:eastAsia="cs-CZ"/>
              </w:rPr>
              <w:t xml:space="preserve">V případě emise dluhopisu s diskontem </w:t>
            </w:r>
            <w:r>
              <w:rPr>
                <w:rFonts w:eastAsia="Times New Roman" w:cs="Arial"/>
                <w:color w:val="000000"/>
                <w:lang w:eastAsia="cs-CZ"/>
              </w:rPr>
              <w:t xml:space="preserve">(emisní kurz je nižší než nominální hodnota) je tento diskont zaznamenán jako výdajový úrok při splatnosti dluhopisu. Naopak, pokud je emisní kurz vyšší než nominální </w:t>
            </w:r>
            <w:r w:rsidR="00AA6ED1">
              <w:rPr>
                <w:rFonts w:eastAsia="Times New Roman" w:cs="Arial"/>
                <w:color w:val="000000"/>
                <w:lang w:eastAsia="cs-CZ"/>
              </w:rPr>
              <w:t>hodnota dluhopisu, získá emitent</w:t>
            </w:r>
            <w:r>
              <w:rPr>
                <w:rFonts w:eastAsia="Times New Roman" w:cs="Arial"/>
                <w:color w:val="000000"/>
                <w:lang w:eastAsia="cs-CZ"/>
              </w:rPr>
              <w:t xml:space="preserve"> prémii ve výši rozdílu těchto dvou hodnot. T</w:t>
            </w:r>
            <w:r w:rsidR="00211D85">
              <w:rPr>
                <w:rFonts w:eastAsia="Times New Roman" w:cs="Arial"/>
                <w:color w:val="000000"/>
                <w:lang w:eastAsia="cs-CZ"/>
              </w:rPr>
              <w:t>u zachytí</w:t>
            </w:r>
            <w:r>
              <w:rPr>
                <w:rFonts w:eastAsia="Times New Roman" w:cs="Arial"/>
                <w:color w:val="000000"/>
                <w:lang w:eastAsia="cs-CZ"/>
              </w:rPr>
              <w:t xml:space="preserve"> již v okamžiku </w:t>
            </w:r>
            <w:r w:rsidR="00B7254C">
              <w:rPr>
                <w:rFonts w:eastAsia="Times New Roman" w:cs="Arial"/>
                <w:color w:val="000000"/>
                <w:lang w:eastAsia="cs-CZ"/>
              </w:rPr>
              <w:t>prodeje</w:t>
            </w:r>
            <w:r>
              <w:rPr>
                <w:rFonts w:eastAsia="Times New Roman" w:cs="Arial"/>
                <w:color w:val="000000"/>
                <w:lang w:eastAsia="cs-CZ"/>
              </w:rPr>
              <w:t xml:space="preserve"> takového cenného papíru jako záporný výdajový úrok. </w:t>
            </w:r>
            <w:r w:rsidR="003567D2">
              <w:rPr>
                <w:rFonts w:eastAsia="Times New Roman" w:cs="Arial"/>
                <w:color w:val="000000"/>
                <w:lang w:eastAsia="cs-CZ"/>
              </w:rPr>
              <w:t>Za úrokový výdaj jsou považovány také vyplacené kuponové platby z vlastních dluhopisů.</w:t>
            </w:r>
          </w:p>
          <w:p w:rsidR="0043430B" w:rsidRDefault="002E4CD7" w:rsidP="001203D0">
            <w:pPr>
              <w:spacing w:after="0" w:line="240" w:lineRule="auto"/>
              <w:jc w:val="both"/>
              <w:rPr>
                <w:rFonts w:eastAsia="Times New Roman" w:cs="Arial"/>
                <w:lang w:eastAsia="cs-CZ"/>
              </w:rPr>
            </w:pPr>
            <w:r>
              <w:rPr>
                <w:rFonts w:eastAsia="Times New Roman" w:cs="Arial"/>
                <w:color w:val="000000"/>
                <w:lang w:eastAsia="cs-CZ"/>
              </w:rPr>
              <w:t>Vzhledem k tomu, že prodej finančního aktiva na základě smlouvy o zpětném nákupu (repo operace) je považován za přijatý úvěr, úrokové platby z</w:t>
            </w:r>
            <w:r w:rsidR="007A0B87">
              <w:rPr>
                <w:rFonts w:eastAsia="Times New Roman" w:cs="Arial"/>
                <w:color w:val="000000"/>
                <w:lang w:eastAsia="cs-CZ"/>
              </w:rPr>
              <w:t> dané operace</w:t>
            </w:r>
            <w:r>
              <w:rPr>
                <w:rFonts w:eastAsia="Times New Roman" w:cs="Arial"/>
                <w:color w:val="000000"/>
                <w:lang w:eastAsia="cs-CZ"/>
              </w:rPr>
              <w:t xml:space="preserve"> </w:t>
            </w:r>
            <w:r w:rsidR="00FD5A31">
              <w:rPr>
                <w:rFonts w:eastAsia="Times New Roman" w:cs="Arial"/>
                <w:color w:val="000000"/>
                <w:lang w:eastAsia="cs-CZ"/>
              </w:rPr>
              <w:t>patří na tuto položku.</w:t>
            </w:r>
          </w:p>
          <w:p w:rsidR="00786D17" w:rsidRDefault="00786D17" w:rsidP="001203D0">
            <w:pPr>
              <w:spacing w:after="0" w:line="240" w:lineRule="auto"/>
              <w:jc w:val="both"/>
              <w:rPr>
                <w:rFonts w:eastAsia="Times New Roman" w:cs="Arial"/>
                <w:lang w:eastAsia="cs-CZ"/>
              </w:rPr>
            </w:pPr>
            <w:r>
              <w:rPr>
                <w:rFonts w:eastAsia="Times New Roman" w:cs="Arial"/>
                <w:lang w:eastAsia="cs-CZ"/>
              </w:rPr>
              <w:t>Na této položce jsou dále zaznamenávány úrokové výdaje plynoucí z finančních derivátů.</w:t>
            </w:r>
          </w:p>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Případné poplatky za služby finančním zprostředkovatelům se zahrnují na položku nákupy zboží a služeb (A.2.V</w:t>
            </w:r>
            <w:r w:rsidR="003567D2">
              <w:rPr>
                <w:rFonts w:eastAsia="Times New Roman" w:cs="Arial"/>
                <w:lang w:eastAsia="cs-CZ"/>
              </w:rPr>
              <w:t>II</w:t>
            </w:r>
            <w:r w:rsidRPr="0052084B">
              <w:rPr>
                <w:rFonts w:eastAsia="Times New Roman" w:cs="Arial"/>
                <w:lang w:eastAsia="cs-CZ"/>
              </w:rPr>
              <w:t>I.).</w:t>
            </w:r>
          </w:p>
          <w:p w:rsidR="00CD7A07" w:rsidRPr="00987E5B" w:rsidRDefault="00CD7A07" w:rsidP="00CD7A07">
            <w:pPr>
              <w:spacing w:after="0" w:line="240" w:lineRule="auto"/>
              <w:jc w:val="both"/>
              <w:rPr>
                <w:rFonts w:eastAsia="Times New Roman" w:cs="Arial"/>
                <w:lang w:eastAsia="cs-CZ"/>
              </w:rPr>
            </w:pPr>
            <w:r w:rsidRPr="00987E5B">
              <w:rPr>
                <w:rFonts w:eastAsia="Times New Roman" w:cs="Arial"/>
                <w:lang w:eastAsia="cs-CZ"/>
              </w:rPr>
              <w:t>Podrobnější členění úroků podle protistrany pro potřeby konsolidace:</w:t>
            </w:r>
          </w:p>
          <w:p w:rsidR="00CD7A07" w:rsidRPr="00987E5B" w:rsidRDefault="00CD7A07" w:rsidP="00CD7A07">
            <w:pPr>
              <w:pStyle w:val="Odstavecseseznamem"/>
              <w:numPr>
                <w:ilvl w:val="0"/>
                <w:numId w:val="3"/>
              </w:numPr>
              <w:spacing w:after="0" w:line="240" w:lineRule="auto"/>
              <w:jc w:val="both"/>
              <w:rPr>
                <w:rFonts w:eastAsia="Times New Roman" w:cs="Arial"/>
                <w:b/>
                <w:lang w:eastAsia="cs-CZ"/>
              </w:rPr>
            </w:pPr>
            <w:r w:rsidRPr="00987E5B">
              <w:rPr>
                <w:rFonts w:eastAsia="Times New Roman" w:cs="Arial"/>
                <w:b/>
                <w:lang w:eastAsia="cs-CZ"/>
              </w:rPr>
              <w:t>A.</w:t>
            </w:r>
            <w:r w:rsidR="003567D2">
              <w:rPr>
                <w:rFonts w:eastAsia="Times New Roman" w:cs="Arial"/>
                <w:b/>
                <w:lang w:eastAsia="cs-CZ"/>
              </w:rPr>
              <w:t>2.IX</w:t>
            </w:r>
            <w:r w:rsidRPr="00987E5B">
              <w:rPr>
                <w:rFonts w:eastAsia="Times New Roman" w:cs="Arial"/>
                <w:b/>
                <w:lang w:eastAsia="cs-CZ"/>
              </w:rPr>
              <w:t xml:space="preserve">.1. </w:t>
            </w:r>
            <w:r>
              <w:rPr>
                <w:rFonts w:eastAsia="Times New Roman" w:cs="Arial"/>
                <w:b/>
                <w:lang w:eastAsia="cs-CZ"/>
              </w:rPr>
              <w:t>Úroky ústředním vládním</w:t>
            </w:r>
            <w:r w:rsidRPr="00987E5B">
              <w:rPr>
                <w:rFonts w:eastAsia="Times New Roman" w:cs="Arial"/>
                <w:b/>
                <w:lang w:eastAsia="cs-CZ"/>
              </w:rPr>
              <w:t xml:space="preserve"> institucí</w:t>
            </w:r>
            <w:r>
              <w:rPr>
                <w:rFonts w:eastAsia="Times New Roman" w:cs="Arial"/>
                <w:b/>
                <w:lang w:eastAsia="cs-CZ"/>
              </w:rPr>
              <w:t>m</w:t>
            </w:r>
            <w:r w:rsidRPr="00987E5B">
              <w:rPr>
                <w:rFonts w:eastAsia="Times New Roman" w:cs="Arial"/>
                <w:lang w:eastAsia="cs-CZ"/>
              </w:rPr>
              <w:t xml:space="preserve"> (jednotky zařazené v RES do institucionální</w:t>
            </w:r>
            <w:r>
              <w:rPr>
                <w:rFonts w:eastAsia="Times New Roman" w:cs="Arial"/>
                <w:lang w:eastAsia="cs-CZ"/>
              </w:rPr>
              <w:t>ho</w:t>
            </w:r>
            <w:r w:rsidRPr="00987E5B">
              <w:rPr>
                <w:rFonts w:eastAsia="Times New Roman" w:cs="Arial"/>
                <w:lang w:eastAsia="cs-CZ"/>
              </w:rPr>
              <w:t xml:space="preserve"> sektor</w:t>
            </w:r>
            <w:r>
              <w:rPr>
                <w:rFonts w:eastAsia="Times New Roman" w:cs="Arial"/>
                <w:lang w:eastAsia="cs-CZ"/>
              </w:rPr>
              <w:t>u</w:t>
            </w:r>
            <w:r w:rsidRPr="00987E5B">
              <w:rPr>
                <w:rFonts w:eastAsia="Times New Roman" w:cs="Arial"/>
                <w:lang w:eastAsia="cs-CZ"/>
              </w:rPr>
              <w:t xml:space="preserve"> 13110</w:t>
            </w:r>
            <w:r>
              <w:rPr>
                <w:rFonts w:eastAsia="Times New Roman" w:cs="Arial"/>
                <w:lang w:eastAsia="cs-CZ"/>
              </w:rPr>
              <w:t>)</w:t>
            </w:r>
          </w:p>
          <w:p w:rsidR="00CD7A07" w:rsidRPr="00987E5B" w:rsidRDefault="00CD7A07" w:rsidP="00CD7A07">
            <w:pPr>
              <w:pStyle w:val="Odstavecseseznamem"/>
              <w:numPr>
                <w:ilvl w:val="0"/>
                <w:numId w:val="3"/>
              </w:numPr>
              <w:spacing w:after="0" w:line="240" w:lineRule="auto"/>
              <w:jc w:val="both"/>
              <w:rPr>
                <w:rFonts w:eastAsia="Times New Roman" w:cs="Arial"/>
                <w:b/>
                <w:lang w:eastAsia="cs-CZ"/>
              </w:rPr>
            </w:pPr>
            <w:r w:rsidRPr="00987E5B">
              <w:rPr>
                <w:rFonts w:eastAsia="Times New Roman" w:cs="Arial"/>
                <w:b/>
                <w:lang w:eastAsia="cs-CZ"/>
              </w:rPr>
              <w:t>A.</w:t>
            </w:r>
            <w:r w:rsidR="003567D2">
              <w:rPr>
                <w:rFonts w:eastAsia="Times New Roman" w:cs="Arial"/>
                <w:b/>
                <w:lang w:eastAsia="cs-CZ"/>
              </w:rPr>
              <w:t>2.IX</w:t>
            </w:r>
            <w:r w:rsidRPr="00987E5B">
              <w:rPr>
                <w:rFonts w:eastAsia="Times New Roman" w:cs="Arial"/>
                <w:b/>
                <w:lang w:eastAsia="cs-CZ"/>
              </w:rPr>
              <w:t xml:space="preserve">.2. </w:t>
            </w:r>
            <w:r>
              <w:rPr>
                <w:rFonts w:eastAsia="Times New Roman" w:cs="Arial"/>
                <w:b/>
                <w:lang w:eastAsia="cs-CZ"/>
              </w:rPr>
              <w:t>Úroky vládním</w:t>
            </w:r>
            <w:r w:rsidRPr="00987E5B">
              <w:rPr>
                <w:rFonts w:eastAsia="Times New Roman" w:cs="Arial"/>
                <w:b/>
                <w:lang w:eastAsia="cs-CZ"/>
              </w:rPr>
              <w:t xml:space="preserve"> institucí</w:t>
            </w:r>
            <w:r>
              <w:rPr>
                <w:rFonts w:eastAsia="Times New Roman" w:cs="Arial"/>
                <w:b/>
                <w:lang w:eastAsia="cs-CZ"/>
              </w:rPr>
              <w:t>m jiným než ústředním</w:t>
            </w:r>
            <w:r>
              <w:rPr>
                <w:rFonts w:eastAsia="Times New Roman" w:cs="Arial"/>
                <w:lang w:eastAsia="cs-CZ"/>
              </w:rPr>
              <w:t xml:space="preserve"> (</w:t>
            </w:r>
            <w:r w:rsidRPr="00987E5B">
              <w:rPr>
                <w:rFonts w:eastAsia="Times New Roman" w:cs="Arial"/>
                <w:lang w:eastAsia="cs-CZ"/>
              </w:rPr>
              <w:t>jednotky zařazené v RES do institucionální</w:t>
            </w:r>
            <w:r>
              <w:rPr>
                <w:rFonts w:eastAsia="Times New Roman" w:cs="Arial"/>
                <w:lang w:eastAsia="cs-CZ"/>
              </w:rPr>
              <w:t>ch</w:t>
            </w:r>
            <w:r w:rsidRPr="00987E5B">
              <w:rPr>
                <w:rFonts w:eastAsia="Times New Roman" w:cs="Arial"/>
                <w:lang w:eastAsia="cs-CZ"/>
              </w:rPr>
              <w:t xml:space="preserve"> sektor</w:t>
            </w:r>
            <w:r>
              <w:rPr>
                <w:rFonts w:eastAsia="Times New Roman" w:cs="Arial"/>
                <w:lang w:eastAsia="cs-CZ"/>
              </w:rPr>
              <w:t>ů 1313</w:t>
            </w:r>
            <w:r w:rsidRPr="00987E5B">
              <w:rPr>
                <w:rFonts w:eastAsia="Times New Roman" w:cs="Arial"/>
                <w:lang w:eastAsia="cs-CZ"/>
              </w:rPr>
              <w:t>0</w:t>
            </w:r>
            <w:r>
              <w:rPr>
                <w:rFonts w:eastAsia="Times New Roman" w:cs="Arial"/>
                <w:lang w:eastAsia="cs-CZ"/>
              </w:rPr>
              <w:t xml:space="preserve"> a 13140</w:t>
            </w:r>
            <w:r w:rsidRPr="00987E5B">
              <w:rPr>
                <w:rFonts w:eastAsia="Times New Roman" w:cs="Arial"/>
                <w:lang w:eastAsia="cs-CZ"/>
              </w:rPr>
              <w:t>)</w:t>
            </w:r>
          </w:p>
          <w:p w:rsidR="00CD7A07" w:rsidRPr="0052084B" w:rsidRDefault="00CD7A07" w:rsidP="00CF6A81">
            <w:pPr>
              <w:pStyle w:val="Odstavecseseznamem"/>
              <w:numPr>
                <w:ilvl w:val="0"/>
                <w:numId w:val="3"/>
              </w:numPr>
              <w:spacing w:after="0" w:line="240" w:lineRule="auto"/>
              <w:jc w:val="both"/>
              <w:rPr>
                <w:rFonts w:eastAsia="Times New Roman" w:cs="Arial"/>
                <w:lang w:eastAsia="cs-CZ"/>
              </w:rPr>
            </w:pPr>
            <w:r w:rsidRPr="00987E5B">
              <w:rPr>
                <w:rFonts w:eastAsia="Times New Roman" w:cs="Arial"/>
                <w:b/>
                <w:lang w:eastAsia="cs-CZ"/>
              </w:rPr>
              <w:t>A.</w:t>
            </w:r>
            <w:r w:rsidR="003567D2">
              <w:rPr>
                <w:rFonts w:eastAsia="Times New Roman" w:cs="Arial"/>
                <w:b/>
                <w:lang w:eastAsia="cs-CZ"/>
              </w:rPr>
              <w:t>2.IX</w:t>
            </w:r>
            <w:r w:rsidRPr="00987E5B">
              <w:rPr>
                <w:rFonts w:eastAsia="Times New Roman" w:cs="Arial"/>
                <w:b/>
                <w:lang w:eastAsia="cs-CZ"/>
              </w:rPr>
              <w:t xml:space="preserve">.3. </w:t>
            </w:r>
            <w:r>
              <w:rPr>
                <w:rFonts w:eastAsia="Times New Roman" w:cs="Arial"/>
                <w:b/>
                <w:lang w:eastAsia="cs-CZ"/>
              </w:rPr>
              <w:t>Úroky jiným než vládním</w:t>
            </w:r>
            <w:r w:rsidRPr="00987E5B">
              <w:rPr>
                <w:rFonts w:eastAsia="Times New Roman" w:cs="Arial"/>
                <w:b/>
                <w:lang w:eastAsia="cs-CZ"/>
              </w:rPr>
              <w:t xml:space="preserve"> institucí</w:t>
            </w:r>
            <w:r>
              <w:rPr>
                <w:rFonts w:eastAsia="Times New Roman" w:cs="Arial"/>
                <w:b/>
                <w:lang w:eastAsia="cs-CZ"/>
              </w:rPr>
              <w:t>m</w:t>
            </w:r>
            <w:r>
              <w:rPr>
                <w:rFonts w:eastAsia="Times New Roman" w:cs="Arial"/>
                <w:lang w:eastAsia="cs-CZ"/>
              </w:rPr>
              <w:t xml:space="preserve"> (jednotky zařazené v RES do institucionálních sektorů jiných než 13110, 13130 a 13140)</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br w:type="page"/>
              <w:t>A.2.</w:t>
            </w:r>
            <w:r w:rsidR="00BB5D63">
              <w:rPr>
                <w:rFonts w:eastAsia="Times New Roman" w:cs="Arial"/>
                <w:b/>
                <w:bCs/>
                <w:lang w:eastAsia="cs-CZ"/>
              </w:rPr>
              <w:t>X</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Výdaje na transfery pod</w:t>
            </w:r>
            <w:r w:rsidR="00E20457">
              <w:rPr>
                <w:rFonts w:eastAsia="Times New Roman" w:cs="Arial"/>
                <w:b/>
                <w:lang w:eastAsia="cs-CZ"/>
              </w:rPr>
              <w:t>nikatelským osobám</w:t>
            </w:r>
            <w:r w:rsidRPr="0052084B">
              <w:rPr>
                <w:rFonts w:eastAsia="Times New Roman" w:cs="Arial"/>
                <w:b/>
                <w:lang w:eastAsia="cs-CZ"/>
              </w:rPr>
              <w:t xml:space="preserve"> jiné než investiční</w:t>
            </w:r>
          </w:p>
        </w:tc>
      </w:tr>
      <w:tr w:rsidR="0043430B" w:rsidRPr="001B70EE" w:rsidTr="00A71CE6">
        <w:trPr>
          <w:trHeight w:val="1512"/>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175D27" w:rsidRDefault="0043430B" w:rsidP="001203D0">
            <w:pPr>
              <w:spacing w:after="0" w:line="240" w:lineRule="auto"/>
              <w:jc w:val="both"/>
              <w:rPr>
                <w:rFonts w:eastAsia="Times New Roman" w:cs="Arial"/>
                <w:lang w:eastAsia="cs-CZ"/>
              </w:rPr>
            </w:pPr>
            <w:r w:rsidRPr="0052084B">
              <w:rPr>
                <w:rFonts w:eastAsia="Times New Roman" w:cs="Arial"/>
                <w:lang w:eastAsia="cs-CZ"/>
              </w:rPr>
              <w:t>Jde o běžné převod</w:t>
            </w:r>
            <w:r w:rsidR="00EF7F1F">
              <w:rPr>
                <w:rFonts w:eastAsia="Times New Roman" w:cs="Arial"/>
                <w:lang w:eastAsia="cs-CZ"/>
              </w:rPr>
              <w:t xml:space="preserve">y peněžních prostředků veřejným </w:t>
            </w:r>
            <w:r w:rsidRPr="0052084B">
              <w:rPr>
                <w:rFonts w:eastAsia="Times New Roman" w:cs="Arial"/>
                <w:lang w:eastAsia="cs-CZ"/>
              </w:rPr>
              <w:t>nebo soukromým společnostem</w:t>
            </w:r>
            <w:r w:rsidR="00127B09">
              <w:rPr>
                <w:rFonts w:eastAsia="Times New Roman" w:cs="Arial"/>
                <w:lang w:eastAsia="cs-CZ"/>
              </w:rPr>
              <w:t xml:space="preserve"> (zpravidla rezidentům</w:t>
            </w:r>
            <w:r w:rsidR="006F6003">
              <w:rPr>
                <w:rFonts w:eastAsia="Times New Roman" w:cs="Arial"/>
                <w:lang w:eastAsia="cs-CZ"/>
              </w:rPr>
              <w:t xml:space="preserve"> v</w:t>
            </w:r>
            <w:r w:rsidR="00127B09">
              <w:rPr>
                <w:rFonts w:eastAsia="Times New Roman" w:cs="Arial"/>
                <w:lang w:eastAsia="cs-CZ"/>
              </w:rPr>
              <w:t> </w:t>
            </w:r>
            <w:r w:rsidR="006F6003">
              <w:rPr>
                <w:rFonts w:eastAsia="Times New Roman" w:cs="Arial"/>
                <w:lang w:eastAsia="cs-CZ"/>
              </w:rPr>
              <w:t>ČR</w:t>
            </w:r>
            <w:r w:rsidR="00127B09">
              <w:rPr>
                <w:rFonts w:eastAsia="Times New Roman" w:cs="Arial"/>
                <w:lang w:eastAsia="cs-CZ"/>
              </w:rPr>
              <w:t>)</w:t>
            </w:r>
            <w:r w:rsidR="00B072DA">
              <w:rPr>
                <w:rFonts w:eastAsia="Times New Roman" w:cs="Arial"/>
                <w:lang w:eastAsia="cs-CZ"/>
              </w:rPr>
              <w:t>,</w:t>
            </w:r>
            <w:r w:rsidR="00127B09">
              <w:rPr>
                <w:rFonts w:eastAsia="Times New Roman" w:cs="Arial"/>
                <w:lang w:eastAsia="cs-CZ"/>
              </w:rPr>
              <w:t xml:space="preserve"> které </w:t>
            </w:r>
            <w:r w:rsidR="00B072DA">
              <w:rPr>
                <w:rFonts w:eastAsia="Times New Roman" w:cs="Arial"/>
                <w:lang w:eastAsia="cs-CZ"/>
              </w:rPr>
              <w:t>za takové platby neposkytují</w:t>
            </w:r>
            <w:r w:rsidR="004151BA">
              <w:rPr>
                <w:rFonts w:eastAsia="Times New Roman" w:cs="Arial"/>
                <w:lang w:eastAsia="cs-CZ"/>
              </w:rPr>
              <w:t xml:space="preserve"> žádné přímé protiplnění</w:t>
            </w:r>
            <w:r w:rsidRPr="0052084B">
              <w:rPr>
                <w:rFonts w:eastAsia="Times New Roman" w:cs="Arial"/>
                <w:lang w:eastAsia="cs-CZ"/>
              </w:rPr>
              <w:t>.</w:t>
            </w:r>
            <w:r w:rsidR="00CA71EA">
              <w:rPr>
                <w:rFonts w:eastAsia="Times New Roman" w:cs="Arial"/>
                <w:lang w:eastAsia="cs-CZ"/>
              </w:rPr>
              <w:t xml:space="preserve"> </w:t>
            </w:r>
          </w:p>
          <w:p w:rsidR="00575237" w:rsidRDefault="0043430B" w:rsidP="00C5534A">
            <w:pPr>
              <w:spacing w:after="0" w:line="240" w:lineRule="auto"/>
              <w:jc w:val="both"/>
              <w:rPr>
                <w:rFonts w:eastAsia="Times New Roman" w:cs="Arial"/>
                <w:lang w:eastAsia="cs-CZ"/>
              </w:rPr>
            </w:pPr>
            <w:r w:rsidRPr="0052084B">
              <w:rPr>
                <w:rFonts w:eastAsia="Times New Roman" w:cs="Arial"/>
                <w:lang w:eastAsia="cs-CZ"/>
              </w:rPr>
              <w:t>Může se jednat o platby na jednotlivé produkty</w:t>
            </w:r>
            <w:r>
              <w:rPr>
                <w:rFonts w:eastAsia="Times New Roman" w:cs="Arial"/>
                <w:lang w:eastAsia="cs-CZ"/>
              </w:rPr>
              <w:t>,</w:t>
            </w:r>
            <w:r w:rsidRPr="0052084B">
              <w:rPr>
                <w:rFonts w:eastAsia="Times New Roman" w:cs="Arial"/>
                <w:lang w:eastAsia="cs-CZ"/>
              </w:rPr>
              <w:t xml:space="preserve"> stejně jako na produkci jako celek. Zahrnuje také platby veřejným společnostem kompenzující stanovení cen pod výrobními náklady.</w:t>
            </w:r>
          </w:p>
          <w:p w:rsidR="00BA2AFC" w:rsidRDefault="0043430B">
            <w:pPr>
              <w:spacing w:after="0" w:line="240" w:lineRule="auto"/>
              <w:jc w:val="both"/>
              <w:rPr>
                <w:rFonts w:eastAsia="Times New Roman" w:cs="Arial"/>
                <w:lang w:eastAsia="cs-CZ"/>
              </w:rPr>
            </w:pPr>
            <w:r w:rsidRPr="0052084B">
              <w:rPr>
                <w:rFonts w:eastAsia="Times New Roman" w:cs="Arial"/>
                <w:lang w:eastAsia="cs-CZ"/>
              </w:rPr>
              <w:t>Nezahrnuje platby</w:t>
            </w:r>
            <w:r>
              <w:rPr>
                <w:rFonts w:eastAsia="Times New Roman" w:cs="Arial"/>
                <w:lang w:eastAsia="cs-CZ"/>
              </w:rPr>
              <w:t>, které vládní instituce</w:t>
            </w:r>
            <w:r w:rsidRPr="0052084B">
              <w:rPr>
                <w:rFonts w:eastAsia="Times New Roman" w:cs="Arial"/>
                <w:lang w:eastAsia="cs-CZ"/>
              </w:rPr>
              <w:t xml:space="preserve"> poskytuje přímo domácnostem jako konečnému příjemci nebo neziskovým organizacím sloužícím domácnostem. Tyto jsou klasifikovány</w:t>
            </w:r>
            <w:r w:rsidR="00C5534A">
              <w:rPr>
                <w:rFonts w:eastAsia="Times New Roman" w:cs="Arial"/>
                <w:lang w:eastAsia="cs-CZ"/>
              </w:rPr>
              <w:t xml:space="preserve"> v případě domácností</w:t>
            </w:r>
            <w:r w:rsidRPr="0052084B">
              <w:rPr>
                <w:rFonts w:eastAsia="Times New Roman" w:cs="Arial"/>
                <w:lang w:eastAsia="cs-CZ"/>
              </w:rPr>
              <w:t xml:space="preserve"> jako </w:t>
            </w:r>
            <w:r w:rsidR="00216210">
              <w:rPr>
                <w:rFonts w:eastAsia="Times New Roman" w:cs="Arial"/>
                <w:lang w:eastAsia="cs-CZ"/>
              </w:rPr>
              <w:t>v</w:t>
            </w:r>
            <w:r w:rsidRPr="0052084B">
              <w:rPr>
                <w:rFonts w:eastAsia="Times New Roman" w:cs="Arial"/>
                <w:lang w:eastAsia="cs-CZ"/>
              </w:rPr>
              <w:t>ýdaje na sociální dávky (A.2.X</w:t>
            </w:r>
            <w:r w:rsidR="00216210">
              <w:rPr>
                <w:rFonts w:eastAsia="Times New Roman" w:cs="Arial"/>
                <w:lang w:eastAsia="cs-CZ"/>
              </w:rPr>
              <w:t>II</w:t>
            </w:r>
            <w:r w:rsidRPr="0052084B">
              <w:rPr>
                <w:rFonts w:eastAsia="Times New Roman" w:cs="Arial"/>
                <w:lang w:eastAsia="cs-CZ"/>
              </w:rPr>
              <w:t xml:space="preserve">.), </w:t>
            </w:r>
            <w:r w:rsidR="00C5534A">
              <w:rPr>
                <w:rFonts w:eastAsia="Times New Roman" w:cs="Arial"/>
                <w:lang w:eastAsia="cs-CZ"/>
              </w:rPr>
              <w:t xml:space="preserve">v případě neziskových organizací sloužících domácnostem jako </w:t>
            </w:r>
            <w:r w:rsidR="00AE4849">
              <w:rPr>
                <w:rFonts w:eastAsia="Times New Roman" w:cs="Arial"/>
                <w:lang w:eastAsia="cs-CZ"/>
              </w:rPr>
              <w:t>transfery</w:t>
            </w:r>
            <w:r w:rsidR="00BA2AFC">
              <w:rPr>
                <w:rFonts w:eastAsia="Times New Roman" w:cs="Arial"/>
                <w:lang w:eastAsia="cs-CZ"/>
              </w:rPr>
              <w:t xml:space="preserve"> na položce </w:t>
            </w:r>
            <w:r w:rsidRPr="0052084B">
              <w:rPr>
                <w:rFonts w:eastAsia="Times New Roman" w:cs="Arial"/>
                <w:lang w:eastAsia="cs-CZ"/>
              </w:rPr>
              <w:t>A.2.XI</w:t>
            </w:r>
            <w:r w:rsidR="00AE4849">
              <w:rPr>
                <w:rFonts w:eastAsia="Times New Roman" w:cs="Arial"/>
                <w:lang w:eastAsia="cs-CZ"/>
              </w:rPr>
              <w:t>V</w:t>
            </w:r>
            <w:r w:rsidRPr="0052084B">
              <w:rPr>
                <w:rFonts w:eastAsia="Times New Roman" w:cs="Arial"/>
                <w:lang w:eastAsia="cs-CZ"/>
              </w:rPr>
              <w:t>.</w:t>
            </w:r>
            <w:r w:rsidR="00AE4849">
              <w:rPr>
                <w:rFonts w:eastAsia="Times New Roman" w:cs="Arial"/>
                <w:lang w:eastAsia="cs-CZ"/>
              </w:rPr>
              <w:t>3</w:t>
            </w:r>
            <w:r w:rsidR="00C55F4E">
              <w:rPr>
                <w:rFonts w:eastAsia="Times New Roman" w:cs="Arial"/>
                <w:lang w:eastAsia="cs-CZ"/>
              </w:rPr>
              <w:t>., resp. A.2.XI</w:t>
            </w:r>
            <w:r w:rsidR="00AE4849">
              <w:rPr>
                <w:rFonts w:eastAsia="Times New Roman" w:cs="Arial"/>
                <w:lang w:eastAsia="cs-CZ"/>
              </w:rPr>
              <w:t>V</w:t>
            </w:r>
            <w:r w:rsidR="00C55F4E">
              <w:rPr>
                <w:rFonts w:eastAsia="Times New Roman" w:cs="Arial"/>
                <w:lang w:eastAsia="cs-CZ"/>
              </w:rPr>
              <w:t>.</w:t>
            </w:r>
            <w:r w:rsidR="00AE4849">
              <w:rPr>
                <w:rFonts w:eastAsia="Times New Roman" w:cs="Arial"/>
                <w:lang w:eastAsia="cs-CZ"/>
              </w:rPr>
              <w:t>4</w:t>
            </w:r>
            <w:r w:rsidRPr="0052084B">
              <w:rPr>
                <w:rFonts w:eastAsia="Times New Roman" w:cs="Arial"/>
                <w:lang w:eastAsia="cs-CZ"/>
              </w:rPr>
              <w:t>. Většina převodů peněžních prostředků ostatním vl</w:t>
            </w:r>
            <w:r w:rsidR="00F37B08">
              <w:rPr>
                <w:rFonts w:eastAsia="Times New Roman" w:cs="Arial"/>
                <w:lang w:eastAsia="cs-CZ"/>
              </w:rPr>
              <w:t xml:space="preserve">ádním </w:t>
            </w:r>
            <w:r w:rsidR="00BA2AFC">
              <w:rPr>
                <w:rFonts w:eastAsia="Times New Roman" w:cs="Arial"/>
                <w:lang w:eastAsia="cs-CZ"/>
              </w:rPr>
              <w:t>institucím</w:t>
            </w:r>
            <w:r w:rsidR="00F37B08">
              <w:rPr>
                <w:rFonts w:eastAsia="Times New Roman" w:cs="Arial"/>
                <w:lang w:eastAsia="cs-CZ"/>
              </w:rPr>
              <w:t xml:space="preserve"> patří do kategorie</w:t>
            </w:r>
            <w:r w:rsidRPr="0052084B">
              <w:rPr>
                <w:rFonts w:eastAsia="Times New Roman" w:cs="Arial"/>
                <w:lang w:eastAsia="cs-CZ"/>
              </w:rPr>
              <w:t xml:space="preserve"> A.2.X</w:t>
            </w:r>
            <w:r w:rsidR="00BA2AFC">
              <w:rPr>
                <w:rFonts w:eastAsia="Times New Roman" w:cs="Arial"/>
                <w:lang w:eastAsia="cs-CZ"/>
              </w:rPr>
              <w:t>I</w:t>
            </w:r>
            <w:r w:rsidRPr="0052084B">
              <w:rPr>
                <w:rFonts w:eastAsia="Times New Roman" w:cs="Arial"/>
                <w:lang w:eastAsia="cs-CZ"/>
              </w:rPr>
              <w:t>.</w:t>
            </w:r>
          </w:p>
          <w:p w:rsidR="0043430B" w:rsidRPr="0052084B" w:rsidRDefault="0043430B">
            <w:pPr>
              <w:spacing w:after="0" w:line="240" w:lineRule="auto"/>
              <w:jc w:val="both"/>
              <w:rPr>
                <w:rFonts w:eastAsia="Times New Roman" w:cs="Arial"/>
                <w:lang w:eastAsia="cs-CZ"/>
              </w:rPr>
            </w:pPr>
            <w:r w:rsidRPr="0052084B">
              <w:rPr>
                <w:rFonts w:eastAsia="Times New Roman" w:cs="Arial"/>
                <w:lang w:eastAsia="cs-CZ"/>
              </w:rPr>
              <w:t xml:space="preserve">Kapitálové </w:t>
            </w:r>
            <w:r w:rsidR="00214C5B">
              <w:rPr>
                <w:rFonts w:eastAsia="Times New Roman" w:cs="Arial"/>
                <w:lang w:eastAsia="cs-CZ"/>
              </w:rPr>
              <w:t xml:space="preserve">(investiční) </w:t>
            </w:r>
            <w:r w:rsidRPr="0052084B">
              <w:rPr>
                <w:rFonts w:eastAsia="Times New Roman" w:cs="Arial"/>
                <w:lang w:eastAsia="cs-CZ"/>
              </w:rPr>
              <w:t>převody</w:t>
            </w:r>
            <w:r w:rsidR="00A570FD">
              <w:rPr>
                <w:rFonts w:eastAsia="Times New Roman" w:cs="Arial"/>
                <w:lang w:eastAsia="cs-CZ"/>
              </w:rPr>
              <w:t xml:space="preserve"> </w:t>
            </w:r>
            <w:r w:rsidR="00E20457">
              <w:rPr>
                <w:rFonts w:eastAsia="Times New Roman" w:cs="Arial"/>
                <w:lang w:eastAsia="cs-CZ"/>
              </w:rPr>
              <w:t>podnikatelským osobám</w:t>
            </w:r>
            <w:r w:rsidR="00A570FD">
              <w:rPr>
                <w:rFonts w:eastAsia="Times New Roman" w:cs="Arial"/>
                <w:lang w:eastAsia="cs-CZ"/>
              </w:rPr>
              <w:t xml:space="preserve"> na pořízení nefinančních aktiv</w:t>
            </w:r>
            <w:r w:rsidRPr="0052084B">
              <w:rPr>
                <w:rFonts w:eastAsia="Times New Roman" w:cs="Arial"/>
                <w:lang w:eastAsia="cs-CZ"/>
              </w:rPr>
              <w:t xml:space="preserve"> jsou součástí položky</w:t>
            </w:r>
            <w:r w:rsidR="00BA2AFC">
              <w:rPr>
                <w:rFonts w:eastAsia="Times New Roman" w:cs="Arial"/>
                <w:lang w:eastAsia="cs-CZ"/>
              </w:rPr>
              <w:t xml:space="preserve"> </w:t>
            </w:r>
            <w:r>
              <w:rPr>
                <w:rFonts w:eastAsia="Times New Roman" w:cs="Arial"/>
                <w:lang w:eastAsia="cs-CZ"/>
              </w:rPr>
              <w:t>A.2.XI</w:t>
            </w:r>
            <w:r w:rsidR="00BA2AFC">
              <w:rPr>
                <w:rFonts w:eastAsia="Times New Roman" w:cs="Arial"/>
                <w:lang w:eastAsia="cs-CZ"/>
              </w:rPr>
              <w:t>V</w:t>
            </w:r>
            <w:r>
              <w:rPr>
                <w:rFonts w:eastAsia="Times New Roman" w:cs="Arial"/>
                <w:lang w:eastAsia="cs-CZ"/>
              </w:rPr>
              <w:t>.</w:t>
            </w:r>
            <w:r w:rsidR="00BA2AFC">
              <w:rPr>
                <w:rFonts w:eastAsia="Times New Roman" w:cs="Arial"/>
                <w:lang w:eastAsia="cs-CZ"/>
              </w:rPr>
              <w:t>4</w:t>
            </w:r>
            <w:r w:rsidRPr="0052084B">
              <w:rPr>
                <w:rFonts w:eastAsia="Times New Roman" w:cs="Arial"/>
                <w:lang w:eastAsia="cs-CZ"/>
              </w:rPr>
              <w:t xml:space="preserve">. </w:t>
            </w:r>
          </w:p>
        </w:tc>
      </w:tr>
      <w:tr w:rsidR="00EF7F1F" w:rsidRPr="001B70EE" w:rsidTr="00A71CE6">
        <w:trPr>
          <w:trHeight w:val="255"/>
        </w:trPr>
        <w:tc>
          <w:tcPr>
            <w:tcW w:w="1291" w:type="dxa"/>
            <w:tcBorders>
              <w:top w:val="single" w:sz="4" w:space="0" w:color="auto"/>
              <w:left w:val="single" w:sz="4" w:space="0" w:color="000000"/>
              <w:right w:val="single" w:sz="4" w:space="0" w:color="000000"/>
            </w:tcBorders>
            <w:shd w:val="clear" w:color="auto" w:fill="auto"/>
            <w:noWrap/>
            <w:vAlign w:val="center"/>
          </w:tcPr>
          <w:p w:rsidR="00EF7F1F" w:rsidRPr="0052084B" w:rsidRDefault="00EF7F1F" w:rsidP="00C3149D">
            <w:pPr>
              <w:spacing w:after="0" w:line="240" w:lineRule="auto"/>
              <w:rPr>
                <w:rFonts w:eastAsia="Times New Roman" w:cs="Arial"/>
                <w:b/>
                <w:bCs/>
                <w:lang w:eastAsia="cs-CZ"/>
              </w:rPr>
            </w:pPr>
            <w:r>
              <w:rPr>
                <w:rFonts w:eastAsia="Times New Roman" w:cs="Arial"/>
                <w:b/>
                <w:bCs/>
                <w:lang w:eastAsia="cs-CZ"/>
              </w:rPr>
              <w:t>A.2.</w:t>
            </w:r>
            <w:r w:rsidR="00BB5D63">
              <w:rPr>
                <w:rFonts w:eastAsia="Times New Roman" w:cs="Arial"/>
                <w:b/>
                <w:bCs/>
                <w:lang w:eastAsia="cs-CZ"/>
              </w:rPr>
              <w:t>X</w:t>
            </w:r>
            <w:r>
              <w:rPr>
                <w:rFonts w:eastAsia="Times New Roman" w:cs="Arial"/>
                <w:b/>
                <w:bCs/>
                <w:lang w:eastAsia="cs-CZ"/>
              </w:rPr>
              <w:t>.1.</w:t>
            </w:r>
          </w:p>
        </w:tc>
        <w:tc>
          <w:tcPr>
            <w:tcW w:w="12958" w:type="dxa"/>
            <w:tcBorders>
              <w:top w:val="single" w:sz="4" w:space="0" w:color="auto"/>
              <w:left w:val="single" w:sz="4" w:space="0" w:color="000000"/>
              <w:right w:val="single" w:sz="4" w:space="0" w:color="000000"/>
            </w:tcBorders>
            <w:shd w:val="clear" w:color="auto" w:fill="auto"/>
            <w:vAlign w:val="center"/>
          </w:tcPr>
          <w:p w:rsidR="00EF7F1F" w:rsidRPr="0052084B" w:rsidRDefault="00CE2616" w:rsidP="001203D0">
            <w:pPr>
              <w:spacing w:after="0" w:line="240" w:lineRule="auto"/>
              <w:jc w:val="both"/>
              <w:rPr>
                <w:rFonts w:eastAsia="Times New Roman" w:cs="Arial"/>
                <w:b/>
                <w:lang w:eastAsia="cs-CZ"/>
              </w:rPr>
            </w:pPr>
            <w:r>
              <w:rPr>
                <w:rFonts w:eastAsia="Times New Roman" w:cs="Arial"/>
                <w:b/>
                <w:lang w:eastAsia="cs-CZ"/>
              </w:rPr>
              <w:t>T</w:t>
            </w:r>
            <w:r w:rsidR="00EF7F1F" w:rsidRPr="00EF7F1F">
              <w:rPr>
                <w:rFonts w:eastAsia="Times New Roman" w:cs="Arial"/>
                <w:b/>
                <w:lang w:eastAsia="cs-CZ"/>
              </w:rPr>
              <w:t>ransfery veřejným společnostem jiné než investiční</w:t>
            </w:r>
          </w:p>
        </w:tc>
      </w:tr>
      <w:tr w:rsidR="00EF7F1F" w:rsidRPr="001B70EE" w:rsidTr="00A71CE6">
        <w:trPr>
          <w:trHeight w:val="255"/>
        </w:trPr>
        <w:tc>
          <w:tcPr>
            <w:tcW w:w="1291" w:type="dxa"/>
            <w:tcBorders>
              <w:left w:val="single" w:sz="4" w:space="0" w:color="000000"/>
              <w:bottom w:val="single" w:sz="4" w:space="0" w:color="auto"/>
              <w:right w:val="single" w:sz="4" w:space="0" w:color="000000"/>
            </w:tcBorders>
            <w:shd w:val="clear" w:color="auto" w:fill="auto"/>
            <w:noWrap/>
            <w:vAlign w:val="center"/>
          </w:tcPr>
          <w:p w:rsidR="00EF7F1F" w:rsidRPr="0052084B" w:rsidRDefault="00EF7F1F" w:rsidP="00C3149D">
            <w:pPr>
              <w:spacing w:after="0" w:line="240" w:lineRule="auto"/>
              <w:rPr>
                <w:rFonts w:eastAsia="Times New Roman" w:cs="Arial"/>
                <w:b/>
                <w:bCs/>
                <w:lang w:eastAsia="cs-CZ"/>
              </w:rPr>
            </w:pPr>
          </w:p>
        </w:tc>
        <w:tc>
          <w:tcPr>
            <w:tcW w:w="12958" w:type="dxa"/>
            <w:tcBorders>
              <w:left w:val="single" w:sz="4" w:space="0" w:color="000000"/>
              <w:bottom w:val="single" w:sz="4" w:space="0" w:color="auto"/>
              <w:right w:val="single" w:sz="4" w:space="0" w:color="000000"/>
            </w:tcBorders>
            <w:shd w:val="clear" w:color="auto" w:fill="auto"/>
            <w:vAlign w:val="center"/>
          </w:tcPr>
          <w:p w:rsidR="00EF7F1F" w:rsidRPr="006429D2" w:rsidRDefault="006429D2" w:rsidP="002B6277">
            <w:pPr>
              <w:spacing w:after="0" w:line="240" w:lineRule="auto"/>
              <w:jc w:val="both"/>
              <w:rPr>
                <w:rFonts w:eastAsia="Times New Roman" w:cs="Arial"/>
                <w:lang w:eastAsia="cs-CZ"/>
              </w:rPr>
            </w:pPr>
            <w:r w:rsidRPr="006429D2">
              <w:rPr>
                <w:rFonts w:eastAsia="Times New Roman" w:cs="Arial"/>
                <w:lang w:eastAsia="cs-CZ"/>
              </w:rPr>
              <w:t xml:space="preserve">Obsahová náplň položky je definována </w:t>
            </w:r>
            <w:r>
              <w:rPr>
                <w:rFonts w:eastAsia="Times New Roman" w:cs="Arial"/>
                <w:lang w:eastAsia="cs-CZ"/>
              </w:rPr>
              <w:t>výše u souhrnné kategorie</w:t>
            </w:r>
            <w:r w:rsidRPr="006429D2">
              <w:rPr>
                <w:rFonts w:eastAsia="Times New Roman" w:cs="Arial"/>
                <w:lang w:eastAsia="cs-CZ"/>
              </w:rPr>
              <w:t xml:space="preserve"> A.2.</w:t>
            </w:r>
            <w:r w:rsidR="00BA2AFC">
              <w:rPr>
                <w:rFonts w:eastAsia="Times New Roman" w:cs="Arial"/>
                <w:lang w:eastAsia="cs-CZ"/>
              </w:rPr>
              <w:t>X</w:t>
            </w:r>
            <w:r w:rsidRPr="006429D2">
              <w:rPr>
                <w:rFonts w:eastAsia="Times New Roman" w:cs="Arial"/>
                <w:lang w:eastAsia="cs-CZ"/>
              </w:rPr>
              <w:t>.</w:t>
            </w:r>
            <w:r>
              <w:rPr>
                <w:rFonts w:eastAsia="Times New Roman" w:cs="Arial"/>
                <w:lang w:eastAsia="cs-CZ"/>
              </w:rPr>
              <w:t xml:space="preserve"> Pro zařazení konkrétní transferové platby na tuto položku je podstatné vymezení protistrany v transakci, kterou je veřejná společnost. Veřejnou společností rozumíme tržního výrobce zboží nebo poskytovatele služeb pod kontrolou vládní instituce nebo jiné veřejné společnosti. </w:t>
            </w:r>
            <w:r w:rsidR="002B6277">
              <w:rPr>
                <w:rFonts w:eastAsia="Times New Roman" w:cs="Arial"/>
                <w:lang w:eastAsia="cs-CZ"/>
              </w:rPr>
              <w:t>Takovou</w:t>
            </w:r>
            <w:r>
              <w:rPr>
                <w:rFonts w:eastAsia="Times New Roman" w:cs="Arial"/>
                <w:lang w:eastAsia="cs-CZ"/>
              </w:rPr>
              <w:t xml:space="preserve"> společností jsou např. České dráhy, ČEZ, Česká pošta apod.</w:t>
            </w:r>
            <w:r>
              <w:rPr>
                <w:rStyle w:val="Znakapoznpodarou"/>
                <w:rFonts w:eastAsia="Times New Roman" w:cs="Arial"/>
                <w:lang w:eastAsia="cs-CZ"/>
              </w:rPr>
              <w:footnoteReference w:id="11"/>
            </w:r>
          </w:p>
        </w:tc>
      </w:tr>
      <w:tr w:rsidR="00EF7F1F" w:rsidRPr="001B70EE" w:rsidTr="00A71CE6">
        <w:trPr>
          <w:trHeight w:val="255"/>
        </w:trPr>
        <w:tc>
          <w:tcPr>
            <w:tcW w:w="1291" w:type="dxa"/>
            <w:tcBorders>
              <w:top w:val="single" w:sz="4" w:space="0" w:color="auto"/>
              <w:left w:val="single" w:sz="4" w:space="0" w:color="000000"/>
              <w:right w:val="single" w:sz="4" w:space="0" w:color="000000"/>
            </w:tcBorders>
            <w:shd w:val="clear" w:color="auto" w:fill="auto"/>
            <w:noWrap/>
            <w:vAlign w:val="center"/>
          </w:tcPr>
          <w:p w:rsidR="00EF7F1F" w:rsidRPr="0052084B" w:rsidRDefault="00EF7F1F" w:rsidP="00C3149D">
            <w:pPr>
              <w:spacing w:after="0" w:line="240" w:lineRule="auto"/>
              <w:rPr>
                <w:rFonts w:eastAsia="Times New Roman" w:cs="Arial"/>
                <w:b/>
                <w:bCs/>
                <w:lang w:eastAsia="cs-CZ"/>
              </w:rPr>
            </w:pPr>
            <w:r>
              <w:rPr>
                <w:rFonts w:eastAsia="Times New Roman" w:cs="Arial"/>
                <w:b/>
                <w:bCs/>
                <w:lang w:eastAsia="cs-CZ"/>
              </w:rPr>
              <w:lastRenderedPageBreak/>
              <w:t>A.2.</w:t>
            </w:r>
            <w:r w:rsidR="00BB5D63">
              <w:rPr>
                <w:rFonts w:eastAsia="Times New Roman" w:cs="Arial"/>
                <w:b/>
                <w:bCs/>
                <w:lang w:eastAsia="cs-CZ"/>
              </w:rPr>
              <w:t>X</w:t>
            </w:r>
            <w:r>
              <w:rPr>
                <w:rFonts w:eastAsia="Times New Roman" w:cs="Arial"/>
                <w:b/>
                <w:bCs/>
                <w:lang w:eastAsia="cs-CZ"/>
              </w:rPr>
              <w:t>.2.</w:t>
            </w:r>
          </w:p>
        </w:tc>
        <w:tc>
          <w:tcPr>
            <w:tcW w:w="12958" w:type="dxa"/>
            <w:tcBorders>
              <w:top w:val="single" w:sz="4" w:space="0" w:color="auto"/>
              <w:left w:val="single" w:sz="4" w:space="0" w:color="000000"/>
              <w:right w:val="single" w:sz="4" w:space="0" w:color="000000"/>
            </w:tcBorders>
            <w:shd w:val="clear" w:color="auto" w:fill="auto"/>
            <w:vAlign w:val="center"/>
          </w:tcPr>
          <w:p w:rsidR="00EF7F1F" w:rsidRPr="0052084B" w:rsidRDefault="00CE2616" w:rsidP="001203D0">
            <w:pPr>
              <w:spacing w:after="0" w:line="240" w:lineRule="auto"/>
              <w:jc w:val="both"/>
              <w:rPr>
                <w:rFonts w:eastAsia="Times New Roman" w:cs="Arial"/>
                <w:b/>
                <w:lang w:eastAsia="cs-CZ"/>
              </w:rPr>
            </w:pPr>
            <w:r>
              <w:rPr>
                <w:rFonts w:eastAsia="Times New Roman" w:cs="Arial"/>
                <w:b/>
                <w:lang w:eastAsia="cs-CZ"/>
              </w:rPr>
              <w:t>T</w:t>
            </w:r>
            <w:r w:rsidR="00EF7F1F" w:rsidRPr="00EF7F1F">
              <w:rPr>
                <w:rFonts w:eastAsia="Times New Roman" w:cs="Arial"/>
                <w:b/>
                <w:lang w:eastAsia="cs-CZ"/>
              </w:rPr>
              <w:t>ransfery so</w:t>
            </w:r>
            <w:r w:rsidR="00E20457">
              <w:rPr>
                <w:rFonts w:eastAsia="Times New Roman" w:cs="Arial"/>
                <w:b/>
                <w:lang w:eastAsia="cs-CZ"/>
              </w:rPr>
              <w:t>ukromým podnikatelským osobám</w:t>
            </w:r>
            <w:r w:rsidR="00EF7F1F" w:rsidRPr="00EF7F1F">
              <w:rPr>
                <w:rFonts w:eastAsia="Times New Roman" w:cs="Arial"/>
                <w:b/>
                <w:lang w:eastAsia="cs-CZ"/>
              </w:rPr>
              <w:t xml:space="preserve"> jiné než investiční</w:t>
            </w:r>
          </w:p>
        </w:tc>
      </w:tr>
      <w:tr w:rsidR="00EF7F1F" w:rsidRPr="001B70EE" w:rsidTr="00A71CE6">
        <w:trPr>
          <w:trHeight w:val="255"/>
        </w:trPr>
        <w:tc>
          <w:tcPr>
            <w:tcW w:w="1291" w:type="dxa"/>
            <w:tcBorders>
              <w:left w:val="single" w:sz="4" w:space="0" w:color="000000"/>
              <w:bottom w:val="single" w:sz="4" w:space="0" w:color="auto"/>
              <w:right w:val="single" w:sz="4" w:space="0" w:color="000000"/>
            </w:tcBorders>
            <w:shd w:val="clear" w:color="auto" w:fill="auto"/>
            <w:noWrap/>
            <w:vAlign w:val="center"/>
          </w:tcPr>
          <w:p w:rsidR="00EF7F1F" w:rsidRPr="0052084B" w:rsidRDefault="00EF7F1F" w:rsidP="00C3149D">
            <w:pPr>
              <w:spacing w:after="0" w:line="240" w:lineRule="auto"/>
              <w:rPr>
                <w:rFonts w:eastAsia="Times New Roman" w:cs="Arial"/>
                <w:b/>
                <w:bCs/>
                <w:lang w:eastAsia="cs-CZ"/>
              </w:rPr>
            </w:pPr>
          </w:p>
        </w:tc>
        <w:tc>
          <w:tcPr>
            <w:tcW w:w="12958" w:type="dxa"/>
            <w:tcBorders>
              <w:left w:val="single" w:sz="4" w:space="0" w:color="000000"/>
              <w:bottom w:val="single" w:sz="4" w:space="0" w:color="auto"/>
              <w:right w:val="single" w:sz="4" w:space="0" w:color="000000"/>
            </w:tcBorders>
            <w:shd w:val="clear" w:color="auto" w:fill="auto"/>
            <w:vAlign w:val="center"/>
          </w:tcPr>
          <w:p w:rsidR="00EF7F1F" w:rsidRPr="00575237" w:rsidRDefault="00575237" w:rsidP="001203D0">
            <w:pPr>
              <w:spacing w:after="0" w:line="240" w:lineRule="auto"/>
              <w:jc w:val="both"/>
              <w:rPr>
                <w:rFonts w:eastAsia="Times New Roman" w:cs="Arial"/>
                <w:lang w:eastAsia="cs-CZ"/>
              </w:rPr>
            </w:pPr>
            <w:r>
              <w:rPr>
                <w:rFonts w:eastAsia="Times New Roman" w:cs="Arial"/>
                <w:lang w:eastAsia="cs-CZ"/>
              </w:rPr>
              <w:t>Obsahová náplň položky je definována výše u souhrnné kategorie A.2.</w:t>
            </w:r>
            <w:r w:rsidR="005A62A8">
              <w:rPr>
                <w:rFonts w:eastAsia="Times New Roman" w:cs="Arial"/>
                <w:lang w:eastAsia="cs-CZ"/>
              </w:rPr>
              <w:t>X</w:t>
            </w:r>
            <w:r>
              <w:rPr>
                <w:rFonts w:eastAsia="Times New Roman" w:cs="Arial"/>
                <w:lang w:eastAsia="cs-CZ"/>
              </w:rPr>
              <w:t>.</w:t>
            </w:r>
            <w:r w:rsidR="00F331AA">
              <w:rPr>
                <w:rFonts w:eastAsia="Times New Roman" w:cs="Arial"/>
                <w:lang w:eastAsia="cs-CZ"/>
              </w:rPr>
              <w:t xml:space="preserve"> Protistranou v transakci </w:t>
            </w:r>
            <w:r w:rsidR="00A600EE">
              <w:rPr>
                <w:rFonts w:eastAsia="Times New Roman" w:cs="Arial"/>
                <w:lang w:eastAsia="cs-CZ"/>
              </w:rPr>
              <w:t xml:space="preserve">jsou </w:t>
            </w:r>
            <w:r w:rsidR="00E20457">
              <w:rPr>
                <w:rFonts w:eastAsia="Times New Roman" w:cs="Arial"/>
                <w:lang w:eastAsia="cs-CZ"/>
              </w:rPr>
              <w:t>soukromé podnikatelské osoby</w:t>
            </w:r>
            <w:r w:rsidR="00F331AA">
              <w:rPr>
                <w:rFonts w:eastAsia="Times New Roman" w:cs="Arial"/>
                <w:lang w:eastAsia="cs-CZ"/>
              </w:rPr>
              <w:t xml:space="preserve"> různých právních forem.</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w:t>
            </w:r>
            <w:r w:rsidR="005A62A8">
              <w:rPr>
                <w:rFonts w:eastAsia="Times New Roman" w:cs="Arial"/>
                <w:b/>
                <w:bCs/>
                <w:lang w:eastAsia="cs-CZ"/>
              </w:rPr>
              <w:t>I</w:t>
            </w:r>
            <w:r w:rsidRPr="0052084B">
              <w:rPr>
                <w:rFonts w:eastAsia="Times New Roman" w:cs="Arial"/>
                <w:b/>
                <w:bCs/>
                <w:lang w:eastAsia="cs-CZ"/>
              </w:rPr>
              <w:t>.</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C5DDA">
            <w:pPr>
              <w:spacing w:after="0" w:line="240" w:lineRule="auto"/>
              <w:jc w:val="both"/>
              <w:rPr>
                <w:rFonts w:eastAsia="Times New Roman" w:cs="Arial"/>
                <w:b/>
                <w:lang w:eastAsia="cs-CZ"/>
              </w:rPr>
            </w:pPr>
            <w:r w:rsidRPr="0052084B">
              <w:rPr>
                <w:rFonts w:eastAsia="Times New Roman" w:cs="Arial"/>
                <w:b/>
                <w:lang w:eastAsia="cs-CZ"/>
              </w:rPr>
              <w:t>Výdaje na transfery</w:t>
            </w:r>
            <w:r w:rsidR="00CE2616">
              <w:rPr>
                <w:rFonts w:eastAsia="Times New Roman" w:cs="Arial"/>
                <w:b/>
                <w:lang w:eastAsia="cs-CZ"/>
              </w:rPr>
              <w:t xml:space="preserve"> </w:t>
            </w:r>
            <w:r w:rsidR="00BB5D63">
              <w:rPr>
                <w:rFonts w:eastAsia="Times New Roman" w:cs="Arial"/>
                <w:b/>
                <w:lang w:eastAsia="cs-CZ"/>
              </w:rPr>
              <w:t xml:space="preserve">zahraničním vládám, mezinárodním organizacím a </w:t>
            </w:r>
            <w:r w:rsidR="00CE2616">
              <w:rPr>
                <w:rFonts w:eastAsia="Times New Roman" w:cs="Arial"/>
                <w:b/>
                <w:lang w:eastAsia="cs-CZ"/>
              </w:rPr>
              <w:t>vládním institucím</w:t>
            </w:r>
          </w:p>
        </w:tc>
      </w:tr>
      <w:tr w:rsidR="0043430B" w:rsidRPr="001B70EE" w:rsidTr="00A71CE6">
        <w:trPr>
          <w:trHeight w:val="825"/>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D92B9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Jedná se o  </w:t>
            </w:r>
            <w:r w:rsidR="00D92B9B">
              <w:rPr>
                <w:rFonts w:eastAsia="Times New Roman" w:cs="Arial"/>
                <w:lang w:eastAsia="cs-CZ"/>
              </w:rPr>
              <w:t>poskytnuté platby</w:t>
            </w:r>
            <w:r w:rsidR="00BB5D63">
              <w:rPr>
                <w:rFonts w:eastAsia="Times New Roman" w:cs="Arial"/>
                <w:lang w:eastAsia="cs-CZ"/>
              </w:rPr>
              <w:t>, za které jejich příjemce</w:t>
            </w:r>
            <w:r w:rsidR="00B072DA">
              <w:rPr>
                <w:rFonts w:eastAsia="Times New Roman" w:cs="Arial"/>
                <w:lang w:eastAsia="cs-CZ"/>
              </w:rPr>
              <w:t xml:space="preserve"> </w:t>
            </w:r>
            <w:r w:rsidR="00D92B9B">
              <w:rPr>
                <w:rFonts w:eastAsia="Times New Roman" w:cs="Arial"/>
                <w:lang w:eastAsia="cs-CZ"/>
              </w:rPr>
              <w:t>neposkytuje žádné přímé protiplnění. Příjemcem takové platby může být:</w:t>
            </w:r>
          </w:p>
          <w:p w:rsidR="00D92B9B" w:rsidRPr="00CF3336" w:rsidRDefault="0043430B" w:rsidP="00CF3336">
            <w:pPr>
              <w:pStyle w:val="Odstavecseseznamem"/>
              <w:numPr>
                <w:ilvl w:val="0"/>
                <w:numId w:val="4"/>
              </w:numPr>
              <w:spacing w:after="0" w:line="240" w:lineRule="auto"/>
              <w:jc w:val="both"/>
              <w:rPr>
                <w:rFonts w:eastAsia="Times New Roman" w:cs="Arial"/>
                <w:lang w:eastAsia="cs-CZ"/>
              </w:rPr>
            </w:pPr>
            <w:r w:rsidRPr="00CF3336">
              <w:rPr>
                <w:rFonts w:eastAsia="Times New Roman" w:cs="Arial"/>
                <w:lang w:eastAsia="cs-CZ"/>
              </w:rPr>
              <w:t>zahraniční vlád</w:t>
            </w:r>
            <w:r w:rsidR="00D92B9B" w:rsidRPr="00CF3336">
              <w:rPr>
                <w:rFonts w:eastAsia="Times New Roman" w:cs="Arial"/>
                <w:lang w:eastAsia="cs-CZ"/>
              </w:rPr>
              <w:t>a</w:t>
            </w:r>
            <w:r w:rsidRPr="00CF3336">
              <w:rPr>
                <w:rFonts w:eastAsia="Times New Roman" w:cs="Arial"/>
                <w:lang w:eastAsia="cs-CZ"/>
              </w:rPr>
              <w:t>,</w:t>
            </w:r>
          </w:p>
          <w:p w:rsidR="00D92B9B" w:rsidRPr="00CF3336" w:rsidRDefault="0043430B" w:rsidP="00CF3336">
            <w:pPr>
              <w:pStyle w:val="Odstavecseseznamem"/>
              <w:numPr>
                <w:ilvl w:val="0"/>
                <w:numId w:val="4"/>
              </w:numPr>
              <w:spacing w:after="0" w:line="240" w:lineRule="auto"/>
              <w:jc w:val="both"/>
              <w:rPr>
                <w:rFonts w:eastAsia="Times New Roman" w:cs="Arial"/>
                <w:lang w:eastAsia="cs-CZ"/>
              </w:rPr>
            </w:pPr>
            <w:r w:rsidRPr="00CF3336">
              <w:rPr>
                <w:rFonts w:eastAsia="Times New Roman" w:cs="Arial"/>
                <w:lang w:eastAsia="cs-CZ"/>
              </w:rPr>
              <w:t>mezinárodní organizac</w:t>
            </w:r>
            <w:r w:rsidR="00D92B9B" w:rsidRPr="00CF3336">
              <w:rPr>
                <w:rFonts w:eastAsia="Times New Roman" w:cs="Arial"/>
                <w:lang w:eastAsia="cs-CZ"/>
              </w:rPr>
              <w:t>e</w:t>
            </w:r>
            <w:r w:rsidRPr="00CF3336">
              <w:rPr>
                <w:rFonts w:eastAsia="Times New Roman" w:cs="Arial"/>
                <w:lang w:eastAsia="cs-CZ"/>
              </w:rPr>
              <w:t xml:space="preserve"> (např. Evropská unie, Mezinárodní měnový fond)</w:t>
            </w:r>
            <w:r w:rsidR="00D92B9B" w:rsidRPr="00CF3336">
              <w:rPr>
                <w:rFonts w:eastAsia="Times New Roman" w:cs="Arial"/>
                <w:lang w:eastAsia="cs-CZ"/>
              </w:rPr>
              <w:t>,</w:t>
            </w:r>
          </w:p>
          <w:p w:rsidR="00D92B9B" w:rsidRPr="00987E5B" w:rsidRDefault="00D92B9B" w:rsidP="00D92B9B">
            <w:pPr>
              <w:pStyle w:val="Odstavecseseznamem"/>
              <w:numPr>
                <w:ilvl w:val="0"/>
                <w:numId w:val="2"/>
              </w:numPr>
              <w:spacing w:after="0" w:line="240" w:lineRule="auto"/>
              <w:jc w:val="both"/>
              <w:rPr>
                <w:rFonts w:eastAsia="Times New Roman" w:cs="Arial"/>
                <w:lang w:eastAsia="cs-CZ"/>
              </w:rPr>
            </w:pPr>
            <w:r w:rsidRPr="00987E5B">
              <w:rPr>
                <w:rFonts w:eastAsia="Times New Roman" w:cs="Arial"/>
                <w:lang w:eastAsia="cs-CZ"/>
              </w:rPr>
              <w:t>ústřední vládní instituce (jednotk</w:t>
            </w:r>
            <w:r>
              <w:rPr>
                <w:rFonts w:eastAsia="Times New Roman" w:cs="Arial"/>
                <w:lang w:eastAsia="cs-CZ"/>
              </w:rPr>
              <w:t>a</w:t>
            </w:r>
            <w:r w:rsidRPr="00987E5B">
              <w:rPr>
                <w:rFonts w:eastAsia="Times New Roman" w:cs="Arial"/>
                <w:lang w:eastAsia="cs-CZ"/>
              </w:rPr>
              <w:t xml:space="preserve"> zařazen</w:t>
            </w:r>
            <w:r>
              <w:rPr>
                <w:rFonts w:eastAsia="Times New Roman" w:cs="Arial"/>
                <w:lang w:eastAsia="cs-CZ"/>
              </w:rPr>
              <w:t>á</w:t>
            </w:r>
            <w:r w:rsidRPr="00987E5B">
              <w:rPr>
                <w:rFonts w:eastAsia="Times New Roman" w:cs="Arial"/>
                <w:lang w:eastAsia="cs-CZ"/>
              </w:rPr>
              <w:t xml:space="preserve"> v RES do institucionální</w:t>
            </w:r>
            <w:r>
              <w:rPr>
                <w:rFonts w:eastAsia="Times New Roman" w:cs="Arial"/>
                <w:lang w:eastAsia="cs-CZ"/>
              </w:rPr>
              <w:t>ho</w:t>
            </w:r>
            <w:r w:rsidRPr="00987E5B">
              <w:rPr>
                <w:rFonts w:eastAsia="Times New Roman" w:cs="Arial"/>
                <w:lang w:eastAsia="cs-CZ"/>
              </w:rPr>
              <w:t xml:space="preserve"> sektor</w:t>
            </w:r>
            <w:r>
              <w:rPr>
                <w:rFonts w:eastAsia="Times New Roman" w:cs="Arial"/>
                <w:lang w:eastAsia="cs-CZ"/>
              </w:rPr>
              <w:t>u</w:t>
            </w:r>
            <w:r w:rsidRPr="00987E5B">
              <w:rPr>
                <w:rFonts w:eastAsia="Times New Roman" w:cs="Arial"/>
                <w:lang w:eastAsia="cs-CZ"/>
              </w:rPr>
              <w:t xml:space="preserve"> 13110)</w:t>
            </w:r>
            <w:r w:rsidR="00E15368">
              <w:rPr>
                <w:rFonts w:eastAsia="Times New Roman" w:cs="Arial"/>
                <w:lang w:eastAsia="cs-CZ"/>
              </w:rPr>
              <w:t>,</w:t>
            </w:r>
          </w:p>
          <w:p w:rsidR="00D92B9B" w:rsidRPr="00CF3336" w:rsidRDefault="00D92B9B" w:rsidP="00CF3336">
            <w:pPr>
              <w:pStyle w:val="Odstavecseseznamem"/>
              <w:numPr>
                <w:ilvl w:val="0"/>
                <w:numId w:val="2"/>
              </w:numPr>
              <w:spacing w:after="0" w:line="240" w:lineRule="auto"/>
              <w:jc w:val="both"/>
              <w:rPr>
                <w:rFonts w:eastAsia="Times New Roman" w:cs="Arial"/>
                <w:lang w:eastAsia="cs-CZ"/>
              </w:rPr>
            </w:pPr>
            <w:r w:rsidRPr="00CF3336">
              <w:rPr>
                <w:rFonts w:eastAsia="Times New Roman" w:cs="Arial"/>
                <w:lang w:eastAsia="cs-CZ"/>
              </w:rPr>
              <w:t xml:space="preserve">vládní instituce jiná než ústřední (jednotka zařazená v RES do institucionálního sektoru 13130 </w:t>
            </w:r>
            <w:r w:rsidR="00E15368">
              <w:rPr>
                <w:rFonts w:eastAsia="Times New Roman" w:cs="Arial"/>
                <w:lang w:eastAsia="cs-CZ"/>
              </w:rPr>
              <w:t>nebo</w:t>
            </w:r>
            <w:r w:rsidRPr="00CF3336">
              <w:rPr>
                <w:rFonts w:eastAsia="Times New Roman" w:cs="Arial"/>
                <w:lang w:eastAsia="cs-CZ"/>
              </w:rPr>
              <w:t xml:space="preserve"> 13140).</w:t>
            </w:r>
          </w:p>
          <w:p w:rsidR="0043430B" w:rsidRPr="0052084B" w:rsidRDefault="00CF33B8" w:rsidP="00CF3336">
            <w:pPr>
              <w:spacing w:after="0" w:line="240" w:lineRule="auto"/>
              <w:jc w:val="both"/>
              <w:rPr>
                <w:rFonts w:eastAsia="Times New Roman" w:cs="Arial"/>
                <w:lang w:eastAsia="cs-CZ"/>
              </w:rPr>
            </w:pPr>
            <w:r>
              <w:rPr>
                <w:rFonts w:eastAsia="Times New Roman" w:cs="Arial"/>
                <w:lang w:eastAsia="cs-CZ"/>
              </w:rPr>
              <w:t>Poskytnuté transfery rozdělené podle příjemce se dále člení na běžné (A.2.</w:t>
            </w:r>
            <w:r w:rsidR="00E15368">
              <w:rPr>
                <w:rFonts w:eastAsia="Times New Roman" w:cs="Arial"/>
                <w:lang w:eastAsia="cs-CZ"/>
              </w:rPr>
              <w:t>XI</w:t>
            </w:r>
            <w:r>
              <w:rPr>
                <w:rFonts w:eastAsia="Times New Roman" w:cs="Arial"/>
                <w:lang w:eastAsia="cs-CZ"/>
              </w:rPr>
              <w:t>.1., A.2.</w:t>
            </w:r>
            <w:r w:rsidR="00E15368">
              <w:rPr>
                <w:rFonts w:eastAsia="Times New Roman" w:cs="Arial"/>
                <w:lang w:eastAsia="cs-CZ"/>
              </w:rPr>
              <w:t>XI</w:t>
            </w:r>
            <w:r>
              <w:rPr>
                <w:rFonts w:eastAsia="Times New Roman" w:cs="Arial"/>
                <w:lang w:eastAsia="cs-CZ"/>
              </w:rPr>
              <w:t>.3., A.2.</w:t>
            </w:r>
            <w:r w:rsidR="00E15368">
              <w:rPr>
                <w:rFonts w:eastAsia="Times New Roman" w:cs="Arial"/>
                <w:lang w:eastAsia="cs-CZ"/>
              </w:rPr>
              <w:t>XI</w:t>
            </w:r>
            <w:r>
              <w:rPr>
                <w:rFonts w:eastAsia="Times New Roman" w:cs="Arial"/>
                <w:lang w:eastAsia="cs-CZ"/>
              </w:rPr>
              <w:t>.5.</w:t>
            </w:r>
            <w:r w:rsidR="00E15368">
              <w:rPr>
                <w:rFonts w:eastAsia="Times New Roman" w:cs="Arial"/>
                <w:lang w:eastAsia="cs-CZ"/>
              </w:rPr>
              <w:t>, A.2.XI.7.</w:t>
            </w:r>
            <w:r>
              <w:rPr>
                <w:rFonts w:eastAsia="Times New Roman" w:cs="Arial"/>
                <w:lang w:eastAsia="cs-CZ"/>
              </w:rPr>
              <w:t>) a kapitálové (A.2.</w:t>
            </w:r>
            <w:r w:rsidR="00E15368">
              <w:rPr>
                <w:rFonts w:eastAsia="Times New Roman" w:cs="Arial"/>
                <w:lang w:eastAsia="cs-CZ"/>
              </w:rPr>
              <w:t>XI</w:t>
            </w:r>
            <w:r>
              <w:rPr>
                <w:rFonts w:eastAsia="Times New Roman" w:cs="Arial"/>
                <w:lang w:eastAsia="cs-CZ"/>
              </w:rPr>
              <w:t>.2., A.2.</w:t>
            </w:r>
            <w:r w:rsidR="00E15368">
              <w:rPr>
                <w:rFonts w:eastAsia="Times New Roman" w:cs="Arial"/>
                <w:lang w:eastAsia="cs-CZ"/>
              </w:rPr>
              <w:t>XI</w:t>
            </w:r>
            <w:r>
              <w:rPr>
                <w:rFonts w:eastAsia="Times New Roman" w:cs="Arial"/>
                <w:lang w:eastAsia="cs-CZ"/>
              </w:rPr>
              <w:t>.4., A.2.</w:t>
            </w:r>
            <w:r w:rsidR="00E15368">
              <w:rPr>
                <w:rFonts w:eastAsia="Times New Roman" w:cs="Arial"/>
                <w:lang w:eastAsia="cs-CZ"/>
              </w:rPr>
              <w:t>XI</w:t>
            </w:r>
            <w:r>
              <w:rPr>
                <w:rFonts w:eastAsia="Times New Roman" w:cs="Arial"/>
                <w:lang w:eastAsia="cs-CZ"/>
              </w:rPr>
              <w:t>.6.</w:t>
            </w:r>
            <w:r w:rsidR="00E15368">
              <w:rPr>
                <w:rFonts w:eastAsia="Times New Roman" w:cs="Arial"/>
                <w:lang w:eastAsia="cs-CZ"/>
              </w:rPr>
              <w:t>, A.2.XI.8.</w:t>
            </w:r>
            <w:r>
              <w:rPr>
                <w:rFonts w:eastAsia="Times New Roman" w:cs="Arial"/>
                <w:lang w:eastAsia="cs-CZ"/>
              </w:rPr>
              <w:t>).</w:t>
            </w:r>
            <w:r w:rsidR="0043430B" w:rsidRPr="0052084B">
              <w:rPr>
                <w:rFonts w:eastAsia="Times New Roman" w:cs="Arial"/>
                <w:lang w:eastAsia="cs-CZ"/>
              </w:rPr>
              <w:t xml:space="preserve"> Kapitálový </w:t>
            </w:r>
            <w:r w:rsidR="00813182">
              <w:rPr>
                <w:rFonts w:eastAsia="Times New Roman" w:cs="Arial"/>
                <w:lang w:eastAsia="cs-CZ"/>
              </w:rPr>
              <w:t xml:space="preserve">(investiční) </w:t>
            </w:r>
            <w:r w:rsidR="0043430B" w:rsidRPr="0052084B">
              <w:rPr>
                <w:rFonts w:eastAsia="Times New Roman" w:cs="Arial"/>
                <w:lang w:eastAsia="cs-CZ"/>
              </w:rPr>
              <w:t>převod peněžních prostředků se váže na pořízení dlouhodobého majetku příjemcem. Existují-li pochybnosti o</w:t>
            </w:r>
            <w:r w:rsidR="00CF3336">
              <w:rPr>
                <w:rFonts w:eastAsia="Times New Roman" w:cs="Arial"/>
                <w:lang w:eastAsia="cs-CZ"/>
              </w:rPr>
              <w:t> </w:t>
            </w:r>
            <w:r w:rsidR="0043430B" w:rsidRPr="0052084B">
              <w:rPr>
                <w:rFonts w:eastAsia="Times New Roman" w:cs="Arial"/>
                <w:lang w:eastAsia="cs-CZ"/>
              </w:rPr>
              <w:t>povaze transferu, zda je běžný nebo kapitálový, měl by být klasifikován jako běžný.</w:t>
            </w:r>
            <w:r w:rsidR="00B12EC2">
              <w:rPr>
                <w:rFonts w:eastAsia="Times New Roman" w:cs="Arial"/>
                <w:lang w:eastAsia="cs-CZ"/>
              </w:rPr>
              <w:t xml:space="preserve"> </w:t>
            </w:r>
            <w:r w:rsidR="00B12EC2" w:rsidRPr="00800FEE">
              <w:rPr>
                <w:rFonts w:eastAsia="Times New Roman" w:cs="Arial"/>
                <w:lang w:eastAsia="cs-CZ"/>
              </w:rPr>
              <w:t>Platí však zásada, že každý transfer by měl být klasifikován shodně oběma stranami (tj. poskytovatelem i příjemcem).</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w:t>
            </w:r>
            <w:r w:rsidR="00E15368">
              <w:rPr>
                <w:rFonts w:eastAsia="Times New Roman" w:cs="Arial"/>
                <w:b/>
                <w:bCs/>
                <w:lang w:eastAsia="cs-CZ"/>
              </w:rPr>
              <w:t>II</w:t>
            </w:r>
            <w:r w:rsidRPr="0052084B">
              <w:rPr>
                <w:rFonts w:eastAsia="Times New Roman" w:cs="Arial"/>
                <w:b/>
                <w:bCs/>
                <w:lang w:eastAsia="cs-CZ"/>
              </w:rPr>
              <w:t>.</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Výdaje na sociální dávky</w:t>
            </w:r>
          </w:p>
        </w:tc>
      </w:tr>
      <w:tr w:rsidR="0043430B" w:rsidRPr="001B70EE" w:rsidTr="00A71CE6">
        <w:trPr>
          <w:trHeight w:val="855"/>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52084B" w:rsidRDefault="0043430B" w:rsidP="00401565">
            <w:pPr>
              <w:spacing w:after="0" w:line="240" w:lineRule="auto"/>
              <w:jc w:val="both"/>
              <w:rPr>
                <w:rFonts w:eastAsia="Times New Roman" w:cs="Arial"/>
                <w:lang w:eastAsia="cs-CZ"/>
              </w:rPr>
            </w:pPr>
            <w:r w:rsidRPr="0052084B">
              <w:rPr>
                <w:rFonts w:eastAsia="Times New Roman" w:cs="Arial"/>
                <w:lang w:eastAsia="cs-CZ"/>
              </w:rPr>
              <w:t>Sociální dávky jsou platby domácnostem, které poskytují</w:t>
            </w:r>
            <w:r>
              <w:rPr>
                <w:rFonts w:eastAsia="Times New Roman" w:cs="Arial"/>
                <w:lang w:eastAsia="cs-CZ"/>
              </w:rPr>
              <w:t xml:space="preserve"> ochranu před sociálními riziky</w:t>
            </w:r>
            <w:r w:rsidRPr="0052084B">
              <w:rPr>
                <w:rFonts w:eastAsia="Times New Roman" w:cs="Arial"/>
                <w:lang w:eastAsia="cs-CZ"/>
              </w:rPr>
              <w:t xml:space="preserve"> v podobě dávek a </w:t>
            </w:r>
            <w:r>
              <w:rPr>
                <w:rFonts w:eastAsia="Times New Roman" w:cs="Arial"/>
                <w:lang w:eastAsia="cs-CZ"/>
              </w:rPr>
              <w:t>podpor vyplácených v rámci systému sociálního</w:t>
            </w:r>
            <w:r w:rsidRPr="0052084B">
              <w:rPr>
                <w:rFonts w:eastAsia="Times New Roman" w:cs="Arial"/>
                <w:lang w:eastAsia="cs-CZ"/>
              </w:rPr>
              <w:t xml:space="preserve"> zabezpečení (A.2.X</w:t>
            </w:r>
            <w:r w:rsidR="005A62A8">
              <w:rPr>
                <w:rFonts w:eastAsia="Times New Roman" w:cs="Arial"/>
                <w:lang w:eastAsia="cs-CZ"/>
              </w:rPr>
              <w:t>II</w:t>
            </w:r>
            <w:r w:rsidRPr="0052084B">
              <w:rPr>
                <w:rFonts w:eastAsia="Times New Roman" w:cs="Arial"/>
                <w:lang w:eastAsia="cs-CZ"/>
              </w:rPr>
              <w:t>.1.)</w:t>
            </w:r>
            <w:r>
              <w:rPr>
                <w:rFonts w:eastAsia="Times New Roman" w:cs="Arial"/>
                <w:lang w:eastAsia="cs-CZ"/>
              </w:rPr>
              <w:t xml:space="preserve"> </w:t>
            </w:r>
            <w:r w:rsidRPr="0052084B">
              <w:rPr>
                <w:rFonts w:eastAsia="Times New Roman" w:cs="Arial"/>
                <w:lang w:eastAsia="cs-CZ"/>
              </w:rPr>
              <w:t xml:space="preserve">nebo vyplácené za </w:t>
            </w:r>
            <w:r>
              <w:rPr>
                <w:rFonts w:eastAsia="Times New Roman" w:cs="Arial"/>
                <w:lang w:eastAsia="cs-CZ"/>
              </w:rPr>
              <w:t>obdobným účelem, ale mimo systém</w:t>
            </w:r>
            <w:r w:rsidRPr="0052084B">
              <w:rPr>
                <w:rFonts w:eastAsia="Times New Roman" w:cs="Arial"/>
                <w:lang w:eastAsia="cs-CZ"/>
              </w:rPr>
              <w:t xml:space="preserve"> sociálního pojištění v podobě dávek sociální pomoci (A.2.X</w:t>
            </w:r>
            <w:r w:rsidR="005A62A8">
              <w:rPr>
                <w:rFonts w:eastAsia="Times New Roman" w:cs="Arial"/>
                <w:lang w:eastAsia="cs-CZ"/>
              </w:rPr>
              <w:t>II</w:t>
            </w:r>
            <w:r w:rsidRPr="0052084B">
              <w:rPr>
                <w:rFonts w:eastAsia="Times New Roman" w:cs="Arial"/>
                <w:lang w:eastAsia="cs-CZ"/>
              </w:rPr>
              <w:t>.2.).</w:t>
            </w:r>
            <w:r>
              <w:rPr>
                <w:rFonts w:eastAsia="Times New Roman" w:cs="Arial"/>
                <w:lang w:eastAsia="cs-CZ"/>
              </w:rPr>
              <w:t xml:space="preserve"> Dále do této kategorie patří výdaje obdobného charakteru, které však vyplácí vládní instituce z pozice zaměstnavatele svým zaměstnancům (A.2.X</w:t>
            </w:r>
            <w:r w:rsidR="005A62A8">
              <w:rPr>
                <w:rFonts w:eastAsia="Times New Roman" w:cs="Arial"/>
                <w:lang w:eastAsia="cs-CZ"/>
              </w:rPr>
              <w:t>II</w:t>
            </w:r>
            <w:r>
              <w:rPr>
                <w:rFonts w:eastAsia="Times New Roman" w:cs="Arial"/>
                <w:lang w:eastAsia="cs-CZ"/>
              </w:rPr>
              <w:t>.3.).</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w:t>
            </w:r>
            <w:r w:rsidR="00E15368">
              <w:rPr>
                <w:rFonts w:eastAsia="Times New Roman" w:cs="Arial"/>
                <w:b/>
                <w:bCs/>
                <w:lang w:eastAsia="cs-CZ"/>
              </w:rPr>
              <w:t>II</w:t>
            </w:r>
            <w:r w:rsidRPr="0052084B">
              <w:rPr>
                <w:rFonts w:eastAsia="Times New Roman" w:cs="Arial"/>
                <w:b/>
                <w:bCs/>
                <w:lang w:eastAsia="cs-CZ"/>
              </w:rPr>
              <w:t>.1.</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Dávky sociálního zabezpečení</w:t>
            </w:r>
          </w:p>
        </w:tc>
      </w:tr>
      <w:tr w:rsidR="0043430B" w:rsidRPr="001B70EE" w:rsidTr="00A71CE6">
        <w:trPr>
          <w:trHeight w:val="591"/>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401565">
            <w:pPr>
              <w:spacing w:after="0" w:line="240" w:lineRule="auto"/>
              <w:jc w:val="both"/>
              <w:rPr>
                <w:rFonts w:eastAsia="Times New Roman" w:cs="Arial"/>
                <w:lang w:eastAsia="cs-CZ"/>
              </w:rPr>
            </w:pPr>
            <w:r w:rsidRPr="0052084B">
              <w:rPr>
                <w:rFonts w:eastAsia="Times New Roman" w:cs="Arial"/>
                <w:lang w:eastAsia="cs-CZ"/>
              </w:rPr>
              <w:t>Patří sem dávky vyplácené v</w:t>
            </w:r>
            <w:r w:rsidR="00EF580C">
              <w:rPr>
                <w:rFonts w:eastAsia="Times New Roman" w:cs="Arial"/>
                <w:lang w:eastAsia="cs-CZ"/>
              </w:rPr>
              <w:t xml:space="preserve"> rámci </w:t>
            </w:r>
            <w:r w:rsidRPr="0052084B">
              <w:rPr>
                <w:rFonts w:eastAsia="Times New Roman" w:cs="Arial"/>
                <w:lang w:eastAsia="cs-CZ"/>
              </w:rPr>
              <w:t>systém</w:t>
            </w:r>
            <w:r w:rsidR="00EF580C">
              <w:rPr>
                <w:rFonts w:eastAsia="Times New Roman" w:cs="Arial"/>
                <w:lang w:eastAsia="cs-CZ"/>
              </w:rPr>
              <w:t>u</w:t>
            </w:r>
            <w:r w:rsidRPr="0052084B">
              <w:rPr>
                <w:rFonts w:eastAsia="Times New Roman" w:cs="Arial"/>
                <w:lang w:eastAsia="cs-CZ"/>
              </w:rPr>
              <w:t xml:space="preserve"> nemocenského pojištění, důchodového pojištění a státní politiky zaměstnanosti, včetně dávek státní sociální podpory a dalších sociálních dávek.</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w:t>
            </w:r>
            <w:r w:rsidR="00E15368">
              <w:rPr>
                <w:rFonts w:eastAsia="Times New Roman" w:cs="Arial"/>
                <w:b/>
                <w:bCs/>
                <w:lang w:eastAsia="cs-CZ"/>
              </w:rPr>
              <w:t>II</w:t>
            </w:r>
            <w:r w:rsidRPr="0052084B">
              <w:rPr>
                <w:rFonts w:eastAsia="Times New Roman" w:cs="Arial"/>
                <w:b/>
                <w:bCs/>
                <w:lang w:eastAsia="cs-CZ"/>
              </w:rPr>
              <w:t>.2.</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Dávky sociální pomoci</w:t>
            </w:r>
          </w:p>
        </w:tc>
      </w:tr>
      <w:tr w:rsidR="0043430B" w:rsidRPr="001B70EE" w:rsidTr="00116803">
        <w:trPr>
          <w:trHeight w:val="409"/>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pPr>
              <w:spacing w:after="0" w:line="240" w:lineRule="auto"/>
              <w:jc w:val="both"/>
              <w:rPr>
                <w:rFonts w:eastAsia="Times New Roman" w:cs="Arial"/>
                <w:lang w:eastAsia="cs-CZ"/>
              </w:rPr>
            </w:pPr>
            <w:r w:rsidRPr="0052084B">
              <w:rPr>
                <w:rFonts w:eastAsia="Times New Roman" w:cs="Arial"/>
                <w:lang w:eastAsia="cs-CZ"/>
              </w:rPr>
              <w:t>Zahrnují</w:t>
            </w:r>
            <w:r>
              <w:rPr>
                <w:rFonts w:eastAsia="Times New Roman" w:cs="Arial"/>
                <w:lang w:eastAsia="cs-CZ"/>
              </w:rPr>
              <w:t xml:space="preserve"> dávky domácnostem obdobného charakteru </w:t>
            </w:r>
            <w:r w:rsidRPr="0052084B">
              <w:rPr>
                <w:rFonts w:eastAsia="Times New Roman" w:cs="Arial"/>
                <w:lang w:eastAsia="cs-CZ"/>
              </w:rPr>
              <w:t xml:space="preserve">jako </w:t>
            </w:r>
            <w:r w:rsidR="00EF580C">
              <w:rPr>
                <w:rFonts w:eastAsia="Times New Roman" w:cs="Arial"/>
                <w:lang w:eastAsia="cs-CZ"/>
              </w:rPr>
              <w:t xml:space="preserve">ty zaznamenané na položce </w:t>
            </w:r>
            <w:r w:rsidRPr="0052084B">
              <w:rPr>
                <w:rFonts w:eastAsia="Times New Roman" w:cs="Arial"/>
                <w:lang w:eastAsia="cs-CZ"/>
              </w:rPr>
              <w:t>A.2.X</w:t>
            </w:r>
            <w:r w:rsidR="00EF580C">
              <w:rPr>
                <w:rFonts w:eastAsia="Times New Roman" w:cs="Arial"/>
                <w:lang w:eastAsia="cs-CZ"/>
              </w:rPr>
              <w:t>II</w:t>
            </w:r>
            <w:r w:rsidRPr="0052084B">
              <w:rPr>
                <w:rFonts w:eastAsia="Times New Roman" w:cs="Arial"/>
                <w:lang w:eastAsia="cs-CZ"/>
              </w:rPr>
              <w:t xml:space="preserve">.1., ale vyplácené mimo systém sociálního pojištění. </w:t>
            </w:r>
            <w:r>
              <w:rPr>
                <w:rFonts w:eastAsia="Times New Roman" w:cs="Arial"/>
                <w:lang w:eastAsia="cs-CZ"/>
              </w:rPr>
              <w:t xml:space="preserve">Nárok na tyto dávky není podmíněn placením příspěvků. </w:t>
            </w:r>
            <w:r w:rsidRPr="0052084B">
              <w:rPr>
                <w:rFonts w:eastAsia="Times New Roman" w:cs="Arial"/>
                <w:lang w:eastAsia="cs-CZ"/>
              </w:rPr>
              <w:t>Jedná se například o sociální stipendia vyplácená studentům.</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w:t>
            </w:r>
            <w:r w:rsidR="00E15368">
              <w:rPr>
                <w:rFonts w:eastAsia="Times New Roman" w:cs="Arial"/>
                <w:b/>
                <w:bCs/>
                <w:lang w:eastAsia="cs-CZ"/>
              </w:rPr>
              <w:t>II</w:t>
            </w:r>
            <w:r w:rsidRPr="0052084B">
              <w:rPr>
                <w:rFonts w:eastAsia="Times New Roman" w:cs="Arial"/>
                <w:b/>
                <w:bCs/>
                <w:lang w:eastAsia="cs-CZ"/>
              </w:rPr>
              <w:t>.3.</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Sociální dávky zaměstnavatelů</w:t>
            </w:r>
          </w:p>
        </w:tc>
      </w:tr>
      <w:tr w:rsidR="0043430B" w:rsidRPr="001B70EE" w:rsidTr="00116803">
        <w:trPr>
          <w:trHeight w:val="556"/>
        </w:trPr>
        <w:tc>
          <w:tcPr>
            <w:tcW w:w="1291" w:type="dxa"/>
            <w:tcBorders>
              <w:left w:val="single" w:sz="4" w:space="0" w:color="auto"/>
              <w:bottom w:val="single" w:sz="4" w:space="0" w:color="000000"/>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000000"/>
              <w:right w:val="single" w:sz="4" w:space="0" w:color="000000"/>
            </w:tcBorders>
            <w:shd w:val="clear" w:color="auto" w:fill="auto"/>
            <w:vAlign w:val="center"/>
            <w:hideMark/>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lang w:eastAsia="cs-CZ"/>
              </w:rPr>
              <w:t>Patří sem dávky vyplácené vládní institucí svým zaměstnancům (popř. jejich pozůstalý</w:t>
            </w:r>
            <w:r>
              <w:rPr>
                <w:rFonts w:eastAsia="Times New Roman" w:cs="Arial"/>
                <w:lang w:eastAsia="cs-CZ"/>
              </w:rPr>
              <w:t>m a rodinným příslušníkům, kteří</w:t>
            </w:r>
            <w:r w:rsidRPr="0052084B">
              <w:rPr>
                <w:rFonts w:eastAsia="Times New Roman" w:cs="Arial"/>
                <w:lang w:eastAsia="cs-CZ"/>
              </w:rPr>
              <w:t xml:space="preserve"> mají na takové platby nárok). Jedná se o dávky jiného než penzijního charakteru, např. v případě překážek v práci z důvodu nemoci, pracovního </w:t>
            </w:r>
            <w:r w:rsidRPr="008D1BE8">
              <w:rPr>
                <w:rFonts w:eastAsia="Times New Roman" w:cs="Arial"/>
                <w:lang w:eastAsia="cs-CZ"/>
              </w:rPr>
              <w:t>úrazu (náhrada mzdy)</w:t>
            </w:r>
            <w:r w:rsidRPr="0052084B">
              <w:rPr>
                <w:rFonts w:eastAsia="Times New Roman" w:cs="Arial"/>
                <w:lang w:eastAsia="cs-CZ"/>
              </w:rPr>
              <w:t xml:space="preserve">, výdaje zaměstnavatele na zdravotní péči pro zaměstnance nesouvisející s vlastní prací. </w:t>
            </w:r>
          </w:p>
        </w:tc>
      </w:tr>
      <w:tr w:rsidR="00E15368" w:rsidRPr="001B70EE" w:rsidTr="00116803">
        <w:trPr>
          <w:trHeight w:val="255"/>
        </w:trPr>
        <w:tc>
          <w:tcPr>
            <w:tcW w:w="1291" w:type="dxa"/>
            <w:tcBorders>
              <w:top w:val="single" w:sz="4" w:space="0" w:color="000000"/>
              <w:left w:val="single" w:sz="4" w:space="0" w:color="auto"/>
              <w:right w:val="single" w:sz="4" w:space="0" w:color="000000"/>
            </w:tcBorders>
            <w:shd w:val="clear" w:color="auto" w:fill="auto"/>
            <w:noWrap/>
            <w:vAlign w:val="center"/>
          </w:tcPr>
          <w:p w:rsidR="00E15368" w:rsidRPr="0052084B" w:rsidRDefault="00E15368" w:rsidP="00C3149D">
            <w:pPr>
              <w:spacing w:after="0" w:line="240" w:lineRule="auto"/>
              <w:rPr>
                <w:rFonts w:eastAsia="Times New Roman" w:cs="Arial"/>
                <w:b/>
                <w:bCs/>
                <w:lang w:eastAsia="cs-CZ"/>
              </w:rPr>
            </w:pPr>
            <w:r>
              <w:rPr>
                <w:rFonts w:eastAsia="Times New Roman" w:cs="Arial"/>
                <w:b/>
                <w:bCs/>
                <w:lang w:eastAsia="cs-CZ"/>
              </w:rPr>
              <w:lastRenderedPageBreak/>
              <w:t>A.2.XIII.</w:t>
            </w:r>
          </w:p>
        </w:tc>
        <w:tc>
          <w:tcPr>
            <w:tcW w:w="12958" w:type="dxa"/>
            <w:tcBorders>
              <w:top w:val="single" w:sz="4" w:space="0" w:color="000000"/>
              <w:left w:val="nil"/>
              <w:right w:val="single" w:sz="4" w:space="0" w:color="000000"/>
            </w:tcBorders>
            <w:shd w:val="clear" w:color="auto" w:fill="auto"/>
            <w:vAlign w:val="center"/>
          </w:tcPr>
          <w:p w:rsidR="00E15368" w:rsidRPr="0052084B" w:rsidRDefault="00E15368" w:rsidP="001203D0">
            <w:pPr>
              <w:spacing w:after="0" w:line="240" w:lineRule="auto"/>
              <w:jc w:val="both"/>
              <w:rPr>
                <w:rFonts w:eastAsia="Times New Roman" w:cs="Arial"/>
                <w:b/>
                <w:lang w:eastAsia="cs-CZ"/>
              </w:rPr>
            </w:pPr>
            <w:r w:rsidRPr="00E15368">
              <w:rPr>
                <w:rFonts w:eastAsia="Times New Roman" w:cs="Arial"/>
                <w:b/>
                <w:lang w:eastAsia="cs-CZ"/>
              </w:rPr>
              <w:t>Výdaje na neživotní pojištění a standardizované záruční programy</w:t>
            </w:r>
          </w:p>
        </w:tc>
      </w:tr>
      <w:tr w:rsidR="00E15368" w:rsidRPr="001B70EE" w:rsidTr="00A71CE6">
        <w:trPr>
          <w:trHeight w:val="255"/>
        </w:trPr>
        <w:tc>
          <w:tcPr>
            <w:tcW w:w="1291" w:type="dxa"/>
            <w:tcBorders>
              <w:left w:val="single" w:sz="4" w:space="0" w:color="auto"/>
              <w:bottom w:val="single" w:sz="4" w:space="0" w:color="auto"/>
              <w:right w:val="single" w:sz="4" w:space="0" w:color="000000"/>
            </w:tcBorders>
            <w:shd w:val="clear" w:color="auto" w:fill="auto"/>
            <w:noWrap/>
            <w:vAlign w:val="center"/>
          </w:tcPr>
          <w:p w:rsidR="00E15368" w:rsidRPr="0052084B" w:rsidRDefault="00E15368"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9D02C3" w:rsidRPr="00CF3336" w:rsidRDefault="00DF09ED">
            <w:pPr>
              <w:spacing w:after="0" w:line="240" w:lineRule="auto"/>
              <w:jc w:val="both"/>
              <w:rPr>
                <w:rFonts w:eastAsia="Times New Roman" w:cs="Arial"/>
                <w:lang w:eastAsia="cs-CZ"/>
              </w:rPr>
            </w:pPr>
            <w:r w:rsidRPr="00CF3336">
              <w:rPr>
                <w:rFonts w:eastAsia="Times New Roman" w:cs="Arial"/>
                <w:lang w:eastAsia="cs-CZ"/>
              </w:rPr>
              <w:t xml:space="preserve">V rámci této kategorie jsou zachyceny výdaje </w:t>
            </w:r>
            <w:r w:rsidR="009D02C3" w:rsidRPr="00CF3336">
              <w:rPr>
                <w:rFonts w:eastAsia="Times New Roman" w:cs="Arial"/>
                <w:lang w:eastAsia="cs-CZ"/>
              </w:rPr>
              <w:t xml:space="preserve">v podobě pojistného na neživotní pojištění placené vládní institucí v roli pojištěného, stejně jako pojistné plnění vyplacené vládní institucí v pozici pojišťovny. </w:t>
            </w:r>
            <w:r w:rsidR="004C0D96" w:rsidRPr="00CF3336">
              <w:rPr>
                <w:rFonts w:eastAsia="Times New Roman" w:cs="Arial"/>
                <w:lang w:eastAsia="cs-CZ"/>
              </w:rPr>
              <w:t>Ve spojitosti se standardizovanými záručními programy</w:t>
            </w:r>
            <w:r w:rsidR="009D02C3" w:rsidRPr="00CF3336">
              <w:rPr>
                <w:rFonts w:eastAsia="Times New Roman" w:cs="Arial"/>
                <w:lang w:eastAsia="cs-CZ"/>
              </w:rPr>
              <w:t xml:space="preserve"> se zde zaznamenávají </w:t>
            </w:r>
            <w:r w:rsidR="004C0D96" w:rsidRPr="00CF3336">
              <w:rPr>
                <w:rFonts w:eastAsia="Times New Roman" w:cs="Arial"/>
                <w:lang w:eastAsia="cs-CZ"/>
              </w:rPr>
              <w:t>poplatky</w:t>
            </w:r>
            <w:r w:rsidR="00D0099C">
              <w:rPr>
                <w:rFonts w:eastAsia="Times New Roman" w:cs="Arial"/>
                <w:lang w:eastAsia="cs-CZ"/>
              </w:rPr>
              <w:t xml:space="preserve"> </w:t>
            </w:r>
            <w:r w:rsidR="00632410">
              <w:rPr>
                <w:rFonts w:eastAsia="Times New Roman" w:cs="Arial"/>
                <w:lang w:eastAsia="cs-CZ"/>
              </w:rPr>
              <w:t>hrazené vládní institucí poskytovate</w:t>
            </w:r>
            <w:r w:rsidR="00BF5DEE">
              <w:rPr>
                <w:rFonts w:eastAsia="Times New Roman" w:cs="Arial"/>
                <w:lang w:eastAsia="cs-CZ"/>
              </w:rPr>
              <w:t>li takových záruk; n</w:t>
            </w:r>
            <w:r w:rsidR="00632410">
              <w:rPr>
                <w:rFonts w:eastAsia="Times New Roman" w:cs="Arial"/>
                <w:lang w:eastAsia="cs-CZ"/>
              </w:rPr>
              <w:t xml:space="preserve">a straně poskytovatele </w:t>
            </w:r>
            <w:r w:rsidR="00BF5DEE">
              <w:rPr>
                <w:rFonts w:eastAsia="Times New Roman" w:cs="Arial"/>
                <w:lang w:eastAsia="cs-CZ"/>
              </w:rPr>
              <w:t>pak</w:t>
            </w:r>
            <w:r w:rsidR="004C0D96" w:rsidRPr="00CF3336">
              <w:rPr>
                <w:rFonts w:eastAsia="Times New Roman" w:cs="Arial"/>
                <w:lang w:eastAsia="cs-CZ"/>
              </w:rPr>
              <w:t xml:space="preserve"> plnění z těchto záruk v případě defaultu dlužníka. </w:t>
            </w:r>
          </w:p>
        </w:tc>
      </w:tr>
      <w:tr w:rsidR="00E15368"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E15368" w:rsidRPr="0052084B" w:rsidRDefault="00DF09ED" w:rsidP="00C3149D">
            <w:pPr>
              <w:spacing w:after="0" w:line="240" w:lineRule="auto"/>
              <w:rPr>
                <w:rFonts w:eastAsia="Times New Roman" w:cs="Arial"/>
                <w:b/>
                <w:bCs/>
                <w:lang w:eastAsia="cs-CZ"/>
              </w:rPr>
            </w:pPr>
            <w:r>
              <w:rPr>
                <w:rFonts w:eastAsia="Times New Roman" w:cs="Arial"/>
                <w:b/>
                <w:bCs/>
                <w:lang w:eastAsia="cs-CZ"/>
              </w:rPr>
              <w:t>A.2.XIII.1.</w:t>
            </w:r>
          </w:p>
        </w:tc>
        <w:tc>
          <w:tcPr>
            <w:tcW w:w="12958" w:type="dxa"/>
            <w:tcBorders>
              <w:top w:val="single" w:sz="4" w:space="0" w:color="auto"/>
              <w:left w:val="nil"/>
              <w:right w:val="single" w:sz="4" w:space="0" w:color="000000"/>
            </w:tcBorders>
            <w:shd w:val="clear" w:color="auto" w:fill="auto"/>
            <w:vAlign w:val="center"/>
          </w:tcPr>
          <w:p w:rsidR="00E15368" w:rsidRPr="0052084B" w:rsidRDefault="00DF09ED" w:rsidP="001203D0">
            <w:pPr>
              <w:spacing w:after="0" w:line="240" w:lineRule="auto"/>
              <w:jc w:val="both"/>
              <w:rPr>
                <w:rFonts w:eastAsia="Times New Roman" w:cs="Arial"/>
                <w:b/>
                <w:lang w:eastAsia="cs-CZ"/>
              </w:rPr>
            </w:pPr>
            <w:r>
              <w:rPr>
                <w:rFonts w:eastAsia="Times New Roman" w:cs="Arial"/>
                <w:b/>
                <w:lang w:eastAsia="cs-CZ"/>
              </w:rPr>
              <w:t>Pojistné na neživotní</w:t>
            </w:r>
            <w:r w:rsidRPr="00013D13">
              <w:rPr>
                <w:rFonts w:eastAsia="Times New Roman" w:cs="Arial"/>
                <w:b/>
                <w:lang w:eastAsia="cs-CZ"/>
              </w:rPr>
              <w:t xml:space="preserve"> pojištění</w:t>
            </w:r>
          </w:p>
        </w:tc>
      </w:tr>
      <w:tr w:rsidR="00E15368" w:rsidRPr="001B70EE" w:rsidTr="00A71CE6">
        <w:trPr>
          <w:trHeight w:val="255"/>
        </w:trPr>
        <w:tc>
          <w:tcPr>
            <w:tcW w:w="1291" w:type="dxa"/>
            <w:tcBorders>
              <w:left w:val="single" w:sz="4" w:space="0" w:color="auto"/>
              <w:bottom w:val="single" w:sz="4" w:space="0" w:color="auto"/>
              <w:right w:val="single" w:sz="4" w:space="0" w:color="000000"/>
            </w:tcBorders>
            <w:shd w:val="clear" w:color="auto" w:fill="auto"/>
            <w:noWrap/>
            <w:vAlign w:val="center"/>
          </w:tcPr>
          <w:p w:rsidR="00E15368" w:rsidRPr="0052084B" w:rsidRDefault="00E15368"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E15368" w:rsidRPr="000D7132" w:rsidRDefault="00D81D22" w:rsidP="001203D0">
            <w:pPr>
              <w:spacing w:after="0" w:line="240" w:lineRule="auto"/>
              <w:jc w:val="both"/>
              <w:rPr>
                <w:rFonts w:eastAsia="Times New Roman" w:cs="Arial"/>
                <w:lang w:eastAsia="cs-CZ"/>
              </w:rPr>
            </w:pPr>
            <w:r w:rsidRPr="0052084B">
              <w:rPr>
                <w:rFonts w:eastAsia="Times New Roman" w:cs="Arial"/>
                <w:lang w:eastAsia="cs-CZ"/>
              </w:rPr>
              <w:t xml:space="preserve">Zahrnuje pojistné na neživotní pojištění zaplacené </w:t>
            </w:r>
            <w:r>
              <w:rPr>
                <w:rFonts w:eastAsia="Times New Roman" w:cs="Arial"/>
                <w:lang w:eastAsia="cs-CZ"/>
              </w:rPr>
              <w:t xml:space="preserve">vládní institucí </w:t>
            </w:r>
            <w:r w:rsidRPr="0052084B">
              <w:rPr>
                <w:rFonts w:eastAsia="Times New Roman" w:cs="Arial"/>
                <w:lang w:eastAsia="cs-CZ"/>
              </w:rPr>
              <w:t>pojišťovně za poskytované pojistné krytí</w:t>
            </w:r>
            <w:r>
              <w:rPr>
                <w:rFonts w:eastAsia="Times New Roman" w:cs="Arial"/>
                <w:lang w:eastAsia="cs-CZ"/>
              </w:rPr>
              <w:t>.</w:t>
            </w:r>
          </w:p>
        </w:tc>
      </w:tr>
      <w:tr w:rsidR="00E15368"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E15368" w:rsidRPr="0052084B" w:rsidRDefault="00DF09ED" w:rsidP="00C3149D">
            <w:pPr>
              <w:spacing w:after="0" w:line="240" w:lineRule="auto"/>
              <w:rPr>
                <w:rFonts w:eastAsia="Times New Roman" w:cs="Arial"/>
                <w:b/>
                <w:bCs/>
                <w:lang w:eastAsia="cs-CZ"/>
              </w:rPr>
            </w:pPr>
            <w:r>
              <w:rPr>
                <w:rFonts w:eastAsia="Times New Roman" w:cs="Arial"/>
                <w:b/>
                <w:bCs/>
                <w:lang w:eastAsia="cs-CZ"/>
              </w:rPr>
              <w:t>A.2.XIII.2.</w:t>
            </w:r>
          </w:p>
        </w:tc>
        <w:tc>
          <w:tcPr>
            <w:tcW w:w="12958" w:type="dxa"/>
            <w:tcBorders>
              <w:top w:val="single" w:sz="4" w:space="0" w:color="auto"/>
              <w:left w:val="nil"/>
              <w:right w:val="single" w:sz="4" w:space="0" w:color="000000"/>
            </w:tcBorders>
            <w:shd w:val="clear" w:color="auto" w:fill="auto"/>
            <w:vAlign w:val="center"/>
          </w:tcPr>
          <w:p w:rsidR="00E15368" w:rsidRPr="0052084B" w:rsidRDefault="00DF09ED" w:rsidP="001203D0">
            <w:pPr>
              <w:spacing w:after="0" w:line="240" w:lineRule="auto"/>
              <w:jc w:val="both"/>
              <w:rPr>
                <w:rFonts w:eastAsia="Times New Roman" w:cs="Arial"/>
                <w:b/>
                <w:lang w:eastAsia="cs-CZ"/>
              </w:rPr>
            </w:pPr>
            <w:r>
              <w:rPr>
                <w:rFonts w:eastAsia="Times New Roman" w:cs="Arial"/>
                <w:b/>
                <w:bCs/>
                <w:lang w:eastAsia="cs-CZ"/>
              </w:rPr>
              <w:t>Poplatky na standardizované záruční programy</w:t>
            </w:r>
          </w:p>
        </w:tc>
      </w:tr>
      <w:tr w:rsidR="00E15368" w:rsidRPr="001B70EE" w:rsidTr="00A71CE6">
        <w:trPr>
          <w:trHeight w:val="255"/>
        </w:trPr>
        <w:tc>
          <w:tcPr>
            <w:tcW w:w="1291" w:type="dxa"/>
            <w:tcBorders>
              <w:left w:val="single" w:sz="4" w:space="0" w:color="auto"/>
              <w:bottom w:val="single" w:sz="4" w:space="0" w:color="auto"/>
              <w:right w:val="single" w:sz="4" w:space="0" w:color="000000"/>
            </w:tcBorders>
            <w:shd w:val="clear" w:color="auto" w:fill="auto"/>
            <w:noWrap/>
            <w:vAlign w:val="center"/>
          </w:tcPr>
          <w:p w:rsidR="00E15368" w:rsidRPr="0052084B" w:rsidRDefault="00E15368"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E15368" w:rsidRPr="000D7132" w:rsidRDefault="00496CEC" w:rsidP="001C5DDA">
            <w:pPr>
              <w:spacing w:after="0" w:line="240" w:lineRule="auto"/>
              <w:jc w:val="both"/>
              <w:rPr>
                <w:rFonts w:eastAsia="Times New Roman" w:cs="Arial"/>
                <w:lang w:eastAsia="cs-CZ"/>
              </w:rPr>
            </w:pPr>
            <w:r w:rsidRPr="0052084B">
              <w:rPr>
                <w:rFonts w:eastAsia="Times New Roman" w:cs="Arial"/>
                <w:lang w:eastAsia="cs-CZ"/>
              </w:rPr>
              <w:t xml:space="preserve">Na danou položku se zaznamenávají poplatky poskytovateli standardizovaných záruk. Jedná se o takové druhy záruk, které jsou poskytovány ve velkém množství, obvykle na relativně malé částky a za stejných podmínek. </w:t>
            </w:r>
            <w:r w:rsidR="0007043B" w:rsidRPr="00B50A69">
              <w:rPr>
                <w:rFonts w:eastAsia="Times New Roman" w:cs="Arial"/>
                <w:lang w:eastAsia="cs-CZ"/>
              </w:rPr>
              <w:t xml:space="preserve">I když míra pravděpodobnosti, že jedna určitá standardizovaná záruka bude uplatněna, je nejistá, skutečnost, že se vydává mnoho podobných záruk, znamená, že lze provést </w:t>
            </w:r>
            <w:r w:rsidR="0007043B">
              <w:rPr>
                <w:rFonts w:eastAsia="Times New Roman" w:cs="Arial"/>
                <w:lang w:eastAsia="cs-CZ"/>
              </w:rPr>
              <w:t xml:space="preserve">relativně </w:t>
            </w:r>
            <w:r w:rsidR="0007043B" w:rsidRPr="00B50A69">
              <w:rPr>
                <w:rFonts w:eastAsia="Times New Roman" w:cs="Arial"/>
                <w:lang w:eastAsia="cs-CZ"/>
              </w:rPr>
              <w:t xml:space="preserve">spolehlivý odhad počtu uplatněných záruk. </w:t>
            </w:r>
            <w:r w:rsidRPr="0052084B">
              <w:rPr>
                <w:rFonts w:eastAsia="Times New Roman" w:cs="Arial"/>
                <w:lang w:eastAsia="cs-CZ"/>
              </w:rPr>
              <w:t>Nejčastějším příkladem takových záruk jsou záruky za exportní úvěry, studentské půjčky a systémy pojištění vkladů.</w:t>
            </w:r>
          </w:p>
        </w:tc>
      </w:tr>
      <w:tr w:rsidR="00E15368"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E15368" w:rsidRPr="0052084B" w:rsidRDefault="00DF09ED" w:rsidP="00C3149D">
            <w:pPr>
              <w:spacing w:after="0" w:line="240" w:lineRule="auto"/>
              <w:rPr>
                <w:rFonts w:eastAsia="Times New Roman" w:cs="Arial"/>
                <w:b/>
                <w:bCs/>
                <w:lang w:eastAsia="cs-CZ"/>
              </w:rPr>
            </w:pPr>
            <w:r>
              <w:rPr>
                <w:rFonts w:eastAsia="Times New Roman" w:cs="Arial"/>
                <w:b/>
                <w:bCs/>
                <w:lang w:eastAsia="cs-CZ"/>
              </w:rPr>
              <w:t>A.2.XIII.3.</w:t>
            </w:r>
          </w:p>
        </w:tc>
        <w:tc>
          <w:tcPr>
            <w:tcW w:w="12958" w:type="dxa"/>
            <w:tcBorders>
              <w:top w:val="single" w:sz="4" w:space="0" w:color="auto"/>
              <w:left w:val="nil"/>
              <w:right w:val="single" w:sz="4" w:space="0" w:color="000000"/>
            </w:tcBorders>
            <w:shd w:val="clear" w:color="auto" w:fill="auto"/>
            <w:vAlign w:val="center"/>
          </w:tcPr>
          <w:p w:rsidR="00E15368" w:rsidRPr="0052084B" w:rsidRDefault="00DF09ED" w:rsidP="001203D0">
            <w:pPr>
              <w:spacing w:after="0" w:line="240" w:lineRule="auto"/>
              <w:jc w:val="both"/>
              <w:rPr>
                <w:rFonts w:eastAsia="Times New Roman" w:cs="Arial"/>
                <w:b/>
                <w:lang w:eastAsia="cs-CZ"/>
              </w:rPr>
            </w:pPr>
            <w:r w:rsidRPr="00013D13">
              <w:rPr>
                <w:rFonts w:eastAsia="Times New Roman" w:cs="Arial"/>
                <w:b/>
                <w:lang w:eastAsia="cs-CZ"/>
              </w:rPr>
              <w:t>Plnění z neživotního pojištění</w:t>
            </w:r>
            <w:r>
              <w:rPr>
                <w:rFonts w:eastAsia="Times New Roman" w:cs="Arial"/>
                <w:b/>
                <w:lang w:eastAsia="cs-CZ"/>
              </w:rPr>
              <w:t xml:space="preserve"> a standardizovaných záručních programů</w:t>
            </w:r>
          </w:p>
        </w:tc>
      </w:tr>
      <w:tr w:rsidR="00E15368" w:rsidRPr="006D5EA8" w:rsidTr="00A71CE6">
        <w:trPr>
          <w:trHeight w:val="255"/>
        </w:trPr>
        <w:tc>
          <w:tcPr>
            <w:tcW w:w="1291" w:type="dxa"/>
            <w:tcBorders>
              <w:left w:val="single" w:sz="4" w:space="0" w:color="auto"/>
              <w:bottom w:val="single" w:sz="4" w:space="0" w:color="auto"/>
              <w:right w:val="single" w:sz="4" w:space="0" w:color="000000"/>
            </w:tcBorders>
            <w:shd w:val="clear" w:color="auto" w:fill="auto"/>
            <w:noWrap/>
            <w:vAlign w:val="center"/>
          </w:tcPr>
          <w:p w:rsidR="00E15368" w:rsidRPr="006D5EA8" w:rsidRDefault="00E15368"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B25850" w:rsidRPr="00BD1E70" w:rsidRDefault="00E20457" w:rsidP="001203D0">
            <w:pPr>
              <w:spacing w:after="0" w:line="240" w:lineRule="auto"/>
              <w:jc w:val="both"/>
              <w:rPr>
                <w:rFonts w:eastAsia="Times New Roman" w:cs="Arial"/>
                <w:lang w:eastAsia="cs-CZ"/>
              </w:rPr>
            </w:pPr>
            <w:r>
              <w:rPr>
                <w:rFonts w:eastAsia="Times New Roman" w:cs="Arial"/>
                <w:lang w:eastAsia="cs-CZ"/>
              </w:rPr>
              <w:t>Jednotka</w:t>
            </w:r>
            <w:r w:rsidR="00496CEC" w:rsidRPr="00BD1E70">
              <w:rPr>
                <w:rFonts w:eastAsia="Times New Roman" w:cs="Arial"/>
                <w:lang w:eastAsia="cs-CZ"/>
              </w:rPr>
              <w:t xml:space="preserve"> sektoru vládních institucí v postavení pojišťovny </w:t>
            </w:r>
            <w:r w:rsidR="00D2059B">
              <w:rPr>
                <w:rFonts w:eastAsia="Times New Roman" w:cs="Arial"/>
                <w:lang w:eastAsia="cs-CZ"/>
              </w:rPr>
              <w:t xml:space="preserve">zde </w:t>
            </w:r>
            <w:r w:rsidR="00496CEC" w:rsidRPr="00BD1E70">
              <w:rPr>
                <w:rFonts w:eastAsia="Times New Roman" w:cs="Arial"/>
                <w:lang w:eastAsia="cs-CZ"/>
              </w:rPr>
              <w:t>zaznamenává</w:t>
            </w:r>
            <w:r w:rsidR="00D2059B">
              <w:rPr>
                <w:rFonts w:eastAsia="Times New Roman" w:cs="Arial"/>
                <w:lang w:eastAsia="cs-CZ"/>
              </w:rPr>
              <w:t xml:space="preserve"> </w:t>
            </w:r>
            <w:r w:rsidR="00496CEC" w:rsidRPr="00BD1E70">
              <w:rPr>
                <w:rFonts w:eastAsia="Times New Roman" w:cs="Arial"/>
                <w:lang w:eastAsia="cs-CZ"/>
              </w:rPr>
              <w:t>pojistné plnění vyplacené v případě vzniku pojistné události.</w:t>
            </w:r>
          </w:p>
          <w:p w:rsidR="00E15368" w:rsidRPr="006D5EA8" w:rsidRDefault="00E20457" w:rsidP="001203D0">
            <w:pPr>
              <w:spacing w:after="0" w:line="240" w:lineRule="auto"/>
              <w:jc w:val="both"/>
              <w:rPr>
                <w:rFonts w:eastAsia="Times New Roman" w:cs="Arial"/>
                <w:b/>
                <w:lang w:eastAsia="cs-CZ"/>
              </w:rPr>
            </w:pPr>
            <w:r>
              <w:rPr>
                <w:rFonts w:eastAsia="Times New Roman" w:cs="Arial"/>
                <w:lang w:eastAsia="cs-CZ"/>
              </w:rPr>
              <w:t>Jednotka</w:t>
            </w:r>
            <w:r w:rsidR="00B25850" w:rsidRPr="00BD1E70">
              <w:rPr>
                <w:rFonts w:eastAsia="Times New Roman" w:cs="Arial"/>
                <w:lang w:eastAsia="cs-CZ"/>
              </w:rPr>
              <w:t xml:space="preserve"> sektoru vládních institucí v postavení poskytovatele standardizovan</w:t>
            </w:r>
            <w:r w:rsidR="00BF5DEE" w:rsidRPr="00BD1E70">
              <w:rPr>
                <w:rFonts w:eastAsia="Times New Roman" w:cs="Arial"/>
                <w:lang w:eastAsia="cs-CZ"/>
              </w:rPr>
              <w:t>ých</w:t>
            </w:r>
            <w:r w:rsidR="00B25850" w:rsidRPr="00BD1E70">
              <w:rPr>
                <w:rFonts w:eastAsia="Times New Roman" w:cs="Arial"/>
                <w:lang w:eastAsia="cs-CZ"/>
              </w:rPr>
              <w:t xml:space="preserve"> záruční</w:t>
            </w:r>
            <w:r w:rsidR="00BF5DEE" w:rsidRPr="00BD1E70">
              <w:rPr>
                <w:rFonts w:eastAsia="Times New Roman" w:cs="Arial"/>
                <w:lang w:eastAsia="cs-CZ"/>
              </w:rPr>
              <w:t>ch</w:t>
            </w:r>
            <w:r w:rsidR="00B25850" w:rsidRPr="00BD1E70">
              <w:rPr>
                <w:rFonts w:eastAsia="Times New Roman" w:cs="Arial"/>
                <w:lang w:eastAsia="cs-CZ"/>
              </w:rPr>
              <w:t xml:space="preserve"> program</w:t>
            </w:r>
            <w:r w:rsidR="00BF5DEE" w:rsidRPr="00BD1E70">
              <w:rPr>
                <w:rFonts w:eastAsia="Times New Roman" w:cs="Arial"/>
                <w:lang w:eastAsia="cs-CZ"/>
              </w:rPr>
              <w:t>ů</w:t>
            </w:r>
            <w:r w:rsidR="00B25850" w:rsidRPr="00BD1E70">
              <w:rPr>
                <w:rFonts w:eastAsia="Times New Roman" w:cs="Arial"/>
                <w:lang w:eastAsia="cs-CZ"/>
              </w:rPr>
              <w:t xml:space="preserve"> </w:t>
            </w:r>
            <w:r w:rsidR="00E045BF" w:rsidRPr="00BD1E70">
              <w:rPr>
                <w:rFonts w:eastAsia="Times New Roman" w:cs="Arial"/>
                <w:lang w:eastAsia="cs-CZ"/>
              </w:rPr>
              <w:t>zaznamenává na tuto položku plnění vyplývající ze záruky v případě defaultu</w:t>
            </w:r>
            <w:r w:rsidR="0036493D" w:rsidRPr="00BD1E70">
              <w:rPr>
                <w:rFonts w:eastAsia="Times New Roman" w:cs="Arial"/>
                <w:lang w:eastAsia="cs-CZ"/>
              </w:rPr>
              <w:t xml:space="preserve"> dlužníka. Případná částka následně vymožená z dlužníka snižuje </w:t>
            </w:r>
            <w:r w:rsidR="00D44AA6" w:rsidRPr="00BD1E70">
              <w:rPr>
                <w:rFonts w:eastAsia="Times New Roman" w:cs="Arial"/>
                <w:lang w:eastAsia="cs-CZ"/>
              </w:rPr>
              <w:t>objem výdajů na plnění na</w:t>
            </w:r>
            <w:r w:rsidR="00E52A43" w:rsidRPr="00BD1E70">
              <w:rPr>
                <w:rFonts w:eastAsia="Times New Roman" w:cs="Arial"/>
                <w:lang w:eastAsia="cs-CZ"/>
              </w:rPr>
              <w:t xml:space="preserve"> této</w:t>
            </w:r>
            <w:r w:rsidR="00D44AA6" w:rsidRPr="00BD1E70">
              <w:rPr>
                <w:rFonts w:eastAsia="Times New Roman" w:cs="Arial"/>
                <w:lang w:eastAsia="cs-CZ"/>
              </w:rPr>
              <w:t xml:space="preserve"> položce </w:t>
            </w:r>
            <w:r w:rsidR="00F0444E" w:rsidRPr="00BD1E70">
              <w:rPr>
                <w:rFonts w:eastAsia="Times New Roman" w:cs="Arial"/>
                <w:lang w:eastAsia="cs-CZ"/>
              </w:rPr>
              <w:t>(</w:t>
            </w:r>
            <w:r w:rsidR="00600E97" w:rsidRPr="00BD1E70">
              <w:rPr>
                <w:rFonts w:eastAsia="Times New Roman" w:cs="Arial"/>
                <w:lang w:eastAsia="cs-CZ"/>
              </w:rPr>
              <w:t>se znaménkem mínus).</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A.2.XI</w:t>
            </w:r>
            <w:r w:rsidR="00BF5DEE">
              <w:rPr>
                <w:rFonts w:eastAsia="Times New Roman" w:cs="Arial"/>
                <w:b/>
                <w:bCs/>
                <w:lang w:eastAsia="cs-CZ"/>
              </w:rPr>
              <w:t>V</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4D0CE8" w:rsidP="001203D0">
            <w:pPr>
              <w:spacing w:after="0" w:line="240" w:lineRule="auto"/>
              <w:jc w:val="both"/>
              <w:rPr>
                <w:rFonts w:eastAsia="Times New Roman" w:cs="Arial"/>
                <w:b/>
                <w:lang w:eastAsia="cs-CZ"/>
              </w:rPr>
            </w:pPr>
            <w:r>
              <w:rPr>
                <w:rFonts w:eastAsia="Times New Roman" w:cs="Arial"/>
                <w:b/>
                <w:lang w:eastAsia="cs-CZ"/>
              </w:rPr>
              <w:t>Jiné výdaje na provozní činnost</w:t>
            </w:r>
          </w:p>
        </w:tc>
      </w:tr>
      <w:tr w:rsidR="0043430B" w:rsidRPr="001B70EE" w:rsidTr="00A71CE6">
        <w:trPr>
          <w:trHeight w:val="571"/>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52084B" w:rsidRDefault="0043430B">
            <w:pPr>
              <w:spacing w:after="0" w:line="240" w:lineRule="auto"/>
              <w:jc w:val="both"/>
              <w:rPr>
                <w:rFonts w:eastAsia="Times New Roman" w:cs="Arial"/>
                <w:lang w:eastAsia="cs-CZ"/>
              </w:rPr>
            </w:pPr>
            <w:r w:rsidRPr="0052084B">
              <w:rPr>
                <w:rFonts w:eastAsia="Times New Roman" w:cs="Arial"/>
                <w:lang w:eastAsia="cs-CZ"/>
              </w:rPr>
              <w:t>Položka zahrnuje výdaje z vlastnictví jiné než úroky</w:t>
            </w:r>
            <w:r w:rsidR="00BF5DEE">
              <w:rPr>
                <w:rFonts w:eastAsia="Times New Roman" w:cs="Arial"/>
                <w:lang w:eastAsia="cs-CZ"/>
              </w:rPr>
              <w:t xml:space="preserve"> (</w:t>
            </w:r>
            <w:r w:rsidRPr="0052084B">
              <w:rPr>
                <w:rFonts w:eastAsia="Times New Roman" w:cs="Arial"/>
                <w:lang w:eastAsia="cs-CZ"/>
              </w:rPr>
              <w:t>dividendy, nájemné z</w:t>
            </w:r>
            <w:r w:rsidR="0068295B">
              <w:rPr>
                <w:rFonts w:eastAsia="Times New Roman" w:cs="Arial"/>
                <w:lang w:eastAsia="cs-CZ"/>
              </w:rPr>
              <w:t xml:space="preserve"> </w:t>
            </w:r>
            <w:r w:rsidR="00BF5DEE">
              <w:rPr>
                <w:rFonts w:eastAsia="Times New Roman" w:cs="Arial"/>
                <w:lang w:eastAsia="cs-CZ"/>
              </w:rPr>
              <w:t>nevyráběných aktiv), transfery jinde nezařazené</w:t>
            </w:r>
            <w:r w:rsidRPr="0052084B">
              <w:rPr>
                <w:rFonts w:eastAsia="Times New Roman" w:cs="Arial"/>
                <w:lang w:eastAsia="cs-CZ"/>
              </w:rPr>
              <w:t xml:space="preserve"> a ostatní výdaje, které nelze zařadit do dříve jmenovaných kategorií.</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A.2.XI</w:t>
            </w:r>
            <w:r w:rsidR="002C14D7">
              <w:rPr>
                <w:rFonts w:eastAsia="Times New Roman" w:cs="Arial"/>
                <w:b/>
                <w:bCs/>
                <w:lang w:eastAsia="cs-CZ"/>
              </w:rPr>
              <w:t>V</w:t>
            </w:r>
            <w:r w:rsidRPr="0052084B">
              <w:rPr>
                <w:rFonts w:eastAsia="Times New Roman" w:cs="Arial"/>
                <w:b/>
                <w:bCs/>
                <w:lang w:eastAsia="cs-CZ"/>
              </w:rPr>
              <w:t>.1.</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Dividendy</w:t>
            </w:r>
          </w:p>
        </w:tc>
      </w:tr>
      <w:tr w:rsidR="0043430B" w:rsidRPr="001B70EE" w:rsidTr="00A71CE6">
        <w:trPr>
          <w:trHeight w:val="412"/>
        </w:trPr>
        <w:tc>
          <w:tcPr>
            <w:tcW w:w="1291" w:type="dxa"/>
            <w:tcBorders>
              <w:left w:val="single" w:sz="4" w:space="0" w:color="auto"/>
              <w:bottom w:val="single" w:sz="4" w:space="0" w:color="000000"/>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000000"/>
              <w:right w:val="single" w:sz="4" w:space="0" w:color="000000"/>
            </w:tcBorders>
            <w:shd w:val="clear" w:color="auto" w:fill="auto"/>
            <w:vAlign w:val="center"/>
            <w:hideMark/>
          </w:tcPr>
          <w:p w:rsidR="0043430B" w:rsidRPr="0052084B" w:rsidRDefault="0043430B" w:rsidP="00B87AA0">
            <w:pPr>
              <w:spacing w:after="0" w:line="240" w:lineRule="auto"/>
              <w:jc w:val="both"/>
              <w:rPr>
                <w:rFonts w:eastAsia="Times New Roman" w:cs="Arial"/>
                <w:lang w:eastAsia="cs-CZ"/>
              </w:rPr>
            </w:pPr>
            <w:r w:rsidRPr="0052084B">
              <w:rPr>
                <w:rFonts w:eastAsia="Times New Roman" w:cs="Arial"/>
                <w:lang w:eastAsia="cs-CZ"/>
              </w:rPr>
              <w:t>Položka zahrnuje dividendy vyplácené jednotkou náležející do sektoru vládních institucí. Dividendou rozumíme odměnu za poskytnutí vlastních zdrojů ze strany akcionářů</w:t>
            </w:r>
            <w:r w:rsidR="00B87AA0">
              <w:rPr>
                <w:rFonts w:eastAsia="Times New Roman" w:cs="Arial"/>
                <w:lang w:eastAsia="cs-CZ"/>
              </w:rPr>
              <w:t>, resp.</w:t>
            </w:r>
            <w:r w:rsidRPr="0052084B">
              <w:rPr>
                <w:rFonts w:eastAsia="Times New Roman" w:cs="Arial"/>
                <w:lang w:eastAsia="cs-CZ"/>
              </w:rPr>
              <w:t xml:space="preserve"> vlastníků </w:t>
            </w:r>
            <w:r w:rsidR="002C14D7">
              <w:rPr>
                <w:rFonts w:eastAsia="Times New Roman" w:cs="Arial"/>
                <w:lang w:eastAsia="cs-CZ"/>
              </w:rPr>
              <w:t xml:space="preserve">či spoluvlastníků </w:t>
            </w:r>
            <w:r w:rsidR="00B87AA0">
              <w:rPr>
                <w:rFonts w:eastAsia="Times New Roman" w:cs="Arial"/>
                <w:lang w:eastAsia="cs-CZ"/>
              </w:rPr>
              <w:t xml:space="preserve">obchodních </w:t>
            </w:r>
            <w:r w:rsidRPr="0052084B">
              <w:rPr>
                <w:rFonts w:eastAsia="Times New Roman" w:cs="Arial"/>
                <w:lang w:eastAsia="cs-CZ"/>
              </w:rPr>
              <w:t xml:space="preserve">korporací. V tomto pojetí zahrnují všechny vyplacené podíly na zisku bez ohledu na to, zda jsou explicitně označovány jako dividendy. </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A.2.XI</w:t>
            </w:r>
            <w:r w:rsidR="002C14D7">
              <w:rPr>
                <w:rFonts w:eastAsia="Times New Roman" w:cs="Arial"/>
                <w:b/>
                <w:bCs/>
                <w:lang w:eastAsia="cs-CZ"/>
              </w:rPr>
              <w:t>V</w:t>
            </w:r>
            <w:r w:rsidRPr="0052084B">
              <w:rPr>
                <w:rFonts w:eastAsia="Times New Roman" w:cs="Arial"/>
                <w:b/>
                <w:bCs/>
                <w:lang w:eastAsia="cs-CZ"/>
              </w:rPr>
              <w:t>.2.</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Nájemné z</w:t>
            </w:r>
            <w:r w:rsidR="006D6C59">
              <w:rPr>
                <w:rFonts w:eastAsia="Times New Roman" w:cs="Arial"/>
                <w:b/>
                <w:lang w:eastAsia="cs-CZ"/>
              </w:rPr>
              <w:t xml:space="preserve"> </w:t>
            </w:r>
            <w:r w:rsidRPr="0052084B">
              <w:rPr>
                <w:rFonts w:eastAsia="Times New Roman" w:cs="Arial"/>
                <w:b/>
                <w:lang w:eastAsia="cs-CZ"/>
              </w:rPr>
              <w:t>nevyráběných aktiv</w:t>
            </w:r>
          </w:p>
        </w:tc>
      </w:tr>
      <w:tr w:rsidR="0043430B" w:rsidRPr="001B70EE" w:rsidTr="00314C7F">
        <w:trPr>
          <w:trHeight w:val="293"/>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2C14D7" w:rsidRPr="00800FEE" w:rsidRDefault="0043430B" w:rsidP="002C14D7">
            <w:pPr>
              <w:spacing w:after="0" w:line="240" w:lineRule="auto"/>
              <w:jc w:val="both"/>
              <w:rPr>
                <w:rFonts w:eastAsia="Times New Roman" w:cs="Arial"/>
                <w:color w:val="000000"/>
                <w:lang w:eastAsia="cs-CZ"/>
              </w:rPr>
            </w:pPr>
            <w:r w:rsidRPr="0052084B">
              <w:rPr>
                <w:rFonts w:eastAsia="Times New Roman" w:cs="Arial"/>
                <w:lang w:eastAsia="cs-CZ"/>
              </w:rPr>
              <w:t xml:space="preserve">Položka zahrnuje platby za pronájem </w:t>
            </w:r>
            <w:r w:rsidR="002C14D7" w:rsidRPr="00800FEE">
              <w:rPr>
                <w:rFonts w:eastAsia="Times New Roman" w:cs="Arial"/>
                <w:color w:val="000000"/>
                <w:lang w:eastAsia="cs-CZ"/>
              </w:rPr>
              <w:t>pozemků, půdy a jiných přírodních zdrojů (ložiska nerost</w:t>
            </w:r>
            <w:r w:rsidR="006D6C59">
              <w:rPr>
                <w:rFonts w:eastAsia="Times New Roman" w:cs="Arial"/>
                <w:color w:val="000000"/>
                <w:lang w:eastAsia="cs-CZ"/>
              </w:rPr>
              <w:t>ných surovin). Výdaje za p</w:t>
            </w:r>
            <w:r w:rsidR="002C14D7" w:rsidRPr="00800FEE">
              <w:rPr>
                <w:rFonts w:eastAsia="Times New Roman" w:cs="Arial"/>
                <w:color w:val="000000"/>
                <w:lang w:eastAsia="cs-CZ"/>
              </w:rPr>
              <w:t>ronájem vyrobených aktiv</w:t>
            </w:r>
            <w:r w:rsidR="002C14D7">
              <w:rPr>
                <w:rFonts w:eastAsia="Times New Roman" w:cs="Arial"/>
                <w:color w:val="000000"/>
                <w:lang w:eastAsia="cs-CZ"/>
              </w:rPr>
              <w:t xml:space="preserve"> (především budov a strojů)</w:t>
            </w:r>
            <w:r w:rsidR="006D6C59">
              <w:rPr>
                <w:rFonts w:eastAsia="Times New Roman" w:cs="Arial"/>
                <w:color w:val="000000"/>
                <w:lang w:eastAsia="cs-CZ"/>
              </w:rPr>
              <w:t xml:space="preserve"> je zaznamenán jako nákup služeb</w:t>
            </w:r>
            <w:r w:rsidR="002C14D7" w:rsidRPr="00800FEE">
              <w:rPr>
                <w:rFonts w:eastAsia="Times New Roman" w:cs="Arial"/>
                <w:color w:val="000000"/>
                <w:lang w:eastAsia="cs-CZ"/>
              </w:rPr>
              <w:t xml:space="preserve"> </w:t>
            </w:r>
            <w:r w:rsidR="00F61804">
              <w:rPr>
                <w:rFonts w:eastAsia="Times New Roman" w:cs="Arial"/>
                <w:color w:val="000000"/>
                <w:lang w:eastAsia="cs-CZ"/>
              </w:rPr>
              <w:t>(</w:t>
            </w:r>
            <w:r w:rsidR="0068295B">
              <w:rPr>
                <w:rFonts w:eastAsia="Times New Roman" w:cs="Arial"/>
                <w:color w:val="000000"/>
                <w:lang w:eastAsia="cs-CZ"/>
              </w:rPr>
              <w:t>A.2.VIII</w:t>
            </w:r>
            <w:r w:rsidR="00F61804">
              <w:rPr>
                <w:rFonts w:eastAsia="Times New Roman" w:cs="Arial"/>
                <w:color w:val="000000"/>
                <w:lang w:eastAsia="cs-CZ"/>
              </w:rPr>
              <w:t>)</w:t>
            </w:r>
            <w:r w:rsidR="002C14D7">
              <w:rPr>
                <w:rFonts w:eastAsia="Times New Roman" w:cs="Arial"/>
                <w:color w:val="000000"/>
                <w:lang w:eastAsia="cs-CZ"/>
              </w:rPr>
              <w:t>. Logika</w:t>
            </w:r>
            <w:r w:rsidR="002C14D7" w:rsidRPr="00800FEE">
              <w:rPr>
                <w:rFonts w:eastAsia="Times New Roman" w:cs="Arial"/>
                <w:color w:val="000000"/>
                <w:lang w:eastAsia="cs-CZ"/>
              </w:rPr>
              <w:t xml:space="preserve"> záznamu vychází z toho, že pronajímatel vyráběných aktiv poskytuje </w:t>
            </w:r>
            <w:r w:rsidR="002C14D7">
              <w:rPr>
                <w:rFonts w:eastAsia="Times New Roman" w:cs="Arial"/>
                <w:color w:val="000000"/>
                <w:lang w:eastAsia="cs-CZ"/>
              </w:rPr>
              <w:t xml:space="preserve">nájemci zpravidla také související </w:t>
            </w:r>
            <w:r w:rsidR="002C14D7" w:rsidRPr="00800FEE">
              <w:rPr>
                <w:rFonts w:eastAsia="Times New Roman" w:cs="Arial"/>
                <w:color w:val="000000"/>
                <w:lang w:eastAsia="cs-CZ"/>
              </w:rPr>
              <w:t>služby</w:t>
            </w:r>
            <w:r w:rsidR="002C14D7">
              <w:rPr>
                <w:rFonts w:eastAsia="Times New Roman" w:cs="Arial"/>
                <w:color w:val="000000"/>
                <w:lang w:eastAsia="cs-CZ"/>
              </w:rPr>
              <w:t xml:space="preserve"> </w:t>
            </w:r>
            <w:r w:rsidR="002C14D7" w:rsidRPr="00800FEE">
              <w:rPr>
                <w:rFonts w:eastAsia="Times New Roman" w:cs="Arial"/>
                <w:color w:val="000000"/>
                <w:lang w:eastAsia="cs-CZ"/>
              </w:rPr>
              <w:t xml:space="preserve">jako například údržbu a opravy pronajatého majetku. </w:t>
            </w:r>
            <w:r w:rsidR="002C14D7">
              <w:rPr>
                <w:rFonts w:eastAsia="Times New Roman" w:cs="Arial"/>
                <w:color w:val="000000"/>
                <w:lang w:eastAsia="cs-CZ"/>
              </w:rPr>
              <w:t>Na p</w:t>
            </w:r>
            <w:r w:rsidR="002C14D7" w:rsidRPr="00800FEE">
              <w:rPr>
                <w:rFonts w:eastAsia="Times New Roman" w:cs="Arial"/>
                <w:color w:val="000000"/>
                <w:lang w:eastAsia="cs-CZ"/>
              </w:rPr>
              <w:t xml:space="preserve">lacené nájemné je tak </w:t>
            </w:r>
            <w:r w:rsidR="002C14D7">
              <w:rPr>
                <w:rFonts w:eastAsia="Times New Roman" w:cs="Arial"/>
                <w:color w:val="000000"/>
                <w:lang w:eastAsia="cs-CZ"/>
              </w:rPr>
              <w:t>nahlíženo jako na platbu</w:t>
            </w:r>
            <w:r w:rsidR="002C14D7" w:rsidRPr="00800FEE">
              <w:rPr>
                <w:rFonts w:eastAsia="Times New Roman" w:cs="Arial"/>
                <w:color w:val="000000"/>
                <w:lang w:eastAsia="cs-CZ"/>
              </w:rPr>
              <w:t xml:space="preserve"> za službu.</w:t>
            </w:r>
          </w:p>
          <w:p w:rsidR="0043430B" w:rsidRPr="0052084B" w:rsidRDefault="002C14D7">
            <w:pPr>
              <w:spacing w:after="0" w:line="240" w:lineRule="auto"/>
              <w:jc w:val="both"/>
              <w:rPr>
                <w:rFonts w:eastAsia="Times New Roman" w:cs="Arial"/>
                <w:lang w:eastAsia="cs-CZ"/>
              </w:rPr>
            </w:pPr>
            <w:r w:rsidRPr="00800FEE">
              <w:rPr>
                <w:rFonts w:eastAsia="Times New Roman" w:cs="Arial"/>
                <w:color w:val="000000"/>
                <w:lang w:eastAsia="cs-CZ"/>
              </w:rPr>
              <w:t>Jedna transakce může zároveň zahrnovat nájemné z pronájmu nevyráběných a vyráběných aktiv. Taková situace může nastat například v </w:t>
            </w:r>
            <w:r>
              <w:rPr>
                <w:rFonts w:eastAsia="Times New Roman" w:cs="Arial"/>
                <w:color w:val="000000"/>
                <w:lang w:eastAsia="cs-CZ"/>
              </w:rPr>
              <w:t xml:space="preserve">případě, kdy </w:t>
            </w:r>
            <w:r w:rsidR="00F61804">
              <w:rPr>
                <w:rFonts w:eastAsia="Times New Roman" w:cs="Arial"/>
                <w:color w:val="000000"/>
                <w:lang w:eastAsia="cs-CZ"/>
              </w:rPr>
              <w:t xml:space="preserve">si </w:t>
            </w:r>
            <w:r>
              <w:rPr>
                <w:rFonts w:eastAsia="Times New Roman" w:cs="Arial"/>
                <w:color w:val="000000"/>
                <w:lang w:eastAsia="cs-CZ"/>
              </w:rPr>
              <w:t>vládní instituce</w:t>
            </w:r>
            <w:r w:rsidRPr="00800FEE">
              <w:rPr>
                <w:rFonts w:eastAsia="Times New Roman" w:cs="Arial"/>
                <w:color w:val="000000"/>
                <w:lang w:eastAsia="cs-CZ"/>
              </w:rPr>
              <w:t xml:space="preserve"> </w:t>
            </w:r>
            <w:r w:rsidR="00F61804">
              <w:rPr>
                <w:rFonts w:eastAsia="Times New Roman" w:cs="Arial"/>
                <w:color w:val="000000"/>
                <w:lang w:eastAsia="cs-CZ"/>
              </w:rPr>
              <w:t>na základě jedné smlouvy</w:t>
            </w:r>
            <w:r w:rsidRPr="00800FEE">
              <w:rPr>
                <w:rFonts w:eastAsia="Times New Roman" w:cs="Arial"/>
                <w:color w:val="000000"/>
                <w:lang w:eastAsia="cs-CZ"/>
              </w:rPr>
              <w:t xml:space="preserve"> </w:t>
            </w:r>
            <w:r w:rsidR="00F61804">
              <w:rPr>
                <w:rFonts w:eastAsia="Times New Roman" w:cs="Arial"/>
                <w:color w:val="000000"/>
                <w:lang w:eastAsia="cs-CZ"/>
              </w:rPr>
              <w:t xml:space="preserve">pronajímá </w:t>
            </w:r>
            <w:r w:rsidRPr="00800FEE">
              <w:rPr>
                <w:rFonts w:eastAsia="Times New Roman" w:cs="Arial"/>
                <w:color w:val="000000"/>
                <w:lang w:eastAsia="cs-CZ"/>
              </w:rPr>
              <w:t>pozemky a jiné nemovité věci, které se na nich nacházejí, a ve smlouvě není odlišeno zvlášť nájemné z pozemků a nájemné z těchto nemovitých věcí. Pokud neexistuje žádný objektivní základ pro rozvržení plateb na nájemné za budovy a stavby a nájemné za pozemky, částka se za</w:t>
            </w:r>
            <w:r w:rsidR="00F61804">
              <w:rPr>
                <w:rFonts w:eastAsia="Times New Roman" w:cs="Arial"/>
                <w:color w:val="000000"/>
                <w:lang w:eastAsia="cs-CZ"/>
              </w:rPr>
              <w:t>znamená jako nájemné z nevyráběných aktiv (A.2.XIV.2</w:t>
            </w:r>
            <w:r w:rsidRPr="00800FEE">
              <w:rPr>
                <w:rFonts w:eastAsia="Times New Roman" w:cs="Arial"/>
                <w:color w:val="000000"/>
                <w:lang w:eastAsia="cs-CZ"/>
              </w:rPr>
              <w:t>.) v případě, že je hodnota budov a jiných staveb nižší, než hodnota pozemků. Naopak, je-li hodnota pozemků nižší, zaznamená s</w:t>
            </w:r>
            <w:r w:rsidR="00F61804">
              <w:rPr>
                <w:rFonts w:eastAsia="Times New Roman" w:cs="Arial"/>
                <w:color w:val="000000"/>
                <w:lang w:eastAsia="cs-CZ"/>
              </w:rPr>
              <w:t>e celá operace na položku výdaje na nákupy</w:t>
            </w:r>
            <w:r w:rsidRPr="00800FEE">
              <w:rPr>
                <w:rFonts w:eastAsia="Times New Roman" w:cs="Arial"/>
                <w:color w:val="000000"/>
                <w:lang w:eastAsia="cs-CZ"/>
              </w:rPr>
              <w:t xml:space="preserve"> zboží a služeb (</w:t>
            </w:r>
            <w:r w:rsidR="00F61804">
              <w:rPr>
                <w:rFonts w:eastAsia="Times New Roman" w:cs="Arial"/>
                <w:color w:val="000000"/>
                <w:lang w:eastAsia="cs-CZ"/>
              </w:rPr>
              <w:t>A.2.VIII.</w:t>
            </w:r>
            <w:r w:rsidRPr="00800FEE">
              <w:rPr>
                <w:rFonts w:eastAsia="Times New Roman" w:cs="Arial"/>
                <w:color w:val="000000"/>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lastRenderedPageBreak/>
              <w:t>A.2.XI</w:t>
            </w:r>
            <w:r w:rsidR="002C14D7">
              <w:rPr>
                <w:rFonts w:eastAsia="Times New Roman" w:cs="Arial"/>
                <w:b/>
                <w:bCs/>
                <w:lang w:eastAsia="cs-CZ"/>
              </w:rPr>
              <w:t>V</w:t>
            </w:r>
            <w:r w:rsidRPr="0052084B">
              <w:rPr>
                <w:rFonts w:eastAsia="Times New Roman" w:cs="Arial"/>
                <w:b/>
                <w:bCs/>
                <w:lang w:eastAsia="cs-CZ"/>
              </w:rPr>
              <w:t>.</w:t>
            </w:r>
            <w:r w:rsidR="001C5DDA">
              <w:rPr>
                <w:rFonts w:eastAsia="Times New Roman" w:cs="Arial"/>
                <w:b/>
                <w:bCs/>
                <w:lang w:eastAsia="cs-CZ"/>
              </w:rPr>
              <w:t>3</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6C146D" w:rsidP="001203D0">
            <w:pPr>
              <w:spacing w:after="0" w:line="240" w:lineRule="auto"/>
              <w:jc w:val="both"/>
              <w:rPr>
                <w:rFonts w:eastAsia="Times New Roman" w:cs="Arial"/>
                <w:b/>
                <w:lang w:eastAsia="cs-CZ"/>
              </w:rPr>
            </w:pPr>
            <w:r>
              <w:rPr>
                <w:rFonts w:eastAsia="Times New Roman" w:cs="Arial"/>
                <w:b/>
                <w:lang w:eastAsia="cs-CZ"/>
              </w:rPr>
              <w:t>Transfery</w:t>
            </w:r>
            <w:r w:rsidR="0043430B" w:rsidRPr="0052084B">
              <w:rPr>
                <w:rFonts w:eastAsia="Times New Roman" w:cs="Arial"/>
                <w:b/>
                <w:lang w:eastAsia="cs-CZ"/>
              </w:rPr>
              <w:t xml:space="preserve"> jinde nezařazené – běžné</w:t>
            </w:r>
          </w:p>
        </w:tc>
      </w:tr>
      <w:tr w:rsidR="0043430B" w:rsidRPr="001B70EE" w:rsidTr="00A71CE6">
        <w:trPr>
          <w:trHeight w:val="1119"/>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6E1F53" w:rsidRDefault="0043430B" w:rsidP="006E1F53">
            <w:pPr>
              <w:spacing w:after="0" w:line="240" w:lineRule="auto"/>
              <w:jc w:val="both"/>
              <w:rPr>
                <w:rFonts w:eastAsia="Times New Roman" w:cs="Arial"/>
                <w:lang w:eastAsia="cs-CZ"/>
              </w:rPr>
            </w:pPr>
            <w:r w:rsidRPr="0052084B">
              <w:rPr>
                <w:rFonts w:eastAsia="Times New Roman" w:cs="Arial"/>
                <w:lang w:eastAsia="cs-CZ"/>
              </w:rPr>
              <w:t xml:space="preserve">Jedná se </w:t>
            </w:r>
            <w:r>
              <w:rPr>
                <w:rFonts w:eastAsia="Times New Roman" w:cs="Arial"/>
                <w:lang w:eastAsia="cs-CZ"/>
              </w:rPr>
              <w:t>zejména o bě</w:t>
            </w:r>
            <w:r w:rsidRPr="0052084B">
              <w:rPr>
                <w:rFonts w:eastAsia="Times New Roman" w:cs="Arial"/>
                <w:lang w:eastAsia="cs-CZ"/>
              </w:rPr>
              <w:t xml:space="preserve">žné převody peněžních prostředků neziskovým institucím sloužícím domácnostem, daně a poplatky placené </w:t>
            </w:r>
            <w:r w:rsidR="00F61804">
              <w:rPr>
                <w:rFonts w:eastAsia="Times New Roman" w:cs="Arial"/>
                <w:lang w:eastAsia="cs-CZ"/>
              </w:rPr>
              <w:t>vládní institucí</w:t>
            </w:r>
            <w:r w:rsidRPr="0052084B">
              <w:rPr>
                <w:rFonts w:eastAsia="Times New Roman" w:cs="Arial"/>
                <w:lang w:eastAsia="cs-CZ"/>
              </w:rPr>
              <w:t>, úhrady sankcí, platby určené jako kompenzace za škody na zdraví nebo na majetku způsobené vládní institucí (vyjma plnění z neživotního pojištění). Dále se sem řadí vyplacená stipendia a jiné příspěvky na vzdělání studentům, které nemají povahu sociální dávky (např. prospěchové stipendium), stejně jako výdaje na nákupy zboží a služeb od tržních výrobců, které jsou poskytovány přímo domácnostem a taktéž nemají povahu sociální dávky.</w:t>
            </w:r>
          </w:p>
          <w:p w:rsidR="0043430B" w:rsidRPr="0052084B" w:rsidRDefault="00DA792D" w:rsidP="006E1F53">
            <w:pPr>
              <w:spacing w:after="0" w:line="240" w:lineRule="auto"/>
              <w:jc w:val="both"/>
              <w:rPr>
                <w:rFonts w:eastAsia="Times New Roman" w:cs="Arial"/>
                <w:lang w:eastAsia="cs-CZ"/>
              </w:rPr>
            </w:pPr>
            <w:r w:rsidRPr="00A600EE">
              <w:rPr>
                <w:rFonts w:eastAsia="Times New Roman" w:cs="Arial"/>
                <w:lang w:eastAsia="cs-CZ"/>
              </w:rPr>
              <w:t xml:space="preserve">Existují-li pochybnosti o povaze </w:t>
            </w:r>
            <w:r w:rsidR="005E612F">
              <w:rPr>
                <w:rFonts w:eastAsia="Times New Roman" w:cs="Arial"/>
                <w:lang w:eastAsia="cs-CZ"/>
              </w:rPr>
              <w:t>transferu</w:t>
            </w:r>
            <w:r w:rsidRPr="00A600EE">
              <w:rPr>
                <w:rFonts w:eastAsia="Times New Roman" w:cs="Arial"/>
                <w:lang w:eastAsia="cs-CZ"/>
              </w:rPr>
              <w:t xml:space="preserve"> (A.</w:t>
            </w:r>
            <w:r w:rsidR="00347C6A">
              <w:rPr>
                <w:rFonts w:eastAsia="Times New Roman" w:cs="Arial"/>
                <w:lang w:eastAsia="cs-CZ"/>
              </w:rPr>
              <w:t>2.XIV</w:t>
            </w:r>
            <w:r w:rsidRPr="00A600EE">
              <w:rPr>
                <w:rFonts w:eastAsia="Times New Roman" w:cs="Arial"/>
                <w:lang w:eastAsia="cs-CZ"/>
              </w:rPr>
              <w:t>.</w:t>
            </w:r>
            <w:r w:rsidR="00347C6A">
              <w:rPr>
                <w:rFonts w:eastAsia="Times New Roman" w:cs="Arial"/>
                <w:lang w:eastAsia="cs-CZ"/>
              </w:rPr>
              <w:t>3.</w:t>
            </w:r>
            <w:r w:rsidRPr="00A600EE">
              <w:rPr>
                <w:rFonts w:eastAsia="Times New Roman" w:cs="Arial"/>
                <w:lang w:eastAsia="cs-CZ"/>
              </w:rPr>
              <w:t xml:space="preserve"> běžný vs. A.</w:t>
            </w:r>
            <w:r w:rsidR="00347C6A">
              <w:rPr>
                <w:rFonts w:eastAsia="Times New Roman" w:cs="Arial"/>
                <w:lang w:eastAsia="cs-CZ"/>
              </w:rPr>
              <w:t>2.XIV.4.</w:t>
            </w:r>
            <w:r w:rsidRPr="00A600EE">
              <w:rPr>
                <w:rFonts w:eastAsia="Times New Roman" w:cs="Arial"/>
                <w:lang w:eastAsia="cs-CZ"/>
              </w:rPr>
              <w:t xml:space="preserve"> kapitálový), měl by být považován za běžný.</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A.2.XI</w:t>
            </w:r>
            <w:r w:rsidR="002C14D7">
              <w:rPr>
                <w:rFonts w:eastAsia="Times New Roman" w:cs="Arial"/>
                <w:b/>
                <w:bCs/>
                <w:lang w:eastAsia="cs-CZ"/>
              </w:rPr>
              <w:t>V</w:t>
            </w:r>
            <w:r w:rsidRPr="0052084B">
              <w:rPr>
                <w:rFonts w:eastAsia="Times New Roman" w:cs="Arial"/>
                <w:b/>
                <w:bCs/>
                <w:lang w:eastAsia="cs-CZ"/>
              </w:rPr>
              <w:t>.</w:t>
            </w:r>
            <w:r w:rsidR="001C5DDA">
              <w:rPr>
                <w:rFonts w:eastAsia="Times New Roman" w:cs="Arial"/>
                <w:b/>
                <w:bCs/>
                <w:lang w:eastAsia="cs-CZ"/>
              </w:rPr>
              <w:t>4</w:t>
            </w:r>
            <w:r w:rsidRPr="0052084B">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43430B" w:rsidRPr="0052084B" w:rsidRDefault="006C146D" w:rsidP="001203D0">
            <w:pPr>
              <w:spacing w:after="0" w:line="240" w:lineRule="auto"/>
              <w:jc w:val="both"/>
              <w:rPr>
                <w:rFonts w:eastAsia="Times New Roman" w:cs="Arial"/>
                <w:b/>
                <w:lang w:eastAsia="cs-CZ"/>
              </w:rPr>
            </w:pPr>
            <w:r>
              <w:rPr>
                <w:rFonts w:eastAsia="Times New Roman" w:cs="Arial"/>
                <w:b/>
                <w:lang w:eastAsia="cs-CZ"/>
              </w:rPr>
              <w:t>Transfery</w:t>
            </w:r>
            <w:r w:rsidR="0043430B" w:rsidRPr="0052084B">
              <w:rPr>
                <w:rFonts w:eastAsia="Times New Roman" w:cs="Arial"/>
                <w:b/>
                <w:lang w:eastAsia="cs-CZ"/>
              </w:rPr>
              <w:t xml:space="preserve"> jinde nezařazené – kapitálové</w:t>
            </w:r>
          </w:p>
        </w:tc>
      </w:tr>
      <w:tr w:rsidR="0043430B" w:rsidRPr="001B70EE" w:rsidTr="00A71CE6">
        <w:trPr>
          <w:trHeight w:val="426"/>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41264F">
            <w:pPr>
              <w:spacing w:after="0" w:line="240" w:lineRule="auto"/>
              <w:jc w:val="both"/>
              <w:rPr>
                <w:rFonts w:eastAsia="Times New Roman" w:cs="Arial"/>
                <w:lang w:eastAsia="cs-CZ"/>
              </w:rPr>
            </w:pPr>
            <w:r w:rsidRPr="0052084B">
              <w:rPr>
                <w:rFonts w:eastAsia="Times New Roman" w:cs="Arial"/>
                <w:lang w:eastAsia="cs-CZ"/>
              </w:rPr>
              <w:t xml:space="preserve">Patří sem </w:t>
            </w:r>
            <w:r>
              <w:rPr>
                <w:rFonts w:eastAsia="Times New Roman" w:cs="Arial"/>
                <w:lang w:eastAsia="cs-CZ"/>
              </w:rPr>
              <w:t xml:space="preserve">zejména </w:t>
            </w:r>
            <w:r w:rsidRPr="0052084B">
              <w:rPr>
                <w:rFonts w:eastAsia="Times New Roman" w:cs="Arial"/>
                <w:lang w:eastAsia="cs-CZ"/>
              </w:rPr>
              <w:t xml:space="preserve">kapitálové převody peněžních prostředků podnikům, </w:t>
            </w:r>
            <w:r>
              <w:rPr>
                <w:rFonts w:eastAsia="Times New Roman" w:cs="Arial"/>
                <w:lang w:eastAsia="cs-CZ"/>
              </w:rPr>
              <w:t xml:space="preserve">domácnostem, </w:t>
            </w:r>
            <w:r w:rsidRPr="0052084B">
              <w:rPr>
                <w:rFonts w:eastAsia="Times New Roman" w:cs="Arial"/>
                <w:lang w:eastAsia="cs-CZ"/>
              </w:rPr>
              <w:t>neziskovým i</w:t>
            </w:r>
            <w:r>
              <w:rPr>
                <w:rFonts w:eastAsia="Times New Roman" w:cs="Arial"/>
                <w:lang w:eastAsia="cs-CZ"/>
              </w:rPr>
              <w:t xml:space="preserve">nstitucím sloužícím domácnostem </w:t>
            </w:r>
            <w:r w:rsidRPr="0052084B">
              <w:rPr>
                <w:rFonts w:eastAsia="Times New Roman" w:cs="Arial"/>
                <w:lang w:eastAsia="cs-CZ"/>
              </w:rPr>
              <w:t>a</w:t>
            </w:r>
            <w:r w:rsidR="0041264F">
              <w:rPr>
                <w:rFonts w:eastAsia="Times New Roman" w:cs="Arial"/>
                <w:lang w:eastAsia="cs-CZ"/>
              </w:rPr>
              <w:t> </w:t>
            </w:r>
            <w:r w:rsidRPr="0052084B">
              <w:rPr>
                <w:rFonts w:eastAsia="Times New Roman" w:cs="Arial"/>
                <w:lang w:eastAsia="cs-CZ"/>
              </w:rPr>
              <w:t>nerezidentům na pořízení nefinančních aktiv. Za kapitálové transfery jsou považovány také významnější jednorázové mimořádné platby vyplacené jako náhrada za rozsáhlé poškození majetku nebo vážné zranění osob například následkem živelní pohromy (vyjma těch krytých pojistnou ochranou</w:t>
            </w:r>
            <w:r>
              <w:rPr>
                <w:rFonts w:eastAsia="Times New Roman" w:cs="Arial"/>
                <w:lang w:eastAsia="cs-CZ"/>
              </w:rPr>
              <w:t xml:space="preserve"> – A.2.XI</w:t>
            </w:r>
            <w:r w:rsidR="00347C6A">
              <w:rPr>
                <w:rFonts w:eastAsia="Times New Roman" w:cs="Arial"/>
                <w:lang w:eastAsia="cs-CZ"/>
              </w:rPr>
              <w:t>II</w:t>
            </w:r>
            <w:r>
              <w:rPr>
                <w:rFonts w:eastAsia="Times New Roman" w:cs="Arial"/>
                <w:lang w:eastAsia="cs-CZ"/>
              </w:rPr>
              <w:t>.3.</w:t>
            </w:r>
            <w:r w:rsidRPr="0052084B">
              <w:rPr>
                <w:rFonts w:eastAsia="Times New Roman" w:cs="Arial"/>
                <w:lang w:eastAsia="cs-CZ"/>
              </w:rPr>
              <w:t xml:space="preserve">). </w:t>
            </w:r>
            <w:r w:rsidR="00F95173">
              <w:rPr>
                <w:rFonts w:eastAsia="Times New Roman" w:cs="Arial"/>
                <w:lang w:eastAsia="cs-CZ"/>
              </w:rPr>
              <w:t xml:space="preserve">V tomto smyslu je za kapitálový transfer považována </w:t>
            </w:r>
            <w:r w:rsidR="005E76CE">
              <w:rPr>
                <w:rFonts w:eastAsia="Times New Roman" w:cs="Arial"/>
                <w:lang w:eastAsia="cs-CZ"/>
              </w:rPr>
              <w:t xml:space="preserve">také </w:t>
            </w:r>
            <w:r w:rsidR="00F95173">
              <w:rPr>
                <w:rFonts w:eastAsia="Times New Roman" w:cs="Arial"/>
                <w:lang w:eastAsia="cs-CZ"/>
              </w:rPr>
              <w:t xml:space="preserve">výplata náhrad za vklady </w:t>
            </w:r>
            <w:r w:rsidR="005E76CE">
              <w:rPr>
                <w:rFonts w:eastAsia="Times New Roman" w:cs="Arial"/>
                <w:lang w:eastAsia="cs-CZ"/>
              </w:rPr>
              <w:t>ze systému pojištění vkladů v ČR spravovaného Garančním systémem finančního trhu (resp. Fondem pojištění vkladů), jehož příjmy z příspěvků od bank, stavebních spořitelen a družstevních záložen jsou zaznamenány na příjmové položce A.1.I.</w:t>
            </w:r>
          </w:p>
        </w:tc>
      </w:tr>
      <w:tr w:rsidR="006C146D" w:rsidRPr="001B70EE" w:rsidTr="003B74AB">
        <w:trPr>
          <w:trHeight w:val="312"/>
        </w:trPr>
        <w:tc>
          <w:tcPr>
            <w:tcW w:w="1291" w:type="dxa"/>
            <w:tcBorders>
              <w:top w:val="single" w:sz="4" w:space="0" w:color="auto"/>
              <w:left w:val="single" w:sz="4" w:space="0" w:color="auto"/>
              <w:right w:val="single" w:sz="4" w:space="0" w:color="000000"/>
            </w:tcBorders>
            <w:shd w:val="clear" w:color="auto" w:fill="auto"/>
            <w:noWrap/>
            <w:vAlign w:val="center"/>
          </w:tcPr>
          <w:p w:rsidR="006C146D" w:rsidRPr="0052084B" w:rsidRDefault="006C146D" w:rsidP="00C3149D">
            <w:pPr>
              <w:spacing w:after="0" w:line="240" w:lineRule="auto"/>
              <w:rPr>
                <w:rFonts w:eastAsia="Times New Roman" w:cs="Arial"/>
                <w:b/>
                <w:bCs/>
                <w:lang w:eastAsia="cs-CZ"/>
              </w:rPr>
            </w:pPr>
            <w:r>
              <w:rPr>
                <w:rFonts w:eastAsia="Times New Roman" w:cs="Arial"/>
                <w:b/>
                <w:bCs/>
                <w:lang w:eastAsia="cs-CZ"/>
              </w:rPr>
              <w:t>A.2.XI</w:t>
            </w:r>
            <w:r w:rsidR="00347C6A">
              <w:rPr>
                <w:rFonts w:eastAsia="Times New Roman" w:cs="Arial"/>
                <w:b/>
                <w:bCs/>
                <w:lang w:eastAsia="cs-CZ"/>
              </w:rPr>
              <w:t>V</w:t>
            </w:r>
            <w:r>
              <w:rPr>
                <w:rFonts w:eastAsia="Times New Roman" w:cs="Arial"/>
                <w:b/>
                <w:bCs/>
                <w:lang w:eastAsia="cs-CZ"/>
              </w:rPr>
              <w:t>.</w:t>
            </w:r>
            <w:r w:rsidR="001C5DDA">
              <w:rPr>
                <w:rFonts w:eastAsia="Times New Roman" w:cs="Arial"/>
                <w:b/>
                <w:bCs/>
                <w:lang w:eastAsia="cs-CZ"/>
              </w:rPr>
              <w:t>5</w:t>
            </w:r>
            <w:r>
              <w:rPr>
                <w:rFonts w:eastAsia="Times New Roman" w:cs="Arial"/>
                <w:b/>
                <w:bCs/>
                <w:lang w:eastAsia="cs-CZ"/>
              </w:rPr>
              <w:t>.</w:t>
            </w:r>
          </w:p>
        </w:tc>
        <w:tc>
          <w:tcPr>
            <w:tcW w:w="12958" w:type="dxa"/>
            <w:tcBorders>
              <w:top w:val="single" w:sz="4" w:space="0" w:color="auto"/>
              <w:left w:val="nil"/>
              <w:right w:val="single" w:sz="4" w:space="0" w:color="000000"/>
            </w:tcBorders>
            <w:shd w:val="clear" w:color="auto" w:fill="auto"/>
            <w:vAlign w:val="center"/>
          </w:tcPr>
          <w:p w:rsidR="006C146D" w:rsidRPr="006C146D" w:rsidRDefault="006C146D" w:rsidP="001203D0">
            <w:pPr>
              <w:spacing w:after="0" w:line="240" w:lineRule="auto"/>
              <w:jc w:val="both"/>
              <w:rPr>
                <w:rFonts w:eastAsia="Times New Roman" w:cs="Arial"/>
                <w:b/>
                <w:lang w:eastAsia="cs-CZ"/>
              </w:rPr>
            </w:pPr>
            <w:r w:rsidRPr="006C146D">
              <w:rPr>
                <w:rFonts w:eastAsia="Times New Roman" w:cs="Arial"/>
                <w:b/>
                <w:lang w:eastAsia="cs-CZ"/>
              </w:rPr>
              <w:t>Ostatní výdaje</w:t>
            </w:r>
          </w:p>
        </w:tc>
      </w:tr>
      <w:tr w:rsidR="006C146D" w:rsidRPr="001B70EE" w:rsidTr="00A71CE6">
        <w:trPr>
          <w:trHeight w:val="426"/>
        </w:trPr>
        <w:tc>
          <w:tcPr>
            <w:tcW w:w="1291" w:type="dxa"/>
            <w:tcBorders>
              <w:left w:val="single" w:sz="4" w:space="0" w:color="auto"/>
              <w:bottom w:val="single" w:sz="4" w:space="0" w:color="auto"/>
              <w:right w:val="single" w:sz="4" w:space="0" w:color="000000"/>
            </w:tcBorders>
            <w:shd w:val="clear" w:color="auto" w:fill="auto"/>
            <w:noWrap/>
            <w:vAlign w:val="center"/>
          </w:tcPr>
          <w:p w:rsidR="006C146D" w:rsidRPr="0052084B" w:rsidRDefault="006C146D"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6C146D" w:rsidRPr="00A600EE" w:rsidRDefault="0009565A" w:rsidP="006C146D">
            <w:pPr>
              <w:spacing w:after="0" w:line="240" w:lineRule="auto"/>
              <w:jc w:val="both"/>
              <w:rPr>
                <w:rFonts w:eastAsia="Times New Roman" w:cs="Arial"/>
                <w:lang w:eastAsia="cs-CZ"/>
              </w:rPr>
            </w:pPr>
            <w:r>
              <w:rPr>
                <w:rFonts w:eastAsia="Times New Roman" w:cs="Arial"/>
                <w:lang w:eastAsia="cs-CZ"/>
              </w:rPr>
              <w:t>N</w:t>
            </w:r>
            <w:r w:rsidR="006C146D" w:rsidRPr="00A600EE">
              <w:rPr>
                <w:rFonts w:eastAsia="Times New Roman" w:cs="Arial"/>
                <w:lang w:eastAsia="cs-CZ"/>
              </w:rPr>
              <w:t xml:space="preserve">a této položce evidujeme </w:t>
            </w:r>
            <w:r>
              <w:rPr>
                <w:rFonts w:eastAsia="Times New Roman" w:cs="Arial"/>
                <w:lang w:eastAsia="cs-CZ"/>
              </w:rPr>
              <w:t>ztráty z</w:t>
            </w:r>
            <w:r w:rsidR="005D2293">
              <w:rPr>
                <w:rFonts w:eastAsia="Times New Roman" w:cs="Arial"/>
                <w:lang w:eastAsia="cs-CZ"/>
              </w:rPr>
              <w:t> obchodů s akciemi a jinými majetkovými cennými papíry</w:t>
            </w:r>
            <w:r>
              <w:rPr>
                <w:rFonts w:eastAsia="Times New Roman" w:cs="Arial"/>
                <w:lang w:eastAsia="cs-CZ"/>
              </w:rPr>
              <w:t xml:space="preserve">, </w:t>
            </w:r>
            <w:r w:rsidR="006C146D" w:rsidRPr="00A600EE">
              <w:rPr>
                <w:rFonts w:eastAsia="Times New Roman" w:cs="Arial"/>
                <w:lang w:eastAsia="cs-CZ"/>
              </w:rPr>
              <w:t>kurzové ztráty z cizoměnových operací a</w:t>
            </w:r>
            <w:r w:rsidR="00F2213F">
              <w:rPr>
                <w:rFonts w:eastAsia="Times New Roman" w:cs="Arial"/>
                <w:lang w:eastAsia="cs-CZ"/>
              </w:rPr>
              <w:t> </w:t>
            </w:r>
            <w:r w:rsidR="006C146D" w:rsidRPr="00A600EE">
              <w:rPr>
                <w:rFonts w:eastAsia="Times New Roman" w:cs="Arial"/>
                <w:lang w:eastAsia="cs-CZ"/>
              </w:rPr>
              <w:t>účtů</w:t>
            </w:r>
            <w:r w:rsidR="005D2293">
              <w:rPr>
                <w:rFonts w:eastAsia="Times New Roman" w:cs="Arial"/>
                <w:lang w:eastAsia="cs-CZ"/>
              </w:rPr>
              <w:t>, stejně jako</w:t>
            </w:r>
            <w:r w:rsidR="006C146D" w:rsidRPr="00A600EE">
              <w:rPr>
                <w:rFonts w:eastAsia="Times New Roman" w:cs="Arial"/>
                <w:lang w:eastAsia="cs-CZ"/>
              </w:rPr>
              <w:t xml:space="preserve"> neúrokové výdaje plynoucí z finančních derivátů (úrokové patří na </w:t>
            </w:r>
            <w:r w:rsidR="00347C6A">
              <w:rPr>
                <w:rFonts w:eastAsia="Times New Roman" w:cs="Arial"/>
                <w:lang w:eastAsia="cs-CZ"/>
              </w:rPr>
              <w:t>A.2.IX.</w:t>
            </w:r>
            <w:r w:rsidR="006C146D" w:rsidRPr="00A600EE">
              <w:rPr>
                <w:rFonts w:eastAsia="Times New Roman" w:cs="Arial"/>
                <w:lang w:eastAsia="cs-CZ"/>
              </w:rPr>
              <w:t>).</w:t>
            </w:r>
          </w:p>
          <w:p w:rsidR="006C146D" w:rsidRPr="0052084B" w:rsidRDefault="006C146D" w:rsidP="006C146D">
            <w:pPr>
              <w:spacing w:after="0" w:line="240" w:lineRule="auto"/>
              <w:jc w:val="both"/>
              <w:rPr>
                <w:rFonts w:eastAsia="Times New Roman" w:cs="Arial"/>
                <w:lang w:eastAsia="cs-CZ"/>
              </w:rPr>
            </w:pPr>
            <w:r w:rsidRPr="00A600EE">
              <w:rPr>
                <w:rFonts w:eastAsia="Times New Roman" w:cs="Arial"/>
                <w:lang w:eastAsia="cs-CZ"/>
              </w:rPr>
              <w:t>Zařadí se sem také všechny provozní výdaje, u kterých není dostatek informací, aby je bylo možno zařadit do jiné výdajové kategorie.</w:t>
            </w:r>
          </w:p>
        </w:tc>
      </w:tr>
      <w:tr w:rsidR="0043430B" w:rsidRPr="001B70EE" w:rsidTr="00A71CE6">
        <w:trPr>
          <w:trHeight w:val="426"/>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1B70EE" w:rsidRDefault="0043430B" w:rsidP="00C3149D">
            <w:pPr>
              <w:spacing w:after="0" w:line="240" w:lineRule="auto"/>
              <w:rPr>
                <w:rFonts w:eastAsia="Times New Roman" w:cs="Arial"/>
                <w:b/>
                <w:bCs/>
                <w:sz w:val="24"/>
                <w:szCs w:val="24"/>
                <w:lang w:eastAsia="cs-CZ"/>
              </w:rPr>
            </w:pPr>
            <w:r w:rsidRPr="001B70EE">
              <w:rPr>
                <w:rFonts w:eastAsia="Times New Roman" w:cs="Arial"/>
                <w:b/>
                <w:bCs/>
                <w:sz w:val="24"/>
                <w:szCs w:val="24"/>
                <w:lang w:eastAsia="cs-CZ"/>
              </w:rPr>
              <w:t>B.</w:t>
            </w:r>
          </w:p>
        </w:tc>
        <w:tc>
          <w:tcPr>
            <w:tcW w:w="12958" w:type="dxa"/>
            <w:tcBorders>
              <w:left w:val="nil"/>
              <w:bottom w:val="single" w:sz="4" w:space="0" w:color="auto"/>
              <w:right w:val="single" w:sz="4" w:space="0" w:color="000000"/>
            </w:tcBorders>
            <w:shd w:val="clear" w:color="auto" w:fill="auto"/>
            <w:vAlign w:val="center"/>
          </w:tcPr>
          <w:p w:rsidR="0043430B" w:rsidRPr="001B70EE" w:rsidRDefault="0043430B" w:rsidP="00522316">
            <w:pPr>
              <w:pStyle w:val="Nadpis3"/>
              <w:rPr>
                <w:rFonts w:eastAsia="Times New Roman"/>
                <w:lang w:eastAsia="cs-CZ"/>
              </w:rPr>
            </w:pPr>
            <w:bookmarkStart w:id="14" w:name="_Toc483906423"/>
            <w:r w:rsidRPr="001B70EE">
              <w:rPr>
                <w:rFonts w:eastAsia="Times New Roman"/>
                <w:lang w:eastAsia="cs-CZ"/>
              </w:rPr>
              <w:t>PENĚŽNÍ TOKY DO NEFINANČNÍCH AKTIV</w:t>
            </w:r>
            <w:bookmarkEnd w:id="14"/>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B.1.</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Nákupy dlouhodobého hmotného a nehmotného majetku</w:t>
            </w:r>
          </w:p>
        </w:tc>
      </w:tr>
      <w:tr w:rsidR="0043430B" w:rsidRPr="001B70EE" w:rsidTr="00A71CE6">
        <w:trPr>
          <w:trHeight w:val="560"/>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52084B" w:rsidRDefault="0043430B" w:rsidP="00886B03">
            <w:pPr>
              <w:spacing w:after="0" w:line="240" w:lineRule="auto"/>
              <w:jc w:val="both"/>
              <w:rPr>
                <w:rFonts w:eastAsia="Times New Roman" w:cs="Arial"/>
                <w:lang w:eastAsia="cs-CZ"/>
              </w:rPr>
            </w:pPr>
            <w:r w:rsidRPr="0052084B">
              <w:rPr>
                <w:rFonts w:eastAsia="Times New Roman" w:cs="Arial"/>
                <w:lang w:eastAsia="cs-CZ"/>
              </w:rPr>
              <w:t>Jedná se o výdaje na pořízení nefinančních aktiv, jejichž doba životnosti</w:t>
            </w:r>
            <w:r w:rsidR="00886B03">
              <w:rPr>
                <w:rFonts w:eastAsia="Times New Roman" w:cs="Arial"/>
                <w:lang w:eastAsia="cs-CZ"/>
              </w:rPr>
              <w:t xml:space="preserve"> je delší než 1 rok</w:t>
            </w:r>
            <w:r w:rsidRPr="0052084B">
              <w:rPr>
                <w:rFonts w:eastAsia="Times New Roman" w:cs="Arial"/>
                <w:lang w:eastAsia="cs-CZ"/>
              </w:rPr>
              <w:t>, tj. fixních aktiv (budovy, stavby, stroje a zařízení, dopravní prostředky apod.), cenností a nevyráběných aktiv. Zahrnuje také hodnotu aktiv pořízených na finanční leasing se součas</w:t>
            </w:r>
            <w:r>
              <w:rPr>
                <w:rFonts w:eastAsia="Times New Roman" w:cs="Arial"/>
                <w:lang w:eastAsia="cs-CZ"/>
              </w:rPr>
              <w:t>ným záznamem na položku D.2.I.</w:t>
            </w:r>
            <w:r w:rsidR="005E612F">
              <w:rPr>
                <w:rFonts w:eastAsia="Times New Roman" w:cs="Arial"/>
                <w:lang w:eastAsia="cs-CZ"/>
              </w:rPr>
              <w:t>2.</w:t>
            </w:r>
            <w:r w:rsidR="00A252EF">
              <w:rPr>
                <w:rFonts w:eastAsia="Times New Roman" w:cs="Arial"/>
                <w:lang w:eastAsia="cs-CZ"/>
              </w:rPr>
              <w:t xml:space="preserve">, resp. D.2.II.2. </w:t>
            </w:r>
            <w:r w:rsidRPr="0052084B">
              <w:rPr>
                <w:rFonts w:eastAsia="Times New Roman" w:cs="Arial"/>
                <w:lang w:eastAsia="cs-CZ"/>
              </w:rPr>
              <w:t>(následné splátky se</w:t>
            </w:r>
            <w:r>
              <w:rPr>
                <w:rFonts w:eastAsia="Times New Roman" w:cs="Arial"/>
                <w:lang w:eastAsia="cs-CZ"/>
              </w:rPr>
              <w:t xml:space="preserve"> zaznamenávají na </w:t>
            </w:r>
            <w:r w:rsidR="00A252EF">
              <w:rPr>
                <w:rFonts w:eastAsia="Times New Roman" w:cs="Arial"/>
                <w:lang w:eastAsia="cs-CZ"/>
              </w:rPr>
              <w:t>stejn</w:t>
            </w:r>
            <w:r w:rsidR="00CF6F89">
              <w:rPr>
                <w:rFonts w:eastAsia="Times New Roman" w:cs="Arial"/>
                <w:lang w:eastAsia="cs-CZ"/>
              </w:rPr>
              <w:t>é</w:t>
            </w:r>
            <w:r w:rsidR="00A252EF">
              <w:rPr>
                <w:rFonts w:eastAsia="Times New Roman" w:cs="Arial"/>
                <w:lang w:eastAsia="cs-CZ"/>
              </w:rPr>
              <w:t xml:space="preserve"> polož</w:t>
            </w:r>
            <w:r w:rsidR="00CF6F89">
              <w:rPr>
                <w:rFonts w:eastAsia="Times New Roman" w:cs="Arial"/>
                <w:lang w:eastAsia="cs-CZ"/>
              </w:rPr>
              <w:t>ce</w:t>
            </w:r>
            <w:r w:rsidRPr="0052084B">
              <w:rPr>
                <w:rFonts w:eastAsia="Times New Roman" w:cs="Arial"/>
                <w:lang w:eastAsia="cs-CZ"/>
              </w:rPr>
              <w:t xml:space="preserve"> </w:t>
            </w:r>
            <w:r w:rsidR="00CF6F89">
              <w:rPr>
                <w:rFonts w:eastAsia="Times New Roman" w:cs="Arial"/>
                <w:lang w:eastAsia="cs-CZ"/>
              </w:rPr>
              <w:t xml:space="preserve">financování </w:t>
            </w:r>
            <w:r>
              <w:rPr>
                <w:rFonts w:eastAsia="Times New Roman" w:cs="Arial"/>
                <w:lang w:eastAsia="cs-CZ"/>
              </w:rPr>
              <w:t>se záporným znaménkem</w:t>
            </w:r>
            <w:r w:rsidRPr="0052084B">
              <w:rPr>
                <w:rFonts w:eastAsia="Times New Roman" w:cs="Arial"/>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B.1.I.</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Cennosti</w:t>
            </w:r>
          </w:p>
        </w:tc>
      </w:tr>
      <w:tr w:rsidR="0043430B" w:rsidRPr="001B70EE" w:rsidTr="00A71CE6">
        <w:trPr>
          <w:trHeight w:val="398"/>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Náplní položky jsou výdaje na pořízení cenností (zlato a jiné drahé kovy a kameny, malby, sochy a další umělecká díla pořízená primárně za účelem uchování hodnoty v průběhu času, klenoty a další cennosti), včetně výdajů spojených s převodem vlastnictví. Předměty splňující definici cenností, avšak pořízené za jiným účelem než jako způsob uložení peněz a uchování jejich hodnoty v čase, by měly být klasifikovány spíše jako </w:t>
            </w:r>
            <w:r w:rsidR="00A252EF">
              <w:rPr>
                <w:rFonts w:eastAsia="Times New Roman" w:cs="Arial"/>
                <w:lang w:eastAsia="cs-CZ"/>
              </w:rPr>
              <w:t>o</w:t>
            </w:r>
            <w:r w:rsidRPr="0052084B">
              <w:rPr>
                <w:rFonts w:eastAsia="Times New Roman" w:cs="Arial"/>
                <w:lang w:eastAsia="cs-CZ"/>
              </w:rPr>
              <w:t>statní nákupy dlouhodobého hmotného a nehmotného majetku (B.1.III.)</w:t>
            </w:r>
          </w:p>
        </w:tc>
      </w:tr>
    </w:tbl>
    <w:p w:rsidR="00314C7F" w:rsidRDefault="00314C7F">
      <w:r>
        <w:br w:type="page"/>
      </w:r>
    </w:p>
    <w:tbl>
      <w:tblPr>
        <w:tblW w:w="14249" w:type="dxa"/>
        <w:tblInd w:w="55" w:type="dxa"/>
        <w:tblCellMar>
          <w:left w:w="70" w:type="dxa"/>
          <w:right w:w="70" w:type="dxa"/>
        </w:tblCellMar>
        <w:tblLook w:val="04A0"/>
      </w:tblPr>
      <w:tblGrid>
        <w:gridCol w:w="1291"/>
        <w:gridCol w:w="12958"/>
      </w:tblGrid>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lastRenderedPageBreak/>
              <w:t>B.1.II.</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Nevyráběná aktiva</w:t>
            </w:r>
          </w:p>
        </w:tc>
      </w:tr>
      <w:tr w:rsidR="0043430B" w:rsidRPr="001B70EE" w:rsidTr="00A71CE6">
        <w:trPr>
          <w:trHeight w:val="82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pPr>
              <w:spacing w:after="0" w:line="240" w:lineRule="auto"/>
              <w:jc w:val="both"/>
              <w:rPr>
                <w:rFonts w:eastAsia="Times New Roman" w:cs="Arial"/>
                <w:lang w:eastAsia="cs-CZ"/>
              </w:rPr>
            </w:pPr>
            <w:r w:rsidRPr="0052084B">
              <w:rPr>
                <w:rFonts w:eastAsia="Times New Roman" w:cs="Arial"/>
                <w:lang w:eastAsia="cs-CZ"/>
              </w:rPr>
              <w:t>Položka zahrnuje výdaje spojené s transakcemi s pozemky, ložisky nerostných surovin, emisními povolenkami, příp. jinými nevyráběnými aktivy. Nájemné placené za pronájem těchto aktiv je zaznamenáno na</w:t>
            </w:r>
            <w:r>
              <w:rPr>
                <w:rFonts w:eastAsia="Times New Roman" w:cs="Arial"/>
                <w:lang w:eastAsia="cs-CZ"/>
              </w:rPr>
              <w:t xml:space="preserve"> položce A.2.XI</w:t>
            </w:r>
            <w:r w:rsidR="00A252EF">
              <w:rPr>
                <w:rFonts w:eastAsia="Times New Roman" w:cs="Arial"/>
                <w:lang w:eastAsia="cs-CZ"/>
              </w:rPr>
              <w:t>V</w:t>
            </w:r>
            <w:r>
              <w:rPr>
                <w:rFonts w:eastAsia="Times New Roman" w:cs="Arial"/>
                <w:lang w:eastAsia="cs-CZ"/>
              </w:rPr>
              <w:t>.2.</w:t>
            </w:r>
            <w:r w:rsidRPr="0052084B">
              <w:rPr>
                <w:rFonts w:eastAsia="Times New Roman" w:cs="Arial"/>
                <w:lang w:eastAsia="cs-CZ"/>
              </w:rPr>
              <w:t xml:space="preserve"> </w:t>
            </w:r>
            <w:r>
              <w:rPr>
                <w:rFonts w:eastAsia="Times New Roman" w:cs="Arial"/>
                <w:lang w:eastAsia="cs-CZ"/>
              </w:rPr>
              <w:t>Výdaje na s</w:t>
            </w:r>
            <w:r w:rsidRPr="0052084B">
              <w:rPr>
                <w:rFonts w:eastAsia="Times New Roman" w:cs="Arial"/>
                <w:lang w:eastAsia="cs-CZ"/>
              </w:rPr>
              <w:t>tavby budované v souvislosti se získáváním přírodních zdrojů se považují za nákup dlouhodobého hmotného a nehmotného majetku na položce</w:t>
            </w:r>
            <w:r w:rsidR="00A252EF">
              <w:rPr>
                <w:rFonts w:eastAsia="Times New Roman" w:cs="Arial"/>
                <w:lang w:eastAsia="cs-CZ"/>
              </w:rPr>
              <w:t xml:space="preserve"> </w:t>
            </w:r>
            <w:r w:rsidRPr="0052084B">
              <w:rPr>
                <w:rFonts w:eastAsia="Times New Roman" w:cs="Arial"/>
                <w:lang w:eastAsia="cs-CZ"/>
              </w:rPr>
              <w:t xml:space="preserve">B.1.III. </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B.1.III.</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Ostatní nákupy dlouhodobého hmotného a nehmotného majetku</w:t>
            </w:r>
          </w:p>
        </w:tc>
      </w:tr>
      <w:tr w:rsidR="0043430B" w:rsidRPr="001B70EE" w:rsidTr="00A71CE6">
        <w:trPr>
          <w:trHeight w:val="57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EA6327">
            <w:pPr>
              <w:spacing w:after="0" w:line="240" w:lineRule="auto"/>
              <w:jc w:val="both"/>
              <w:rPr>
                <w:rFonts w:eastAsia="Times New Roman" w:cs="Arial"/>
                <w:lang w:eastAsia="cs-CZ"/>
              </w:rPr>
            </w:pPr>
            <w:r w:rsidRPr="0052084B">
              <w:rPr>
                <w:rFonts w:eastAsia="Times New Roman" w:cs="Arial"/>
                <w:lang w:eastAsia="cs-CZ"/>
              </w:rPr>
              <w:t>Patří sem z</w:t>
            </w:r>
            <w:r>
              <w:rPr>
                <w:rFonts w:eastAsia="Times New Roman" w:cs="Arial"/>
                <w:lang w:eastAsia="cs-CZ"/>
              </w:rPr>
              <w:t>ejména výdaje na pořízení budov a jiných</w:t>
            </w:r>
            <w:r w:rsidRPr="0052084B">
              <w:rPr>
                <w:rFonts w:eastAsia="Times New Roman" w:cs="Arial"/>
                <w:lang w:eastAsia="cs-CZ"/>
              </w:rPr>
              <w:t xml:space="preserve"> staveb, strojů a zařízení, </w:t>
            </w:r>
            <w:r w:rsidR="00606137">
              <w:rPr>
                <w:rFonts w:eastAsia="Times New Roman" w:cs="Arial"/>
                <w:lang w:eastAsia="cs-CZ"/>
              </w:rPr>
              <w:t xml:space="preserve">stejně jako výdaje na pořízení </w:t>
            </w:r>
            <w:r w:rsidRPr="0052084B">
              <w:rPr>
                <w:rFonts w:eastAsia="Times New Roman" w:cs="Arial"/>
                <w:lang w:eastAsia="cs-CZ"/>
              </w:rPr>
              <w:t>softwaru</w:t>
            </w:r>
            <w:r w:rsidRPr="00E12B26">
              <w:rPr>
                <w:rFonts w:eastAsia="Times New Roman" w:cs="Arial"/>
                <w:lang w:eastAsia="cs-CZ"/>
              </w:rPr>
              <w:t xml:space="preserve">. Také </w:t>
            </w:r>
            <w:r w:rsidRPr="0052084B">
              <w:rPr>
                <w:rFonts w:eastAsia="Times New Roman" w:cs="Arial"/>
                <w:lang w:eastAsia="cs-CZ"/>
              </w:rPr>
              <w:t>rozsáhlé technické zhodnocení majetku je zaznamenáno na této položce.</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B.2.</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b/>
                <w:lang w:eastAsia="cs-CZ"/>
              </w:rPr>
              <w:t>Prodeje dlouhodobého hmotného a nehmotného majetku</w:t>
            </w:r>
          </w:p>
        </w:tc>
      </w:tr>
      <w:tr w:rsidR="0043430B" w:rsidRPr="001B70EE" w:rsidTr="00A71CE6">
        <w:trPr>
          <w:trHeight w:val="566"/>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52084B" w:rsidRDefault="0043430B" w:rsidP="00886B03">
            <w:pPr>
              <w:spacing w:after="0" w:line="240" w:lineRule="auto"/>
              <w:jc w:val="both"/>
              <w:rPr>
                <w:rFonts w:eastAsia="Times New Roman" w:cs="Arial"/>
                <w:lang w:eastAsia="cs-CZ"/>
              </w:rPr>
            </w:pPr>
            <w:r w:rsidRPr="0052084B">
              <w:rPr>
                <w:rFonts w:eastAsia="Times New Roman" w:cs="Arial"/>
                <w:lang w:eastAsia="cs-CZ"/>
              </w:rPr>
              <w:t xml:space="preserve">Jedná se o příjmy z prodeje nefinančních aktiv, jejichž doba životnosti </w:t>
            </w:r>
            <w:r w:rsidR="00886B03">
              <w:rPr>
                <w:rFonts w:eastAsia="Times New Roman" w:cs="Arial"/>
                <w:lang w:eastAsia="cs-CZ"/>
              </w:rPr>
              <w:t>je delší než 1 rok</w:t>
            </w:r>
            <w:r>
              <w:rPr>
                <w:rFonts w:eastAsia="Times New Roman" w:cs="Arial"/>
                <w:lang w:eastAsia="cs-CZ"/>
              </w:rPr>
              <w:t>, tj. fixních aktiv (budovy a jiné</w:t>
            </w:r>
            <w:r w:rsidRPr="0052084B">
              <w:rPr>
                <w:rFonts w:eastAsia="Times New Roman" w:cs="Arial"/>
                <w:lang w:eastAsia="cs-CZ"/>
              </w:rPr>
              <w:t xml:space="preserve"> stavby, stroje a zařízení, dopravní prostředky apod.), cenností a nevyráběných aktiv.</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B.2.I.</w:t>
            </w:r>
          </w:p>
        </w:tc>
        <w:tc>
          <w:tcPr>
            <w:tcW w:w="12958" w:type="dxa"/>
            <w:tcBorders>
              <w:top w:val="single" w:sz="4" w:space="0" w:color="auto"/>
              <w:left w:val="single" w:sz="4" w:space="0" w:color="000000"/>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b/>
                <w:lang w:eastAsia="cs-CZ"/>
              </w:rPr>
              <w:t>Cennosti</w:t>
            </w:r>
          </w:p>
        </w:tc>
      </w:tr>
      <w:tr w:rsidR="0043430B" w:rsidRPr="001B70EE" w:rsidTr="00A71CE6">
        <w:trPr>
          <w:trHeight w:val="42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lang w:eastAsia="cs-CZ"/>
              </w:rPr>
              <w:t xml:space="preserve">Náplní položky jsou příjmy z prodeje cenností (zlato a jiné drahé kovy a kameny, malby, sochy a další umělecká díla držená primárně za účelem uchování hodnoty v průběhu času, klenoty a další cennosti) snížené o výdaje spojené s převodem vlastnictví. Předměty splňující definici cenností, avšak držené za jiným účelem než jako způsob uložení peněz a uchování jejich hodnoty v čase, by měly být v případě prodeje klasifikovány spíše jako </w:t>
            </w:r>
            <w:r w:rsidR="00A252EF">
              <w:rPr>
                <w:rFonts w:eastAsia="Times New Roman" w:cs="Arial"/>
                <w:lang w:eastAsia="cs-CZ"/>
              </w:rPr>
              <w:t>o</w:t>
            </w:r>
            <w:r w:rsidRPr="0052084B">
              <w:rPr>
                <w:rFonts w:eastAsia="Times New Roman" w:cs="Arial"/>
                <w:lang w:eastAsia="cs-CZ"/>
              </w:rPr>
              <w:t>statní prodeje dlouhodobého hmotného a nehmotného majetku (B.2.III.)</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B.2.II.</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b/>
                <w:lang w:eastAsia="cs-CZ"/>
              </w:rPr>
              <w:t>Nevyráběná aktiva</w:t>
            </w:r>
          </w:p>
        </w:tc>
      </w:tr>
      <w:tr w:rsidR="0043430B" w:rsidRPr="001B70EE" w:rsidTr="00A71CE6">
        <w:trPr>
          <w:trHeight w:val="842"/>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pPr>
              <w:spacing w:after="0" w:line="240" w:lineRule="auto"/>
              <w:jc w:val="both"/>
              <w:rPr>
                <w:rFonts w:eastAsia="Times New Roman" w:cs="Arial"/>
                <w:lang w:eastAsia="cs-CZ"/>
              </w:rPr>
            </w:pPr>
            <w:r w:rsidRPr="0052084B">
              <w:rPr>
                <w:rFonts w:eastAsia="Times New Roman" w:cs="Arial"/>
                <w:lang w:eastAsia="cs-CZ"/>
              </w:rPr>
              <w:t>Zahrnuje příjmy spojené s transakcemi s pozemky, ložisky nerostných surovin, emisními povolenkami, příp. jinými nevyráběnými aktivy. Nájemné přijaté za pronájem těchto aktiv je považováno za</w:t>
            </w:r>
            <w:r>
              <w:rPr>
                <w:rFonts w:eastAsia="Times New Roman" w:cs="Arial"/>
                <w:lang w:eastAsia="cs-CZ"/>
              </w:rPr>
              <w:t xml:space="preserve"> příjem z vlastnictví na položce A.1.V</w:t>
            </w:r>
            <w:r w:rsidR="00A252EF">
              <w:rPr>
                <w:rFonts w:eastAsia="Times New Roman" w:cs="Arial"/>
                <w:lang w:eastAsia="cs-CZ"/>
              </w:rPr>
              <w:t>I</w:t>
            </w:r>
            <w:r>
              <w:rPr>
                <w:rFonts w:eastAsia="Times New Roman" w:cs="Arial"/>
                <w:lang w:eastAsia="cs-CZ"/>
              </w:rPr>
              <w:t>.</w:t>
            </w:r>
            <w:r w:rsidR="00A252EF">
              <w:rPr>
                <w:rFonts w:eastAsia="Times New Roman" w:cs="Arial"/>
                <w:lang w:eastAsia="cs-CZ"/>
              </w:rPr>
              <w:t>2</w:t>
            </w:r>
            <w:r w:rsidRPr="0052084B">
              <w:rPr>
                <w:rFonts w:eastAsia="Times New Roman" w:cs="Arial"/>
                <w:lang w:eastAsia="cs-CZ"/>
              </w:rPr>
              <w:t xml:space="preserve">. Stavby budované v souvislosti se získáváním přírodních zdrojů se považují za fixní aktiva </w:t>
            </w:r>
            <w:r w:rsidR="00A31963">
              <w:rPr>
                <w:rFonts w:eastAsia="Times New Roman" w:cs="Arial"/>
                <w:lang w:eastAsia="cs-CZ"/>
              </w:rPr>
              <w:t xml:space="preserve">a jejich prodeje se </w:t>
            </w:r>
            <w:r w:rsidRPr="0052084B">
              <w:rPr>
                <w:rFonts w:eastAsia="Times New Roman" w:cs="Arial"/>
                <w:lang w:eastAsia="cs-CZ"/>
              </w:rPr>
              <w:t>zaznamenají na položce</w:t>
            </w:r>
            <w:r w:rsidR="00A252EF">
              <w:rPr>
                <w:rFonts w:eastAsia="Times New Roman" w:cs="Arial"/>
                <w:lang w:eastAsia="cs-CZ"/>
              </w:rPr>
              <w:t xml:space="preserve"> </w:t>
            </w:r>
            <w:r w:rsidRPr="0052084B">
              <w:rPr>
                <w:rFonts w:eastAsia="Times New Roman" w:cs="Arial"/>
                <w:lang w:eastAsia="cs-CZ"/>
              </w:rPr>
              <w:t xml:space="preserve">B.2.III. </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B.2.III.</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lang w:eastAsia="cs-CZ"/>
              </w:rPr>
            </w:pPr>
            <w:r w:rsidRPr="0052084B">
              <w:rPr>
                <w:rFonts w:eastAsia="Times New Roman" w:cs="Arial"/>
                <w:b/>
                <w:lang w:eastAsia="cs-CZ"/>
              </w:rPr>
              <w:t>Ostatní prodeje dlouhodobého hmotného a nehmotného majetku</w:t>
            </w:r>
          </w:p>
        </w:tc>
      </w:tr>
      <w:tr w:rsidR="0043430B" w:rsidRPr="001B70EE" w:rsidTr="00A71CE6">
        <w:trPr>
          <w:trHeight w:val="41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Pr="0052084B" w:rsidRDefault="0043430B" w:rsidP="00EA6327">
            <w:pPr>
              <w:spacing w:after="0" w:line="240" w:lineRule="auto"/>
              <w:jc w:val="both"/>
              <w:rPr>
                <w:rFonts w:eastAsia="Times New Roman" w:cs="Arial"/>
                <w:lang w:eastAsia="cs-CZ"/>
              </w:rPr>
            </w:pPr>
            <w:r w:rsidRPr="0052084B">
              <w:rPr>
                <w:rFonts w:eastAsia="Times New Roman" w:cs="Arial"/>
                <w:lang w:eastAsia="cs-CZ"/>
              </w:rPr>
              <w:t>Patří sem</w:t>
            </w:r>
            <w:r>
              <w:rPr>
                <w:rFonts w:eastAsia="Times New Roman" w:cs="Arial"/>
                <w:lang w:eastAsia="cs-CZ"/>
              </w:rPr>
              <w:t xml:space="preserve"> zejména příjmy z prodeje budov a jiných</w:t>
            </w:r>
            <w:r w:rsidRPr="0052084B">
              <w:rPr>
                <w:rFonts w:eastAsia="Times New Roman" w:cs="Arial"/>
                <w:lang w:eastAsia="cs-CZ"/>
              </w:rPr>
              <w:t xml:space="preserve"> staveb, strojů a zařízení, </w:t>
            </w:r>
            <w:r w:rsidR="00606137">
              <w:rPr>
                <w:rFonts w:eastAsia="Times New Roman" w:cs="Arial"/>
                <w:lang w:eastAsia="cs-CZ"/>
              </w:rPr>
              <w:t xml:space="preserve">stejně jako příjmy z prodeje </w:t>
            </w:r>
            <w:r w:rsidRPr="00E12B26">
              <w:rPr>
                <w:rFonts w:eastAsia="Times New Roman" w:cs="Arial"/>
                <w:lang w:eastAsia="cs-CZ"/>
              </w:rPr>
              <w:t xml:space="preserve">softwaru. </w:t>
            </w:r>
          </w:p>
        </w:tc>
      </w:tr>
      <w:tr w:rsidR="0043430B" w:rsidRPr="001B70EE" w:rsidTr="00A71CE6">
        <w:trPr>
          <w:trHeight w:val="415"/>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1B70EE" w:rsidRDefault="0043430B" w:rsidP="00C3149D">
            <w:pPr>
              <w:spacing w:after="0" w:line="240" w:lineRule="auto"/>
              <w:rPr>
                <w:rFonts w:eastAsia="Times New Roman" w:cs="Arial"/>
                <w:b/>
                <w:bCs/>
                <w:sz w:val="24"/>
                <w:szCs w:val="24"/>
                <w:lang w:eastAsia="cs-CZ"/>
              </w:rPr>
            </w:pPr>
            <w:r w:rsidRPr="001B70EE">
              <w:rPr>
                <w:rFonts w:eastAsia="Times New Roman" w:cs="Arial"/>
                <w:b/>
                <w:bCs/>
                <w:sz w:val="24"/>
                <w:szCs w:val="24"/>
                <w:lang w:eastAsia="cs-CZ"/>
              </w:rPr>
              <w:t>D.</w:t>
            </w:r>
          </w:p>
        </w:tc>
        <w:tc>
          <w:tcPr>
            <w:tcW w:w="12958" w:type="dxa"/>
            <w:tcBorders>
              <w:left w:val="nil"/>
              <w:bottom w:val="single" w:sz="4" w:space="0" w:color="auto"/>
              <w:right w:val="single" w:sz="4" w:space="0" w:color="000000"/>
            </w:tcBorders>
            <w:shd w:val="clear" w:color="auto" w:fill="auto"/>
            <w:vAlign w:val="center"/>
          </w:tcPr>
          <w:p w:rsidR="0043430B" w:rsidRPr="001B70EE" w:rsidRDefault="0043430B" w:rsidP="00522316">
            <w:pPr>
              <w:pStyle w:val="Nadpis3"/>
              <w:rPr>
                <w:rFonts w:eastAsia="Times New Roman"/>
                <w:lang w:eastAsia="cs-CZ"/>
              </w:rPr>
            </w:pPr>
            <w:bookmarkStart w:id="15" w:name="_Toc483906424"/>
            <w:r w:rsidRPr="001B70EE">
              <w:rPr>
                <w:rFonts w:eastAsia="Times New Roman"/>
                <w:lang w:eastAsia="cs-CZ"/>
              </w:rPr>
              <w:t>PENĚŽNÍ TOKY Z</w:t>
            </w:r>
            <w:r w:rsidR="001F0E97">
              <w:rPr>
                <w:rFonts w:eastAsia="Times New Roman"/>
                <w:lang w:eastAsia="cs-CZ"/>
              </w:rPr>
              <w:t> </w:t>
            </w:r>
            <w:r w:rsidRPr="001B70EE">
              <w:rPr>
                <w:rFonts w:eastAsia="Times New Roman"/>
                <w:lang w:eastAsia="cs-CZ"/>
              </w:rPr>
              <w:t>FINANCOVÁNÍ</w:t>
            </w:r>
            <w:bookmarkEnd w:id="15"/>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D.1.</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 xml:space="preserve">Čisté </w:t>
            </w:r>
            <w:r w:rsidR="00276145">
              <w:rPr>
                <w:rFonts w:eastAsia="Times New Roman" w:cs="Arial"/>
                <w:b/>
                <w:lang w:eastAsia="cs-CZ"/>
              </w:rPr>
              <w:t>změna</w:t>
            </w:r>
            <w:r w:rsidRPr="0052084B">
              <w:rPr>
                <w:rFonts w:eastAsia="Times New Roman" w:cs="Arial"/>
                <w:b/>
                <w:lang w:eastAsia="cs-CZ"/>
              </w:rPr>
              <w:t xml:space="preserve"> finančních aktiv jiných než oběživo a depozita</w:t>
            </w:r>
          </w:p>
        </w:tc>
      </w:tr>
      <w:tr w:rsidR="0043430B" w:rsidRPr="001B70EE" w:rsidTr="00A71CE6">
        <w:trPr>
          <w:trHeight w:val="817"/>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auto"/>
            </w:tcBorders>
            <w:shd w:val="clear" w:color="auto" w:fill="auto"/>
            <w:vAlign w:val="center"/>
            <w:hideMark/>
          </w:tcPr>
          <w:p w:rsidR="00C61D05" w:rsidRDefault="00C61D05" w:rsidP="001203D0">
            <w:pPr>
              <w:spacing w:after="0" w:line="240" w:lineRule="auto"/>
              <w:jc w:val="both"/>
              <w:rPr>
                <w:rFonts w:eastAsia="Times New Roman" w:cs="Arial"/>
                <w:lang w:eastAsia="cs-CZ"/>
              </w:rPr>
            </w:pPr>
            <w:r>
              <w:rPr>
                <w:rFonts w:eastAsia="Times New Roman" w:cs="Arial"/>
                <w:lang w:eastAsia="cs-CZ"/>
              </w:rPr>
              <w:t>Transakce s finančními aktivy (D.1.) vysvětlují, jak je financováno saldo z nefinančních peněžních toků (C.), tzn. změnou jakých finančních aktiv.</w:t>
            </w:r>
          </w:p>
          <w:p w:rsidR="00276145" w:rsidRDefault="0043430B" w:rsidP="001203D0">
            <w:pPr>
              <w:spacing w:after="0" w:line="240" w:lineRule="auto"/>
              <w:jc w:val="both"/>
              <w:rPr>
                <w:rFonts w:eastAsia="Times New Roman" w:cs="Arial"/>
                <w:lang w:eastAsia="cs-CZ"/>
              </w:rPr>
            </w:pPr>
            <w:r w:rsidRPr="0052084B">
              <w:rPr>
                <w:rFonts w:eastAsia="Times New Roman" w:cs="Arial"/>
                <w:lang w:eastAsia="cs-CZ"/>
              </w:rPr>
              <w:t>Tato kategorie zaznamenává pohyb na účtech finančních aktiv související s nákupem a následným prodejem finančního aktiva jiného než oběživo a depozita, kterými mohou být dluhové cenné papíry nebo akcie a jiné majetkové podíly. Dále se zde promítnou operace spojené s</w:t>
            </w:r>
            <w:r w:rsidR="00B6152C">
              <w:rPr>
                <w:rFonts w:eastAsia="Times New Roman" w:cs="Arial"/>
                <w:lang w:eastAsia="cs-CZ"/>
              </w:rPr>
              <w:t> </w:t>
            </w:r>
            <w:r w:rsidRPr="0052084B">
              <w:rPr>
                <w:rFonts w:eastAsia="Times New Roman" w:cs="Arial"/>
                <w:lang w:eastAsia="cs-CZ"/>
              </w:rPr>
              <w:t>poskyt</w:t>
            </w:r>
            <w:r w:rsidR="006E653B">
              <w:rPr>
                <w:rFonts w:eastAsia="Times New Roman" w:cs="Arial"/>
                <w:lang w:eastAsia="cs-CZ"/>
              </w:rPr>
              <w:t>ováním půjček a úvěrů</w:t>
            </w:r>
            <w:r w:rsidRPr="0052084B">
              <w:rPr>
                <w:rFonts w:eastAsia="Times New Roman" w:cs="Arial"/>
                <w:lang w:eastAsia="cs-CZ"/>
              </w:rPr>
              <w:t>.</w:t>
            </w:r>
          </w:p>
          <w:p w:rsidR="00A50927" w:rsidRDefault="003E2393" w:rsidP="001203D0">
            <w:pPr>
              <w:spacing w:after="0" w:line="240" w:lineRule="auto"/>
              <w:jc w:val="both"/>
              <w:rPr>
                <w:rFonts w:eastAsia="Times New Roman" w:cs="Arial"/>
                <w:lang w:eastAsia="cs-CZ"/>
              </w:rPr>
            </w:pPr>
            <w:r>
              <w:rPr>
                <w:rFonts w:eastAsia="Times New Roman" w:cs="Arial"/>
                <w:lang w:eastAsia="cs-CZ"/>
              </w:rPr>
              <w:t xml:space="preserve">Pro rozdělení finančních aktiv </w:t>
            </w:r>
            <w:r w:rsidR="00BF3AB9">
              <w:rPr>
                <w:rFonts w:eastAsia="Times New Roman" w:cs="Arial"/>
                <w:lang w:eastAsia="cs-CZ"/>
              </w:rPr>
              <w:t xml:space="preserve">na domácí (D.1.I.) a zahraniční (D.1.II.) je určující </w:t>
            </w:r>
            <w:r w:rsidR="00E20457">
              <w:rPr>
                <w:rFonts w:eastAsia="Times New Roman" w:cs="Arial"/>
                <w:lang w:eastAsia="cs-CZ"/>
              </w:rPr>
              <w:t>osoba, která</w:t>
            </w:r>
            <w:r>
              <w:rPr>
                <w:rFonts w:eastAsia="Times New Roman" w:cs="Arial"/>
                <w:lang w:eastAsia="cs-CZ"/>
              </w:rPr>
              <w:t xml:space="preserve"> je protistranou</w:t>
            </w:r>
            <w:r w:rsidR="00BF3AB9">
              <w:rPr>
                <w:rFonts w:eastAsia="Times New Roman" w:cs="Arial"/>
                <w:lang w:eastAsia="cs-CZ"/>
              </w:rPr>
              <w:t xml:space="preserve"> v</w:t>
            </w:r>
            <w:r w:rsidR="00C2591B">
              <w:rPr>
                <w:rFonts w:eastAsia="Times New Roman" w:cs="Arial"/>
                <w:lang w:eastAsia="cs-CZ"/>
              </w:rPr>
              <w:t> </w:t>
            </w:r>
            <w:r w:rsidR="00BF3AB9">
              <w:rPr>
                <w:rFonts w:eastAsia="Times New Roman" w:cs="Arial"/>
                <w:lang w:eastAsia="cs-CZ"/>
              </w:rPr>
              <w:t>transakci</w:t>
            </w:r>
            <w:r>
              <w:rPr>
                <w:rFonts w:eastAsia="Times New Roman" w:cs="Arial"/>
                <w:lang w:eastAsia="cs-CZ"/>
              </w:rPr>
              <w:t>.</w:t>
            </w:r>
            <w:r w:rsidR="009224BD">
              <w:rPr>
                <w:rFonts w:eastAsia="Times New Roman" w:cs="Arial"/>
                <w:lang w:eastAsia="cs-CZ"/>
              </w:rPr>
              <w:t xml:space="preserve"> V prvním případě jde o</w:t>
            </w:r>
            <w:r w:rsidR="00B6152C">
              <w:rPr>
                <w:rFonts w:eastAsia="Times New Roman" w:cs="Arial"/>
                <w:lang w:eastAsia="cs-CZ"/>
              </w:rPr>
              <w:t> </w:t>
            </w:r>
            <w:r w:rsidR="009224BD">
              <w:rPr>
                <w:rFonts w:eastAsia="Times New Roman" w:cs="Arial"/>
                <w:lang w:eastAsia="cs-CZ"/>
              </w:rPr>
              <w:t>rezidenta v ČR, v d</w:t>
            </w:r>
            <w:r w:rsidR="00E20457">
              <w:rPr>
                <w:rFonts w:eastAsia="Times New Roman" w:cs="Arial"/>
                <w:lang w:eastAsia="cs-CZ"/>
              </w:rPr>
              <w:t>ruhém případě je touto osobou</w:t>
            </w:r>
            <w:r w:rsidR="009224BD">
              <w:rPr>
                <w:rFonts w:eastAsia="Times New Roman" w:cs="Arial"/>
                <w:lang w:eastAsia="cs-CZ"/>
              </w:rPr>
              <w:t xml:space="preserve"> nerezident.</w:t>
            </w:r>
            <w:r w:rsidR="00BF3AB9">
              <w:rPr>
                <w:rFonts w:eastAsia="Times New Roman" w:cs="Arial"/>
                <w:lang w:eastAsia="cs-CZ"/>
              </w:rPr>
              <w:t xml:space="preserve"> </w:t>
            </w:r>
          </w:p>
          <w:p w:rsidR="005B4032" w:rsidRPr="00BD3E1A" w:rsidRDefault="005B4032" w:rsidP="00BD3E1A">
            <w:pPr>
              <w:pStyle w:val="Odstavecseseznamem"/>
              <w:numPr>
                <w:ilvl w:val="0"/>
                <w:numId w:val="5"/>
              </w:numPr>
              <w:spacing w:after="0" w:line="240" w:lineRule="auto"/>
              <w:jc w:val="both"/>
              <w:rPr>
                <w:rFonts w:eastAsia="Times New Roman" w:cs="Arial"/>
                <w:b/>
                <w:lang w:eastAsia="cs-CZ"/>
              </w:rPr>
            </w:pPr>
            <w:r w:rsidRPr="00BD3E1A">
              <w:rPr>
                <w:rFonts w:eastAsia="Times New Roman" w:cs="Arial"/>
                <w:b/>
                <w:lang w:eastAsia="cs-CZ"/>
              </w:rPr>
              <w:t>D.1.I. Čistá změna domácích finančních aktiv jiných než oběživo a depozita</w:t>
            </w:r>
            <w:r w:rsidR="009224BD">
              <w:rPr>
                <w:rFonts w:eastAsia="Times New Roman" w:cs="Arial"/>
                <w:lang w:eastAsia="cs-CZ"/>
              </w:rPr>
              <w:t xml:space="preserve"> (protistranou v transakci je rezident v ČR)</w:t>
            </w:r>
          </w:p>
          <w:p w:rsidR="0043430B" w:rsidRPr="00BD3E1A" w:rsidRDefault="005B4032" w:rsidP="00BD3E1A">
            <w:pPr>
              <w:pStyle w:val="Odstavecseseznamem"/>
              <w:numPr>
                <w:ilvl w:val="0"/>
                <w:numId w:val="5"/>
              </w:numPr>
              <w:spacing w:after="0" w:line="240" w:lineRule="auto"/>
              <w:jc w:val="both"/>
              <w:rPr>
                <w:rFonts w:eastAsia="Times New Roman" w:cs="Arial"/>
                <w:lang w:eastAsia="cs-CZ"/>
              </w:rPr>
            </w:pPr>
            <w:r w:rsidRPr="00BD3E1A">
              <w:rPr>
                <w:rFonts w:eastAsia="Times New Roman" w:cs="Arial"/>
                <w:b/>
                <w:lang w:eastAsia="cs-CZ"/>
              </w:rPr>
              <w:t>D.1.II. Čistá změna zahraničních finančních aktiv jiných než oběživo a depozita</w:t>
            </w:r>
            <w:r w:rsidR="009224BD">
              <w:rPr>
                <w:rFonts w:eastAsia="Times New Roman" w:cs="Arial"/>
                <w:lang w:eastAsia="cs-CZ"/>
              </w:rPr>
              <w:t xml:space="preserve"> (protistranou v transakci je nerezident ve vztahu</w:t>
            </w:r>
            <w:r w:rsidR="007A0780">
              <w:rPr>
                <w:rFonts w:eastAsia="Times New Roman" w:cs="Arial"/>
                <w:lang w:eastAsia="cs-CZ"/>
              </w:rPr>
              <w:t xml:space="preserve"> k </w:t>
            </w:r>
            <w:r w:rsidR="009224BD">
              <w:rPr>
                <w:rFonts w:eastAsia="Times New Roman" w:cs="Arial"/>
                <w:lang w:eastAsia="cs-CZ"/>
              </w:rPr>
              <w:t>ČR)</w:t>
            </w:r>
          </w:p>
        </w:tc>
      </w:tr>
    </w:tbl>
    <w:p w:rsidR="00116803" w:rsidRDefault="00116803">
      <w:r>
        <w:br w:type="page"/>
      </w:r>
    </w:p>
    <w:tbl>
      <w:tblPr>
        <w:tblW w:w="14249" w:type="dxa"/>
        <w:tblInd w:w="55" w:type="dxa"/>
        <w:tblCellMar>
          <w:left w:w="70" w:type="dxa"/>
          <w:right w:w="70" w:type="dxa"/>
        </w:tblCellMar>
        <w:tblLook w:val="04A0"/>
      </w:tblPr>
      <w:tblGrid>
        <w:gridCol w:w="1291"/>
        <w:gridCol w:w="12958"/>
      </w:tblGrid>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lastRenderedPageBreak/>
              <w:t>D.1.I.</w:t>
            </w:r>
            <w:r w:rsidR="00094A7F">
              <w:rPr>
                <w:rFonts w:eastAsia="Times New Roman" w:cs="Arial"/>
                <w:b/>
                <w:bCs/>
                <w:lang w:eastAsia="cs-CZ"/>
              </w:rPr>
              <w:t>1.</w:t>
            </w:r>
            <w:r w:rsidR="00094A7F">
              <w:rPr>
                <w:rFonts w:eastAsia="Times New Roman" w:cs="Arial"/>
                <w:b/>
                <w:bCs/>
                <w:lang w:eastAsia="cs-CZ"/>
              </w:rPr>
              <w:br/>
              <w:t>D.1.II.1.</w:t>
            </w:r>
          </w:p>
        </w:tc>
        <w:tc>
          <w:tcPr>
            <w:tcW w:w="12958" w:type="dxa"/>
            <w:tcBorders>
              <w:top w:val="single" w:sz="4" w:space="0" w:color="auto"/>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Čisté pořízení dluhových cenných papírů</w:t>
            </w:r>
          </w:p>
        </w:tc>
      </w:tr>
      <w:tr w:rsidR="0043430B" w:rsidRPr="001B70EE" w:rsidTr="00A71CE6">
        <w:trPr>
          <w:trHeight w:val="312"/>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noWrap/>
            <w:vAlign w:val="center"/>
          </w:tcPr>
          <w:p w:rsidR="0043430B" w:rsidRPr="0052084B" w:rsidRDefault="00B91DFE" w:rsidP="00022601">
            <w:pPr>
              <w:spacing w:after="0" w:line="240" w:lineRule="auto"/>
              <w:jc w:val="both"/>
              <w:rPr>
                <w:rFonts w:eastAsia="Times New Roman" w:cs="Arial"/>
                <w:color w:val="000000"/>
                <w:lang w:eastAsia="cs-CZ"/>
              </w:rPr>
            </w:pPr>
            <w:r>
              <w:rPr>
                <w:rFonts w:eastAsia="Times New Roman" w:cs="Arial"/>
                <w:color w:val="000000"/>
                <w:lang w:eastAsia="cs-CZ"/>
              </w:rPr>
              <w:t>Položky zahrnují</w:t>
            </w:r>
            <w:r w:rsidR="0043430B" w:rsidRPr="0052084B">
              <w:rPr>
                <w:rFonts w:eastAsia="Times New Roman" w:cs="Arial"/>
                <w:color w:val="000000"/>
                <w:lang w:eastAsia="cs-CZ"/>
              </w:rPr>
              <w:t xml:space="preserve"> změnu stavu cizích dluhových cenných papírů, tj. pořízení cizích dluhových papírů (+) a jejich prodej </w:t>
            </w:r>
            <w:r w:rsidR="00261D45">
              <w:rPr>
                <w:rFonts w:eastAsia="Times New Roman" w:cs="Arial"/>
                <w:color w:val="000000"/>
                <w:lang w:eastAsia="cs-CZ"/>
              </w:rPr>
              <w:t>(-).</w:t>
            </w:r>
            <w:r w:rsidR="006E653B">
              <w:rPr>
                <w:rFonts w:eastAsia="Times New Roman" w:cs="Arial"/>
                <w:color w:val="000000"/>
                <w:lang w:eastAsia="cs-CZ"/>
              </w:rPr>
              <w:t xml:space="preserve"> </w:t>
            </w:r>
            <w:r w:rsidR="00022601">
              <w:rPr>
                <w:rFonts w:eastAsia="Times New Roman" w:cs="Arial"/>
                <w:color w:val="000000"/>
                <w:lang w:eastAsia="cs-CZ"/>
              </w:rPr>
              <w:t>Nak</w:t>
            </w:r>
            <w:r>
              <w:rPr>
                <w:rFonts w:eastAsia="Times New Roman" w:cs="Arial"/>
                <w:color w:val="000000"/>
                <w:lang w:eastAsia="cs-CZ"/>
              </w:rPr>
              <w:t>oupené cenné papíry jsou na těchto položkách</w:t>
            </w:r>
            <w:r w:rsidR="00022601">
              <w:rPr>
                <w:rFonts w:eastAsia="Times New Roman" w:cs="Arial"/>
                <w:color w:val="000000"/>
                <w:lang w:eastAsia="cs-CZ"/>
              </w:rPr>
              <w:t xml:space="preserve"> zachyceny v ceně pořízení, která byla skutečně zaplacena (související výdaje na zprostředkování obchodu jako</w:t>
            </w:r>
            <w:r w:rsidR="009611F1">
              <w:rPr>
                <w:rFonts w:eastAsia="Times New Roman" w:cs="Arial"/>
                <w:color w:val="000000"/>
                <w:lang w:eastAsia="cs-CZ"/>
              </w:rPr>
              <w:t xml:space="preserve"> je například poplatek obchodníkovi s cennými papíry</w:t>
            </w:r>
            <w:r w:rsidR="00022601">
              <w:rPr>
                <w:rFonts w:eastAsia="Times New Roman" w:cs="Arial"/>
                <w:color w:val="000000"/>
                <w:lang w:eastAsia="cs-CZ"/>
              </w:rPr>
              <w:t xml:space="preserve"> patří na položku A.2.VI</w:t>
            </w:r>
            <w:r w:rsidR="004C2269">
              <w:rPr>
                <w:rFonts w:eastAsia="Times New Roman" w:cs="Arial"/>
                <w:color w:val="000000"/>
                <w:lang w:eastAsia="cs-CZ"/>
              </w:rPr>
              <w:t>II</w:t>
            </w:r>
            <w:r w:rsidR="00022601">
              <w:rPr>
                <w:rFonts w:eastAsia="Times New Roman" w:cs="Arial"/>
                <w:color w:val="000000"/>
                <w:lang w:eastAsia="cs-CZ"/>
              </w:rPr>
              <w:t xml:space="preserve">.). Ve stejné hodnotě, ale s opačným znaménkem bude zaznamenán prodej těchto cenných papírů. V případě pořízení dluhopisu s diskontem (emisní kurz je nižší než nominální hodnota) je tento diskont zaznamenán jako úrok </w:t>
            </w:r>
            <w:r w:rsidR="004C2269">
              <w:rPr>
                <w:rFonts w:eastAsia="Times New Roman" w:cs="Arial"/>
                <w:color w:val="000000"/>
                <w:lang w:eastAsia="cs-CZ"/>
              </w:rPr>
              <w:t>(</w:t>
            </w:r>
            <w:r w:rsidR="00022601">
              <w:rPr>
                <w:rFonts w:eastAsia="Times New Roman" w:cs="Arial"/>
                <w:color w:val="000000"/>
                <w:lang w:eastAsia="cs-CZ"/>
              </w:rPr>
              <w:t>A.1.</w:t>
            </w:r>
            <w:r w:rsidR="004C2269">
              <w:rPr>
                <w:rFonts w:eastAsia="Times New Roman" w:cs="Arial"/>
                <w:color w:val="000000"/>
                <w:lang w:eastAsia="cs-CZ"/>
              </w:rPr>
              <w:t>I</w:t>
            </w:r>
            <w:r w:rsidR="00022601">
              <w:rPr>
                <w:rFonts w:eastAsia="Times New Roman" w:cs="Arial"/>
                <w:color w:val="000000"/>
                <w:lang w:eastAsia="cs-CZ"/>
              </w:rPr>
              <w:t>V</w:t>
            </w:r>
            <w:r w:rsidR="004C2269">
              <w:rPr>
                <w:rFonts w:eastAsia="Times New Roman" w:cs="Arial"/>
                <w:color w:val="000000"/>
                <w:lang w:eastAsia="cs-CZ"/>
              </w:rPr>
              <w:t>.)</w:t>
            </w:r>
            <w:r w:rsidR="00022601">
              <w:rPr>
                <w:rFonts w:eastAsia="Times New Roman" w:cs="Arial"/>
                <w:color w:val="000000"/>
                <w:lang w:eastAsia="cs-CZ"/>
              </w:rPr>
              <w:t xml:space="preserve"> při splatnosti dluhopisu. Naopak, pokud je emisní kurz vyšší než nominální hodnota dluhopisu, platí věřitel prémii ve výši rozdílu těchto dvou hodnot. Tu zachytí již v okamžiku nákupu takového cenného papíru jako záporný příjmový úrok </w:t>
            </w:r>
            <w:r w:rsidR="007E7C03">
              <w:rPr>
                <w:rFonts w:eastAsia="Times New Roman" w:cs="Arial"/>
                <w:color w:val="000000"/>
                <w:lang w:eastAsia="cs-CZ"/>
              </w:rPr>
              <w:br/>
            </w:r>
            <w:r w:rsidR="00022601">
              <w:rPr>
                <w:rFonts w:eastAsia="Times New Roman" w:cs="Arial"/>
                <w:color w:val="000000"/>
                <w:lang w:eastAsia="cs-CZ"/>
              </w:rPr>
              <w:t>(-A.1.IV.). Jako úrokový příjem (A.1.IV.) je klasifikován výnos z dluhopisů ve formě inkasovaných kuponových plateb.</w:t>
            </w:r>
          </w:p>
        </w:tc>
      </w:tr>
      <w:tr w:rsidR="0043430B" w:rsidRPr="001B70EE" w:rsidTr="00A71CE6">
        <w:trPr>
          <w:trHeight w:val="255"/>
        </w:trPr>
        <w:tc>
          <w:tcPr>
            <w:tcW w:w="1291" w:type="dxa"/>
            <w:tcBorders>
              <w:top w:val="single" w:sz="4" w:space="0" w:color="auto"/>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D.1.I.</w:t>
            </w:r>
            <w:r w:rsidR="00094A7F">
              <w:rPr>
                <w:rFonts w:eastAsia="Times New Roman" w:cs="Arial"/>
                <w:b/>
                <w:bCs/>
                <w:lang w:eastAsia="cs-CZ"/>
              </w:rPr>
              <w:t>2.</w:t>
            </w:r>
            <w:r w:rsidR="00094A7F">
              <w:rPr>
                <w:rFonts w:eastAsia="Times New Roman" w:cs="Arial"/>
                <w:b/>
                <w:bCs/>
                <w:lang w:eastAsia="cs-CZ"/>
              </w:rPr>
              <w:br/>
              <w:t>D.1.II.2.</w:t>
            </w:r>
          </w:p>
        </w:tc>
        <w:tc>
          <w:tcPr>
            <w:tcW w:w="12958" w:type="dxa"/>
            <w:tcBorders>
              <w:top w:val="single" w:sz="4" w:space="0" w:color="auto"/>
              <w:left w:val="nil"/>
              <w:right w:val="single" w:sz="4" w:space="0" w:color="000000"/>
            </w:tcBorders>
            <w:shd w:val="clear" w:color="auto" w:fill="auto"/>
            <w:noWrap/>
            <w:vAlign w:val="center"/>
          </w:tcPr>
          <w:p w:rsidR="0043430B" w:rsidRPr="0052084B" w:rsidRDefault="0043430B" w:rsidP="001203D0">
            <w:pPr>
              <w:spacing w:after="0" w:line="240" w:lineRule="auto"/>
              <w:jc w:val="both"/>
              <w:rPr>
                <w:rFonts w:eastAsia="Times New Roman" w:cs="Arial"/>
                <w:b/>
                <w:color w:val="000000"/>
                <w:lang w:eastAsia="cs-CZ"/>
              </w:rPr>
            </w:pPr>
            <w:r w:rsidRPr="0052084B">
              <w:rPr>
                <w:rFonts w:eastAsia="Times New Roman" w:cs="Arial"/>
                <w:b/>
                <w:color w:val="000000"/>
                <w:lang w:eastAsia="cs-CZ"/>
              </w:rPr>
              <w:t>Čisté poskytnuté půjčky a úvěry</w:t>
            </w:r>
          </w:p>
        </w:tc>
      </w:tr>
      <w:tr w:rsidR="0043430B" w:rsidRPr="001B70EE" w:rsidTr="00A71CE6">
        <w:trPr>
          <w:trHeight w:val="589"/>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43430B" w:rsidRDefault="0043430B" w:rsidP="001203D0">
            <w:pPr>
              <w:spacing w:after="0" w:line="240" w:lineRule="auto"/>
              <w:jc w:val="both"/>
              <w:rPr>
                <w:rFonts w:eastAsia="Times New Roman" w:cs="Arial"/>
                <w:lang w:eastAsia="cs-CZ"/>
              </w:rPr>
            </w:pPr>
            <w:r w:rsidRPr="0052084B">
              <w:rPr>
                <w:rFonts w:eastAsia="Times New Roman" w:cs="Arial"/>
                <w:lang w:eastAsia="cs-CZ"/>
              </w:rPr>
              <w:t>Položk</w:t>
            </w:r>
            <w:r w:rsidR="00B91DFE">
              <w:rPr>
                <w:rFonts w:eastAsia="Times New Roman" w:cs="Arial"/>
                <w:lang w:eastAsia="cs-CZ"/>
              </w:rPr>
              <w:t>y zahrnují</w:t>
            </w:r>
            <w:r w:rsidRPr="0052084B">
              <w:rPr>
                <w:rFonts w:eastAsia="Times New Roman" w:cs="Arial"/>
                <w:lang w:eastAsia="cs-CZ"/>
              </w:rPr>
              <w:t xml:space="preserve"> změnu stavu poskytnutých půjček a úvěrů, tj. nově poskytnuté půjčky a úvěry (+), splátky </w:t>
            </w:r>
            <w:r w:rsidR="00022601">
              <w:rPr>
                <w:rFonts w:eastAsia="Times New Roman" w:cs="Arial"/>
                <w:lang w:eastAsia="cs-CZ"/>
              </w:rPr>
              <w:t>jistin</w:t>
            </w:r>
            <w:r w:rsidR="00022601" w:rsidRPr="0052084B">
              <w:rPr>
                <w:rFonts w:eastAsia="Times New Roman" w:cs="Arial"/>
                <w:lang w:eastAsia="cs-CZ"/>
              </w:rPr>
              <w:t xml:space="preserve"> </w:t>
            </w:r>
            <w:r w:rsidR="00B6152C">
              <w:rPr>
                <w:rFonts w:eastAsia="Times New Roman" w:cs="Arial"/>
                <w:lang w:eastAsia="cs-CZ"/>
              </w:rPr>
              <w:t>poskytnutých půjček a úvěrů (-)</w:t>
            </w:r>
            <w:r w:rsidRPr="0052084B">
              <w:rPr>
                <w:rFonts w:eastAsia="Times New Roman" w:cs="Arial"/>
                <w:lang w:eastAsia="cs-CZ"/>
              </w:rPr>
              <w:t xml:space="preserve"> Úroky přijaté z těchto půjček a úvěrů jsou </w:t>
            </w:r>
            <w:r>
              <w:rPr>
                <w:rFonts w:eastAsia="Times New Roman" w:cs="Arial"/>
                <w:lang w:eastAsia="cs-CZ"/>
              </w:rPr>
              <w:t>zaznamenány na</w:t>
            </w:r>
            <w:r w:rsidR="00901435">
              <w:rPr>
                <w:rFonts w:eastAsia="Times New Roman" w:cs="Arial"/>
                <w:lang w:eastAsia="cs-CZ"/>
              </w:rPr>
              <w:t xml:space="preserve"> příslušné</w:t>
            </w:r>
            <w:r>
              <w:rPr>
                <w:rFonts w:eastAsia="Times New Roman" w:cs="Arial"/>
                <w:lang w:eastAsia="cs-CZ"/>
              </w:rPr>
              <w:t xml:space="preserve"> položce </w:t>
            </w:r>
            <w:r w:rsidR="00901435">
              <w:rPr>
                <w:rFonts w:eastAsia="Times New Roman" w:cs="Arial"/>
                <w:lang w:eastAsia="cs-CZ"/>
              </w:rPr>
              <w:t>v rámci příjmů z úroků (</w:t>
            </w:r>
            <w:r>
              <w:rPr>
                <w:rFonts w:eastAsia="Times New Roman" w:cs="Arial"/>
                <w:lang w:eastAsia="cs-CZ"/>
              </w:rPr>
              <w:t>A.1.IV</w:t>
            </w:r>
            <w:r w:rsidR="00901435">
              <w:rPr>
                <w:rFonts w:eastAsia="Times New Roman" w:cs="Arial"/>
                <w:lang w:eastAsia="cs-CZ"/>
              </w:rPr>
              <w:t>.)</w:t>
            </w:r>
            <w:r>
              <w:rPr>
                <w:rFonts w:eastAsia="Times New Roman" w:cs="Arial"/>
                <w:lang w:eastAsia="cs-CZ"/>
              </w:rPr>
              <w:t>.</w:t>
            </w:r>
          </w:p>
          <w:p w:rsidR="00CB30CD" w:rsidRPr="0052084B" w:rsidRDefault="006D20C1" w:rsidP="001203D0">
            <w:pPr>
              <w:spacing w:after="0" w:line="240" w:lineRule="auto"/>
              <w:jc w:val="both"/>
              <w:rPr>
                <w:rFonts w:eastAsia="Times New Roman" w:cs="Arial"/>
                <w:lang w:eastAsia="cs-CZ"/>
              </w:rPr>
            </w:pPr>
            <w:r>
              <w:rPr>
                <w:rFonts w:eastAsia="Times New Roman" w:cs="Arial"/>
                <w:lang w:eastAsia="cs-CZ"/>
              </w:rPr>
              <w:t xml:space="preserve">Platba za finanční aktivum </w:t>
            </w:r>
            <w:r w:rsidR="00901435">
              <w:rPr>
                <w:rFonts w:eastAsia="Times New Roman" w:cs="Arial"/>
                <w:lang w:eastAsia="cs-CZ"/>
              </w:rPr>
              <w:t>pořízené</w:t>
            </w:r>
            <w:r w:rsidR="002777BA">
              <w:rPr>
                <w:rFonts w:eastAsia="Times New Roman" w:cs="Arial"/>
                <w:lang w:eastAsia="cs-CZ"/>
              </w:rPr>
              <w:t xml:space="preserve"> na základě sml</w:t>
            </w:r>
            <w:r>
              <w:rPr>
                <w:rFonts w:eastAsia="Times New Roman" w:cs="Arial"/>
                <w:lang w:eastAsia="cs-CZ"/>
              </w:rPr>
              <w:t>o</w:t>
            </w:r>
            <w:r w:rsidR="002777BA">
              <w:rPr>
                <w:rFonts w:eastAsia="Times New Roman" w:cs="Arial"/>
                <w:lang w:eastAsia="cs-CZ"/>
              </w:rPr>
              <w:t>uv</w:t>
            </w:r>
            <w:r>
              <w:rPr>
                <w:rFonts w:eastAsia="Times New Roman" w:cs="Arial"/>
                <w:lang w:eastAsia="cs-CZ"/>
              </w:rPr>
              <w:t>y</w:t>
            </w:r>
            <w:r w:rsidR="002777BA">
              <w:rPr>
                <w:rFonts w:eastAsia="Times New Roman" w:cs="Arial"/>
                <w:lang w:eastAsia="cs-CZ"/>
              </w:rPr>
              <w:t xml:space="preserve"> o zpětném prodeji (reverzní repo operace) je považována za poskytnutý úvěr.</w:t>
            </w:r>
          </w:p>
        </w:tc>
      </w:tr>
      <w:tr w:rsidR="0043430B" w:rsidRPr="001B70EE" w:rsidTr="00A71CE6">
        <w:trPr>
          <w:trHeight w:val="334"/>
        </w:trPr>
        <w:tc>
          <w:tcPr>
            <w:tcW w:w="1291" w:type="dxa"/>
            <w:tcBorders>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D.1.I.</w:t>
            </w:r>
            <w:r w:rsidR="00094A7F">
              <w:rPr>
                <w:rFonts w:eastAsia="Times New Roman" w:cs="Arial"/>
                <w:b/>
                <w:bCs/>
                <w:lang w:eastAsia="cs-CZ"/>
              </w:rPr>
              <w:t>3.</w:t>
            </w:r>
            <w:r w:rsidR="00094A7F">
              <w:rPr>
                <w:rFonts w:eastAsia="Times New Roman" w:cs="Arial"/>
                <w:b/>
                <w:bCs/>
                <w:lang w:eastAsia="cs-CZ"/>
              </w:rPr>
              <w:br/>
              <w:t>D.1.II.3.</w:t>
            </w:r>
          </w:p>
        </w:tc>
        <w:tc>
          <w:tcPr>
            <w:tcW w:w="12958" w:type="dxa"/>
            <w:tcBorders>
              <w:left w:val="nil"/>
              <w:right w:val="single" w:sz="4" w:space="0" w:color="000000"/>
            </w:tcBorders>
            <w:shd w:val="clear" w:color="auto" w:fill="auto"/>
            <w:vAlign w:val="center"/>
          </w:tcPr>
          <w:p w:rsidR="0043430B" w:rsidRPr="0052084B" w:rsidDel="00492F92" w:rsidRDefault="0043430B" w:rsidP="001203D0">
            <w:pPr>
              <w:spacing w:after="0" w:line="240" w:lineRule="auto"/>
              <w:jc w:val="both"/>
              <w:rPr>
                <w:rFonts w:eastAsia="Times New Roman" w:cs="Arial"/>
                <w:lang w:eastAsia="cs-CZ"/>
              </w:rPr>
            </w:pPr>
            <w:r w:rsidRPr="0052084B">
              <w:rPr>
                <w:rFonts w:eastAsia="Times New Roman" w:cs="Arial"/>
                <w:b/>
                <w:lang w:eastAsia="cs-CZ"/>
              </w:rPr>
              <w:t>Čisté pořízení akcií a jiných majetkových podílů</w:t>
            </w:r>
          </w:p>
        </w:tc>
      </w:tr>
      <w:tr w:rsidR="0043430B" w:rsidRPr="001B70EE" w:rsidTr="00A71CE6">
        <w:trPr>
          <w:trHeight w:val="268"/>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52084B" w:rsidDel="00492F92" w:rsidRDefault="0043430B" w:rsidP="00B91DFE">
            <w:pPr>
              <w:spacing w:after="0" w:line="240" w:lineRule="auto"/>
              <w:jc w:val="both"/>
              <w:rPr>
                <w:rFonts w:eastAsia="Times New Roman" w:cs="Arial"/>
                <w:lang w:eastAsia="cs-CZ"/>
              </w:rPr>
            </w:pPr>
            <w:r w:rsidRPr="0052084B">
              <w:rPr>
                <w:rFonts w:eastAsia="Times New Roman" w:cs="Arial"/>
                <w:lang w:eastAsia="cs-CZ"/>
              </w:rPr>
              <w:t>Položk</w:t>
            </w:r>
            <w:r w:rsidR="00B91DFE">
              <w:rPr>
                <w:rFonts w:eastAsia="Times New Roman" w:cs="Arial"/>
                <w:lang w:eastAsia="cs-CZ"/>
              </w:rPr>
              <w:t>y zahrnují</w:t>
            </w:r>
            <w:r w:rsidRPr="0052084B">
              <w:rPr>
                <w:rFonts w:eastAsia="Times New Roman" w:cs="Arial"/>
                <w:lang w:eastAsia="cs-CZ"/>
              </w:rPr>
              <w:t xml:space="preserve"> nákup akcií a jiných majetkových podílů (+)</w:t>
            </w:r>
            <w:r w:rsidR="00A43EF7">
              <w:rPr>
                <w:rFonts w:eastAsia="Times New Roman" w:cs="Arial"/>
                <w:lang w:eastAsia="cs-CZ"/>
              </w:rPr>
              <w:t xml:space="preserve"> </w:t>
            </w:r>
            <w:r w:rsidR="004D0779">
              <w:rPr>
                <w:rFonts w:eastAsia="Times New Roman" w:cs="Arial"/>
                <w:lang w:eastAsia="cs-CZ"/>
              </w:rPr>
              <w:t>a jejich prodej (-).</w:t>
            </w:r>
            <w:r w:rsidR="006E653B">
              <w:rPr>
                <w:rFonts w:eastAsia="Times New Roman" w:cs="Arial"/>
                <w:lang w:eastAsia="cs-CZ"/>
              </w:rPr>
              <w:t xml:space="preserve"> </w:t>
            </w:r>
            <w:r w:rsidR="002777BA">
              <w:rPr>
                <w:rFonts w:eastAsia="Times New Roman" w:cs="Arial"/>
                <w:lang w:eastAsia="cs-CZ"/>
              </w:rPr>
              <w:t>Nakoupené cen</w:t>
            </w:r>
            <w:r w:rsidR="00B91DFE">
              <w:rPr>
                <w:rFonts w:eastAsia="Times New Roman" w:cs="Arial"/>
                <w:lang w:eastAsia="cs-CZ"/>
              </w:rPr>
              <w:t>né papíry jsou na těchto položkách</w:t>
            </w:r>
            <w:r w:rsidR="002777BA">
              <w:rPr>
                <w:rFonts w:eastAsia="Times New Roman" w:cs="Arial"/>
                <w:lang w:eastAsia="cs-CZ"/>
              </w:rPr>
              <w:t xml:space="preserve"> zachyceny v ceně pořízení, která byla skutečně zaplacena </w:t>
            </w:r>
            <w:r w:rsidR="002777BA">
              <w:rPr>
                <w:rFonts w:eastAsia="Times New Roman" w:cs="Arial"/>
                <w:color w:val="000000"/>
                <w:lang w:eastAsia="cs-CZ"/>
              </w:rPr>
              <w:t>(související výdaje na zprostředkování obchodu jako</w:t>
            </w:r>
            <w:r w:rsidR="009611F1">
              <w:rPr>
                <w:rFonts w:eastAsia="Times New Roman" w:cs="Arial"/>
                <w:color w:val="000000"/>
                <w:lang w:eastAsia="cs-CZ"/>
              </w:rPr>
              <w:t xml:space="preserve"> je například poplatek obchodníkovi s cennými papíry</w:t>
            </w:r>
            <w:r w:rsidR="002777BA">
              <w:rPr>
                <w:rFonts w:eastAsia="Times New Roman" w:cs="Arial"/>
                <w:color w:val="000000"/>
                <w:lang w:eastAsia="cs-CZ"/>
              </w:rPr>
              <w:t xml:space="preserve"> patří na položku A.2.VI</w:t>
            </w:r>
            <w:r w:rsidR="00901435">
              <w:rPr>
                <w:rFonts w:eastAsia="Times New Roman" w:cs="Arial"/>
                <w:color w:val="000000"/>
                <w:lang w:eastAsia="cs-CZ"/>
              </w:rPr>
              <w:t>II</w:t>
            </w:r>
            <w:r w:rsidR="002777BA">
              <w:rPr>
                <w:rFonts w:eastAsia="Times New Roman" w:cs="Arial"/>
                <w:color w:val="000000"/>
                <w:lang w:eastAsia="cs-CZ"/>
              </w:rPr>
              <w:t>.). Ve stejné hodnotě, ale s opačným znaménkem bude zaznamenán prodej těchto cenných papírů. Zisk realizovaný z prodeje klasifikujeme jako ostatní příjem A.1.</w:t>
            </w:r>
            <w:r w:rsidR="00901435">
              <w:rPr>
                <w:rFonts w:eastAsia="Times New Roman" w:cs="Arial"/>
                <w:color w:val="000000"/>
                <w:lang w:eastAsia="cs-CZ"/>
              </w:rPr>
              <w:t>VI</w:t>
            </w:r>
            <w:r w:rsidR="002777BA">
              <w:rPr>
                <w:rFonts w:eastAsia="Times New Roman" w:cs="Arial"/>
                <w:color w:val="000000"/>
                <w:lang w:eastAsia="cs-CZ"/>
              </w:rPr>
              <w:t>.</w:t>
            </w:r>
            <w:r w:rsidR="00901435">
              <w:rPr>
                <w:rFonts w:eastAsia="Times New Roman" w:cs="Arial"/>
                <w:color w:val="000000"/>
                <w:lang w:eastAsia="cs-CZ"/>
              </w:rPr>
              <w:t>9</w:t>
            </w:r>
            <w:r w:rsidR="002777BA">
              <w:rPr>
                <w:rFonts w:eastAsia="Times New Roman" w:cs="Arial"/>
                <w:color w:val="000000"/>
                <w:lang w:eastAsia="cs-CZ"/>
              </w:rPr>
              <w:t>., ztrátu naopak jako ostatní výdaj A.2.XI</w:t>
            </w:r>
            <w:r w:rsidR="00901435">
              <w:rPr>
                <w:rFonts w:eastAsia="Times New Roman" w:cs="Arial"/>
                <w:color w:val="000000"/>
                <w:lang w:eastAsia="cs-CZ"/>
              </w:rPr>
              <w:t>V</w:t>
            </w:r>
            <w:r w:rsidR="002777BA">
              <w:rPr>
                <w:rFonts w:eastAsia="Times New Roman" w:cs="Arial"/>
                <w:color w:val="000000"/>
                <w:lang w:eastAsia="cs-CZ"/>
              </w:rPr>
              <w:t>.</w:t>
            </w:r>
            <w:r w:rsidR="00901435">
              <w:rPr>
                <w:rFonts w:eastAsia="Times New Roman" w:cs="Arial"/>
                <w:color w:val="000000"/>
                <w:lang w:eastAsia="cs-CZ"/>
              </w:rPr>
              <w:t>5</w:t>
            </w:r>
            <w:r w:rsidR="002777BA">
              <w:rPr>
                <w:rFonts w:eastAsia="Times New Roman" w:cs="Arial"/>
                <w:color w:val="000000"/>
                <w:lang w:eastAsia="cs-CZ"/>
              </w:rPr>
              <w:t>. Přijaté dividendy či jiné podíly na zisku jsou náplní položky A.1.</w:t>
            </w:r>
            <w:r w:rsidR="00901435">
              <w:rPr>
                <w:rFonts w:eastAsia="Times New Roman" w:cs="Arial"/>
                <w:color w:val="000000"/>
                <w:lang w:eastAsia="cs-CZ"/>
              </w:rPr>
              <w:t>VI.1</w:t>
            </w:r>
            <w:r w:rsidR="002777BA">
              <w:rPr>
                <w:rFonts w:eastAsia="Times New Roman" w:cs="Arial"/>
                <w:color w:val="000000"/>
                <w:lang w:eastAsia="cs-CZ"/>
              </w:rPr>
              <w:t>.</w:t>
            </w:r>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D.2.</w:t>
            </w:r>
          </w:p>
        </w:tc>
        <w:tc>
          <w:tcPr>
            <w:tcW w:w="12958" w:type="dxa"/>
            <w:tcBorders>
              <w:top w:val="single" w:sz="4" w:space="0" w:color="auto"/>
              <w:left w:val="single" w:sz="4" w:space="0" w:color="auto"/>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 xml:space="preserve">Čistá změna závazků </w:t>
            </w:r>
          </w:p>
        </w:tc>
      </w:tr>
      <w:tr w:rsidR="0043430B" w:rsidRPr="001B70EE" w:rsidTr="00A71CE6">
        <w:trPr>
          <w:trHeight w:val="628"/>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C61D05" w:rsidRDefault="00C61D05" w:rsidP="00686997">
            <w:pPr>
              <w:spacing w:after="0" w:line="240" w:lineRule="auto"/>
              <w:jc w:val="both"/>
              <w:rPr>
                <w:rFonts w:eastAsia="Times New Roman" w:cs="Arial"/>
                <w:lang w:eastAsia="cs-CZ"/>
              </w:rPr>
            </w:pPr>
            <w:r>
              <w:rPr>
                <w:rFonts w:eastAsia="Times New Roman" w:cs="Arial"/>
                <w:lang w:eastAsia="cs-CZ"/>
              </w:rPr>
              <w:t>Transakce s</w:t>
            </w:r>
            <w:r w:rsidR="00BD3E1A">
              <w:rPr>
                <w:rFonts w:eastAsia="Times New Roman" w:cs="Arial"/>
                <w:lang w:eastAsia="cs-CZ"/>
              </w:rPr>
              <w:t>e</w:t>
            </w:r>
            <w:r>
              <w:rPr>
                <w:rFonts w:eastAsia="Times New Roman" w:cs="Arial"/>
                <w:lang w:eastAsia="cs-CZ"/>
              </w:rPr>
              <w:t> závazky (D.2.) vysvětlují, jak je financováno saldo z nefinančních peněžních toků (C.), tzn. změnou jakých závazků.</w:t>
            </w:r>
          </w:p>
          <w:p w:rsidR="0034246C" w:rsidRDefault="0043430B" w:rsidP="00686997">
            <w:pPr>
              <w:spacing w:after="0" w:line="240" w:lineRule="auto"/>
              <w:jc w:val="both"/>
              <w:rPr>
                <w:rFonts w:eastAsia="Times New Roman" w:cs="Arial"/>
                <w:lang w:eastAsia="cs-CZ"/>
              </w:rPr>
            </w:pPr>
            <w:r w:rsidRPr="0052084B">
              <w:rPr>
                <w:rFonts w:eastAsia="Times New Roman" w:cs="Arial"/>
                <w:lang w:eastAsia="cs-CZ"/>
              </w:rPr>
              <w:t>Tato kategorie zahrnuje operace související s peněžními transakcemi, jejichž pr</w:t>
            </w:r>
            <w:r>
              <w:rPr>
                <w:rFonts w:eastAsia="Times New Roman" w:cs="Arial"/>
                <w:lang w:eastAsia="cs-CZ"/>
              </w:rPr>
              <w:t>ostřednictvím si vládní instituce</w:t>
            </w:r>
            <w:r w:rsidRPr="0052084B">
              <w:rPr>
                <w:rFonts w:eastAsia="Times New Roman" w:cs="Arial"/>
                <w:lang w:eastAsia="cs-CZ"/>
              </w:rPr>
              <w:t xml:space="preserve"> zajišťuje finanční zdroje formou půjčky či úvěru nebo emitováním </w:t>
            </w:r>
            <w:r w:rsidR="00CC3CDF">
              <w:rPr>
                <w:rFonts w:eastAsia="Times New Roman" w:cs="Arial"/>
                <w:lang w:eastAsia="cs-CZ"/>
              </w:rPr>
              <w:t>dluhových</w:t>
            </w:r>
            <w:r w:rsidR="00CC3CDF" w:rsidRPr="0052084B">
              <w:rPr>
                <w:rFonts w:eastAsia="Times New Roman" w:cs="Arial"/>
                <w:lang w:eastAsia="cs-CZ"/>
              </w:rPr>
              <w:t xml:space="preserve"> </w:t>
            </w:r>
            <w:r w:rsidR="00626185">
              <w:rPr>
                <w:rFonts w:eastAsia="Times New Roman" w:cs="Arial"/>
                <w:lang w:eastAsia="cs-CZ"/>
              </w:rPr>
              <w:t>cenných papírů</w:t>
            </w:r>
            <w:r w:rsidRPr="0052084B">
              <w:rPr>
                <w:rFonts w:eastAsia="Times New Roman" w:cs="Arial"/>
                <w:lang w:eastAsia="cs-CZ"/>
              </w:rPr>
              <w:t>.</w:t>
            </w:r>
            <w:r w:rsidR="00626185">
              <w:rPr>
                <w:rFonts w:eastAsia="Times New Roman" w:cs="Arial"/>
                <w:lang w:eastAsia="cs-CZ"/>
              </w:rPr>
              <w:t xml:space="preserve"> Vládní instituce, která vlastní bankovní licenci a je oprávněna přijímat vklady klientů, vykazuje </w:t>
            </w:r>
            <w:r w:rsidR="006C08C0">
              <w:rPr>
                <w:rFonts w:eastAsia="Times New Roman" w:cs="Arial"/>
                <w:lang w:eastAsia="cs-CZ"/>
              </w:rPr>
              <w:t xml:space="preserve">také </w:t>
            </w:r>
            <w:r w:rsidR="00626185">
              <w:rPr>
                <w:rFonts w:eastAsia="Times New Roman" w:cs="Arial"/>
                <w:lang w:eastAsia="cs-CZ"/>
              </w:rPr>
              <w:t>závazky z tohoto titulu.</w:t>
            </w:r>
          </w:p>
          <w:p w:rsidR="0034246C" w:rsidRDefault="0034246C" w:rsidP="0034246C">
            <w:pPr>
              <w:spacing w:after="0" w:line="240" w:lineRule="auto"/>
              <w:jc w:val="both"/>
              <w:rPr>
                <w:rFonts w:eastAsia="Times New Roman" w:cs="Arial"/>
                <w:lang w:eastAsia="cs-CZ"/>
              </w:rPr>
            </w:pPr>
            <w:r>
              <w:rPr>
                <w:rFonts w:eastAsia="Times New Roman" w:cs="Arial"/>
                <w:lang w:eastAsia="cs-CZ"/>
              </w:rPr>
              <w:t>Pro rozdělení závazků na domácí (D.2.I.) a zahranič</w:t>
            </w:r>
            <w:r w:rsidR="00E20457">
              <w:rPr>
                <w:rFonts w:eastAsia="Times New Roman" w:cs="Arial"/>
                <w:lang w:eastAsia="cs-CZ"/>
              </w:rPr>
              <w:t>ní (D.2.II.) je určující osoba, která</w:t>
            </w:r>
            <w:r>
              <w:rPr>
                <w:rFonts w:eastAsia="Times New Roman" w:cs="Arial"/>
                <w:lang w:eastAsia="cs-CZ"/>
              </w:rPr>
              <w:t xml:space="preserve"> je protistranou v transakci. V prvním případě jde o</w:t>
            </w:r>
            <w:r w:rsidR="00CC3CDF">
              <w:rPr>
                <w:rFonts w:eastAsia="Times New Roman" w:cs="Arial"/>
                <w:lang w:eastAsia="cs-CZ"/>
              </w:rPr>
              <w:t> </w:t>
            </w:r>
            <w:r>
              <w:rPr>
                <w:rFonts w:eastAsia="Times New Roman" w:cs="Arial"/>
                <w:lang w:eastAsia="cs-CZ"/>
              </w:rPr>
              <w:t>rezidenta v ČR, v d</w:t>
            </w:r>
            <w:r w:rsidR="00E20457">
              <w:rPr>
                <w:rFonts w:eastAsia="Times New Roman" w:cs="Arial"/>
                <w:lang w:eastAsia="cs-CZ"/>
              </w:rPr>
              <w:t>ruhém případě je touto osobou</w:t>
            </w:r>
            <w:r>
              <w:rPr>
                <w:rFonts w:eastAsia="Times New Roman" w:cs="Arial"/>
                <w:lang w:eastAsia="cs-CZ"/>
              </w:rPr>
              <w:t xml:space="preserve"> nerezident. </w:t>
            </w:r>
          </w:p>
          <w:p w:rsidR="0034246C" w:rsidRPr="00AE64A5" w:rsidRDefault="007C46E5" w:rsidP="0034246C">
            <w:pPr>
              <w:pStyle w:val="Odstavecseseznamem"/>
              <w:numPr>
                <w:ilvl w:val="0"/>
                <w:numId w:val="5"/>
              </w:numPr>
              <w:spacing w:after="0" w:line="240" w:lineRule="auto"/>
              <w:jc w:val="both"/>
              <w:rPr>
                <w:rFonts w:eastAsia="Times New Roman" w:cs="Arial"/>
                <w:b/>
                <w:lang w:eastAsia="cs-CZ"/>
              </w:rPr>
            </w:pPr>
            <w:r>
              <w:rPr>
                <w:rFonts w:eastAsia="Times New Roman" w:cs="Arial"/>
                <w:b/>
                <w:lang w:eastAsia="cs-CZ"/>
              </w:rPr>
              <w:t>D.2</w:t>
            </w:r>
            <w:r w:rsidR="0034246C" w:rsidRPr="00AE64A5">
              <w:rPr>
                <w:rFonts w:eastAsia="Times New Roman" w:cs="Arial"/>
                <w:b/>
                <w:lang w:eastAsia="cs-CZ"/>
              </w:rPr>
              <w:t>.I. Čis</w:t>
            </w:r>
            <w:r w:rsidR="0034246C">
              <w:rPr>
                <w:rFonts w:eastAsia="Times New Roman" w:cs="Arial"/>
                <w:b/>
                <w:lang w:eastAsia="cs-CZ"/>
              </w:rPr>
              <w:t>tá změna domácích závazků</w:t>
            </w:r>
            <w:r w:rsidR="0034246C">
              <w:rPr>
                <w:rFonts w:eastAsia="Times New Roman" w:cs="Arial"/>
                <w:lang w:eastAsia="cs-CZ"/>
              </w:rPr>
              <w:t xml:space="preserve"> (protistranou v transakci je rezident v ČR)</w:t>
            </w:r>
          </w:p>
          <w:p w:rsidR="0043430B" w:rsidRPr="0052084B" w:rsidRDefault="007C46E5" w:rsidP="00CC3CDF">
            <w:pPr>
              <w:pStyle w:val="Odstavecseseznamem"/>
              <w:numPr>
                <w:ilvl w:val="0"/>
                <w:numId w:val="5"/>
              </w:numPr>
              <w:spacing w:after="0" w:line="240" w:lineRule="auto"/>
              <w:jc w:val="both"/>
              <w:rPr>
                <w:rFonts w:eastAsia="Times New Roman" w:cs="Arial"/>
                <w:lang w:eastAsia="cs-CZ"/>
              </w:rPr>
            </w:pPr>
            <w:r>
              <w:rPr>
                <w:rFonts w:eastAsia="Times New Roman" w:cs="Arial"/>
                <w:b/>
                <w:lang w:eastAsia="cs-CZ"/>
              </w:rPr>
              <w:t>D.2</w:t>
            </w:r>
            <w:r w:rsidR="0034246C" w:rsidRPr="00AE64A5">
              <w:rPr>
                <w:rFonts w:eastAsia="Times New Roman" w:cs="Arial"/>
                <w:b/>
                <w:lang w:eastAsia="cs-CZ"/>
              </w:rPr>
              <w:t>.II. Čistá z</w:t>
            </w:r>
            <w:r w:rsidR="0034246C">
              <w:rPr>
                <w:rFonts w:eastAsia="Times New Roman" w:cs="Arial"/>
                <w:b/>
                <w:lang w:eastAsia="cs-CZ"/>
              </w:rPr>
              <w:t xml:space="preserve">měna zahraničních </w:t>
            </w:r>
            <w:r>
              <w:rPr>
                <w:rFonts w:eastAsia="Times New Roman" w:cs="Arial"/>
                <w:b/>
                <w:lang w:eastAsia="cs-CZ"/>
              </w:rPr>
              <w:t>závazků</w:t>
            </w:r>
            <w:r w:rsidR="0034246C">
              <w:rPr>
                <w:rFonts w:eastAsia="Times New Roman" w:cs="Arial"/>
                <w:lang w:eastAsia="cs-CZ"/>
              </w:rPr>
              <w:t xml:space="preserve"> (protistranou v transakci je nerezident ve vztahu k ČR)</w:t>
            </w:r>
            <w:r w:rsidR="00626185">
              <w:rPr>
                <w:rFonts w:eastAsia="Times New Roman" w:cs="Arial"/>
                <w:lang w:eastAsia="cs-CZ"/>
              </w:rPr>
              <w:t xml:space="preserve"> </w:t>
            </w:r>
          </w:p>
        </w:tc>
      </w:tr>
    </w:tbl>
    <w:p w:rsidR="00314C7F" w:rsidRDefault="00314C7F">
      <w:r>
        <w:br w:type="page"/>
      </w:r>
    </w:p>
    <w:tbl>
      <w:tblPr>
        <w:tblW w:w="14249" w:type="dxa"/>
        <w:tblInd w:w="55" w:type="dxa"/>
        <w:tblCellMar>
          <w:left w:w="70" w:type="dxa"/>
          <w:right w:w="70" w:type="dxa"/>
        </w:tblCellMar>
        <w:tblLook w:val="04A0"/>
      </w:tblPr>
      <w:tblGrid>
        <w:gridCol w:w="1291"/>
        <w:gridCol w:w="12958"/>
      </w:tblGrid>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lastRenderedPageBreak/>
              <w:t>D.2.I.</w:t>
            </w:r>
            <w:r w:rsidR="007C46E5">
              <w:rPr>
                <w:rFonts w:eastAsia="Times New Roman" w:cs="Arial"/>
                <w:b/>
                <w:bCs/>
                <w:lang w:eastAsia="cs-CZ"/>
              </w:rPr>
              <w:t>1.</w:t>
            </w:r>
            <w:r w:rsidR="00EA73DE">
              <w:rPr>
                <w:rFonts w:eastAsia="Times New Roman" w:cs="Arial"/>
                <w:b/>
                <w:bCs/>
                <w:lang w:eastAsia="cs-CZ"/>
              </w:rPr>
              <w:br/>
              <w:t>D.2.II.1.</w:t>
            </w:r>
          </w:p>
        </w:tc>
        <w:tc>
          <w:tcPr>
            <w:tcW w:w="12958" w:type="dxa"/>
            <w:tcBorders>
              <w:top w:val="single" w:sz="4" w:space="0" w:color="auto"/>
              <w:left w:val="nil"/>
              <w:right w:val="single" w:sz="4" w:space="0" w:color="000000"/>
            </w:tcBorders>
            <w:shd w:val="clear" w:color="auto" w:fill="auto"/>
            <w:vAlign w:val="center"/>
          </w:tcPr>
          <w:p w:rsidR="0043430B" w:rsidRPr="0052084B" w:rsidRDefault="00EA73DE" w:rsidP="001203D0">
            <w:pPr>
              <w:spacing w:after="0" w:line="240" w:lineRule="auto"/>
              <w:jc w:val="both"/>
              <w:rPr>
                <w:rFonts w:eastAsia="Times New Roman" w:cs="Arial"/>
                <w:b/>
                <w:lang w:eastAsia="cs-CZ"/>
              </w:rPr>
            </w:pPr>
            <w:r w:rsidRPr="0052084B">
              <w:rPr>
                <w:rFonts w:eastAsia="Times New Roman" w:cs="Arial"/>
                <w:b/>
                <w:lang w:eastAsia="cs-CZ"/>
              </w:rPr>
              <w:t xml:space="preserve">Čistá emise </w:t>
            </w:r>
            <w:r>
              <w:rPr>
                <w:rFonts w:eastAsia="Times New Roman" w:cs="Arial"/>
                <w:b/>
                <w:lang w:eastAsia="cs-CZ"/>
              </w:rPr>
              <w:t>dluhových cenných papírů</w:t>
            </w:r>
            <w:r w:rsidRPr="0052084B" w:rsidDel="00EA73DE">
              <w:rPr>
                <w:rFonts w:eastAsia="Times New Roman" w:cs="Arial"/>
                <w:b/>
                <w:lang w:eastAsia="cs-CZ"/>
              </w:rPr>
              <w:t xml:space="preserve"> </w:t>
            </w:r>
          </w:p>
        </w:tc>
      </w:tr>
      <w:tr w:rsidR="0043430B" w:rsidRPr="001B70EE" w:rsidTr="00A71CE6">
        <w:trPr>
          <w:trHeight w:val="42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60116A" w:rsidRPr="0052084B" w:rsidRDefault="00B91DFE" w:rsidP="003A3D14">
            <w:pPr>
              <w:spacing w:after="0" w:line="240" w:lineRule="auto"/>
              <w:jc w:val="both"/>
              <w:rPr>
                <w:rFonts w:eastAsia="Times New Roman" w:cs="Arial"/>
                <w:lang w:eastAsia="cs-CZ"/>
              </w:rPr>
            </w:pPr>
            <w:r>
              <w:rPr>
                <w:rFonts w:eastAsia="Times New Roman" w:cs="Arial"/>
                <w:lang w:eastAsia="cs-CZ"/>
              </w:rPr>
              <w:t>Položky zahrnují</w:t>
            </w:r>
            <w:r w:rsidR="00EA73DE" w:rsidRPr="0052084B">
              <w:rPr>
                <w:rFonts w:eastAsia="Times New Roman" w:cs="Arial"/>
                <w:lang w:eastAsia="cs-CZ"/>
              </w:rPr>
              <w:t xml:space="preserve">  změnu stavu vydaných </w:t>
            </w:r>
            <w:r w:rsidR="00EA73DE">
              <w:rPr>
                <w:rFonts w:eastAsia="Times New Roman" w:cs="Arial"/>
                <w:lang w:eastAsia="cs-CZ"/>
              </w:rPr>
              <w:t>dluhových cenných papírů</w:t>
            </w:r>
            <w:r w:rsidR="00EA73DE" w:rsidRPr="0052084B">
              <w:rPr>
                <w:rFonts w:eastAsia="Times New Roman" w:cs="Arial"/>
                <w:lang w:eastAsia="cs-CZ"/>
              </w:rPr>
              <w:t xml:space="preserve">, tj. nově vydané </w:t>
            </w:r>
            <w:r w:rsidR="00EA73DE">
              <w:rPr>
                <w:rFonts w:eastAsia="Times New Roman" w:cs="Arial"/>
                <w:lang w:eastAsia="cs-CZ"/>
              </w:rPr>
              <w:t>cenné papíry</w:t>
            </w:r>
            <w:r w:rsidR="00EA73DE" w:rsidRPr="0052084B">
              <w:rPr>
                <w:rFonts w:eastAsia="Times New Roman" w:cs="Arial"/>
                <w:lang w:eastAsia="cs-CZ"/>
              </w:rPr>
              <w:t xml:space="preserve"> (+), </w:t>
            </w:r>
            <w:r w:rsidR="00EA73DE">
              <w:rPr>
                <w:rFonts w:eastAsia="Times New Roman" w:cs="Arial"/>
                <w:lang w:eastAsia="cs-CZ"/>
              </w:rPr>
              <w:t xml:space="preserve">jejich </w:t>
            </w:r>
            <w:r w:rsidR="00EA73DE" w:rsidRPr="0052084B">
              <w:rPr>
                <w:rFonts w:eastAsia="Times New Roman" w:cs="Arial"/>
                <w:lang w:eastAsia="cs-CZ"/>
              </w:rPr>
              <w:t>splátky (-).</w:t>
            </w:r>
            <w:r w:rsidR="00EA73DE">
              <w:rPr>
                <w:rFonts w:eastAsia="Times New Roman" w:cs="Arial"/>
                <w:lang w:eastAsia="cs-CZ"/>
              </w:rPr>
              <w:t xml:space="preserve"> Emi</w:t>
            </w:r>
            <w:r>
              <w:rPr>
                <w:rFonts w:eastAsia="Times New Roman" w:cs="Arial"/>
                <w:lang w:eastAsia="cs-CZ"/>
              </w:rPr>
              <w:t>tované cenné papíry jsou na těchto položkách</w:t>
            </w:r>
            <w:r w:rsidR="00EA73DE">
              <w:rPr>
                <w:rFonts w:eastAsia="Times New Roman" w:cs="Arial"/>
                <w:lang w:eastAsia="cs-CZ"/>
              </w:rPr>
              <w:t xml:space="preserve"> zachyceny v prodejní ceně, která odpovídá emisnímu kurzu (</w:t>
            </w:r>
            <w:r w:rsidR="00EA73DE">
              <w:rPr>
                <w:rFonts w:eastAsia="Times New Roman" w:cs="Arial"/>
                <w:color w:val="000000"/>
                <w:lang w:eastAsia="cs-CZ"/>
              </w:rPr>
              <w:t>související výdaje na zprostředkování emise patří na položku A.2.VI</w:t>
            </w:r>
            <w:r w:rsidR="006C08C0">
              <w:rPr>
                <w:rFonts w:eastAsia="Times New Roman" w:cs="Arial"/>
                <w:color w:val="000000"/>
                <w:lang w:eastAsia="cs-CZ"/>
              </w:rPr>
              <w:t>II</w:t>
            </w:r>
            <w:r w:rsidR="00EA73DE">
              <w:rPr>
                <w:rFonts w:eastAsia="Times New Roman" w:cs="Arial"/>
                <w:color w:val="000000"/>
                <w:lang w:eastAsia="cs-CZ"/>
              </w:rPr>
              <w:t xml:space="preserve">.). Ve stejné hodnotě, ale s opačným znaménkem bude zaznamenán odkup těchto cenných papírů v době splatnosti. </w:t>
            </w:r>
            <w:r w:rsidR="00EA73DE">
              <w:rPr>
                <w:rFonts w:eastAsia="Times New Roman" w:cs="Arial"/>
                <w:lang w:eastAsia="cs-CZ"/>
              </w:rPr>
              <w:t xml:space="preserve">V případě emise dluhopisu s diskontem </w:t>
            </w:r>
            <w:r w:rsidR="00EA73DE">
              <w:rPr>
                <w:rFonts w:eastAsia="Times New Roman" w:cs="Arial"/>
                <w:color w:val="000000"/>
                <w:lang w:eastAsia="cs-CZ"/>
              </w:rPr>
              <w:t xml:space="preserve">(emisní kurz je nižší než nominální hodnota) je tento diskont zaznamenán jako výdajový úrok </w:t>
            </w:r>
            <w:r w:rsidR="006C08C0">
              <w:rPr>
                <w:rFonts w:eastAsia="Times New Roman" w:cs="Arial"/>
                <w:color w:val="000000"/>
                <w:lang w:eastAsia="cs-CZ"/>
              </w:rPr>
              <w:t xml:space="preserve">(A.2.IX.) </w:t>
            </w:r>
            <w:r w:rsidR="00EA73DE">
              <w:rPr>
                <w:rFonts w:eastAsia="Times New Roman" w:cs="Arial"/>
                <w:color w:val="000000"/>
                <w:lang w:eastAsia="cs-CZ"/>
              </w:rPr>
              <w:t xml:space="preserve">při splatnosti dluhopisu. Naopak, pokud je emisní kurz vyšší než nominální hodnota dluhopisu, </w:t>
            </w:r>
            <w:r w:rsidR="003A3D14">
              <w:rPr>
                <w:rFonts w:eastAsia="Times New Roman" w:cs="Arial"/>
                <w:color w:val="000000"/>
                <w:lang w:eastAsia="cs-CZ"/>
              </w:rPr>
              <w:t>získá emitent</w:t>
            </w:r>
            <w:r w:rsidR="00EA73DE">
              <w:rPr>
                <w:rFonts w:eastAsia="Times New Roman" w:cs="Arial"/>
                <w:color w:val="000000"/>
                <w:lang w:eastAsia="cs-CZ"/>
              </w:rPr>
              <w:t xml:space="preserve"> prémii ve výši rozdílu těchto dvou hodnot. T</w:t>
            </w:r>
            <w:r w:rsidR="003A3D14">
              <w:rPr>
                <w:rFonts w:eastAsia="Times New Roman" w:cs="Arial"/>
                <w:color w:val="000000"/>
                <w:lang w:eastAsia="cs-CZ"/>
              </w:rPr>
              <w:t>u zachytí</w:t>
            </w:r>
            <w:r w:rsidR="00815485">
              <w:rPr>
                <w:rFonts w:eastAsia="Times New Roman" w:cs="Arial"/>
                <w:color w:val="000000"/>
                <w:lang w:eastAsia="cs-CZ"/>
              </w:rPr>
              <w:t xml:space="preserve"> již v okamžiku prodeje</w:t>
            </w:r>
            <w:r w:rsidR="00EA73DE">
              <w:rPr>
                <w:rFonts w:eastAsia="Times New Roman" w:cs="Arial"/>
                <w:color w:val="000000"/>
                <w:lang w:eastAsia="cs-CZ"/>
              </w:rPr>
              <w:t xml:space="preserve"> takového cenného papíru jako záporný výdajový úrok (-A.2.</w:t>
            </w:r>
            <w:r w:rsidR="006C08C0">
              <w:rPr>
                <w:rFonts w:eastAsia="Times New Roman" w:cs="Arial"/>
                <w:color w:val="000000"/>
                <w:lang w:eastAsia="cs-CZ"/>
              </w:rPr>
              <w:t>IX.</w:t>
            </w:r>
            <w:r w:rsidR="00EA73DE">
              <w:rPr>
                <w:rFonts w:eastAsia="Times New Roman" w:cs="Arial"/>
                <w:color w:val="000000"/>
                <w:lang w:eastAsia="cs-CZ"/>
              </w:rPr>
              <w:t>). Jako úrokový výdaj (A.2.</w:t>
            </w:r>
            <w:r w:rsidR="006C08C0">
              <w:rPr>
                <w:rFonts w:eastAsia="Times New Roman" w:cs="Arial"/>
                <w:color w:val="000000"/>
                <w:lang w:eastAsia="cs-CZ"/>
              </w:rPr>
              <w:t>IX.</w:t>
            </w:r>
            <w:r w:rsidR="00EA73DE">
              <w:rPr>
                <w:rFonts w:eastAsia="Times New Roman" w:cs="Arial"/>
                <w:color w:val="000000"/>
                <w:lang w:eastAsia="cs-CZ"/>
              </w:rPr>
              <w:t>) je klasifikován náklad z dluhopisů ve formě vyplácených kuponových plateb.</w:t>
            </w:r>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D.2.I.</w:t>
            </w:r>
            <w:r w:rsidR="00EA73DE">
              <w:rPr>
                <w:rFonts w:eastAsia="Times New Roman" w:cs="Arial"/>
                <w:b/>
                <w:bCs/>
                <w:lang w:eastAsia="cs-CZ"/>
              </w:rPr>
              <w:t>2.</w:t>
            </w:r>
            <w:r w:rsidR="00EA73DE">
              <w:rPr>
                <w:rFonts w:eastAsia="Times New Roman" w:cs="Arial"/>
                <w:b/>
                <w:bCs/>
                <w:lang w:eastAsia="cs-CZ"/>
              </w:rPr>
              <w:br/>
              <w:t>D.2.II.2.</w:t>
            </w:r>
          </w:p>
        </w:tc>
        <w:tc>
          <w:tcPr>
            <w:tcW w:w="12958" w:type="dxa"/>
            <w:tcBorders>
              <w:top w:val="single" w:sz="4" w:space="0" w:color="auto"/>
              <w:left w:val="single" w:sz="4" w:space="0" w:color="auto"/>
              <w:right w:val="single" w:sz="4" w:space="0" w:color="000000"/>
            </w:tcBorders>
            <w:shd w:val="clear" w:color="auto" w:fill="auto"/>
            <w:vAlign w:val="center"/>
          </w:tcPr>
          <w:p w:rsidR="0043430B" w:rsidRPr="005B17AB" w:rsidRDefault="00EA73DE" w:rsidP="001203D0">
            <w:pPr>
              <w:spacing w:after="0" w:line="240" w:lineRule="auto"/>
              <w:jc w:val="both"/>
              <w:rPr>
                <w:rFonts w:eastAsia="Times New Roman" w:cs="Arial"/>
                <w:lang w:eastAsia="cs-CZ"/>
              </w:rPr>
            </w:pPr>
            <w:r w:rsidRPr="0052084B">
              <w:rPr>
                <w:rFonts w:eastAsia="Times New Roman" w:cs="Arial"/>
                <w:b/>
                <w:lang w:eastAsia="cs-CZ"/>
              </w:rPr>
              <w:t>Čisté přijaté půjčky a úvěry</w:t>
            </w:r>
          </w:p>
        </w:tc>
      </w:tr>
      <w:tr w:rsidR="0043430B" w:rsidRPr="001B70EE" w:rsidTr="00A71CE6">
        <w:trPr>
          <w:trHeight w:val="425"/>
        </w:trPr>
        <w:tc>
          <w:tcPr>
            <w:tcW w:w="1291" w:type="dxa"/>
            <w:tcBorders>
              <w:left w:val="single" w:sz="4" w:space="0" w:color="auto"/>
              <w:bottom w:val="single" w:sz="4" w:space="0" w:color="auto"/>
              <w:right w:val="single" w:sz="4" w:space="0" w:color="000000"/>
            </w:tcBorders>
            <w:shd w:val="clear" w:color="auto" w:fill="auto"/>
            <w:noWrap/>
            <w:vAlign w:val="center"/>
            <w:hideMark/>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hideMark/>
          </w:tcPr>
          <w:p w:rsidR="00EA73DE" w:rsidRDefault="00B91DFE" w:rsidP="00EA73DE">
            <w:pPr>
              <w:spacing w:after="0" w:line="240" w:lineRule="auto"/>
              <w:jc w:val="both"/>
              <w:rPr>
                <w:rFonts w:eastAsia="Times New Roman" w:cs="Arial"/>
                <w:lang w:eastAsia="cs-CZ"/>
              </w:rPr>
            </w:pPr>
            <w:r>
              <w:rPr>
                <w:rFonts w:eastAsia="Times New Roman" w:cs="Arial"/>
                <w:lang w:eastAsia="cs-CZ"/>
              </w:rPr>
              <w:t>Položky zahrnují</w:t>
            </w:r>
            <w:r w:rsidR="00EA73DE" w:rsidRPr="0052084B">
              <w:rPr>
                <w:rFonts w:eastAsia="Times New Roman" w:cs="Arial"/>
                <w:lang w:eastAsia="cs-CZ"/>
              </w:rPr>
              <w:t xml:space="preserve"> změnu stavu přijatých půjček a úvěrů, tj. nově přijaté půjčky a úvěry (+), splátky </w:t>
            </w:r>
            <w:r w:rsidR="00EA73DE">
              <w:rPr>
                <w:rFonts w:eastAsia="Times New Roman" w:cs="Arial"/>
                <w:lang w:eastAsia="cs-CZ"/>
              </w:rPr>
              <w:t xml:space="preserve">jistin </w:t>
            </w:r>
            <w:r w:rsidR="00EA73DE" w:rsidRPr="0052084B">
              <w:rPr>
                <w:rFonts w:eastAsia="Times New Roman" w:cs="Arial"/>
                <w:lang w:eastAsia="cs-CZ"/>
              </w:rPr>
              <w:t>přijatých půjček a úvěrů (-).</w:t>
            </w:r>
            <w:r w:rsidR="00EA73DE">
              <w:rPr>
                <w:rFonts w:eastAsia="Times New Roman" w:cs="Arial"/>
                <w:lang w:eastAsia="cs-CZ"/>
              </w:rPr>
              <w:t xml:space="preserve"> Zaplacené úroky z těchto půjček a úvěrů patří na </w:t>
            </w:r>
            <w:r w:rsidR="00CC3B35">
              <w:rPr>
                <w:rFonts w:eastAsia="Times New Roman" w:cs="Arial"/>
                <w:lang w:eastAsia="cs-CZ"/>
              </w:rPr>
              <w:t xml:space="preserve">příslušnou </w:t>
            </w:r>
            <w:r w:rsidR="00EA73DE">
              <w:rPr>
                <w:rFonts w:eastAsia="Times New Roman" w:cs="Arial"/>
                <w:lang w:eastAsia="cs-CZ"/>
              </w:rPr>
              <w:t>položku</w:t>
            </w:r>
            <w:r w:rsidR="00CC3B35">
              <w:rPr>
                <w:rFonts w:eastAsia="Times New Roman" w:cs="Arial"/>
                <w:lang w:eastAsia="cs-CZ"/>
              </w:rPr>
              <w:t xml:space="preserve"> v rámci výdajů na úroky</w:t>
            </w:r>
            <w:r w:rsidR="00EA73DE">
              <w:rPr>
                <w:rFonts w:eastAsia="Times New Roman" w:cs="Arial"/>
                <w:lang w:eastAsia="cs-CZ"/>
              </w:rPr>
              <w:t xml:space="preserve"> </w:t>
            </w:r>
            <w:r w:rsidR="00CC3B35">
              <w:rPr>
                <w:rFonts w:eastAsia="Times New Roman" w:cs="Arial"/>
                <w:lang w:eastAsia="cs-CZ"/>
              </w:rPr>
              <w:t>(</w:t>
            </w:r>
            <w:r w:rsidR="00EA73DE">
              <w:rPr>
                <w:rFonts w:eastAsia="Times New Roman" w:cs="Arial"/>
                <w:lang w:eastAsia="cs-CZ"/>
              </w:rPr>
              <w:t>A.2.</w:t>
            </w:r>
            <w:r w:rsidR="00CC3B35">
              <w:rPr>
                <w:rFonts w:eastAsia="Times New Roman" w:cs="Arial"/>
                <w:lang w:eastAsia="cs-CZ"/>
              </w:rPr>
              <w:t>IX.)</w:t>
            </w:r>
            <w:r w:rsidR="00EA73DE">
              <w:rPr>
                <w:rFonts w:eastAsia="Times New Roman" w:cs="Arial"/>
                <w:lang w:eastAsia="cs-CZ"/>
              </w:rPr>
              <w:t>.</w:t>
            </w:r>
          </w:p>
          <w:p w:rsidR="00EA73DE" w:rsidRDefault="00EA73DE" w:rsidP="00EA73DE">
            <w:pPr>
              <w:spacing w:after="0" w:line="240" w:lineRule="auto"/>
              <w:jc w:val="both"/>
              <w:rPr>
                <w:rFonts w:eastAsia="Times New Roman" w:cs="Arial"/>
                <w:lang w:eastAsia="cs-CZ"/>
              </w:rPr>
            </w:pPr>
            <w:r>
              <w:rPr>
                <w:rFonts w:eastAsia="Times New Roman" w:cs="Arial"/>
                <w:lang w:eastAsia="cs-CZ"/>
              </w:rPr>
              <w:t xml:space="preserve">Hodnota majetku pořízeného na finanční leasing se kromě zápisu na příslušné položce nefinančních </w:t>
            </w:r>
            <w:r w:rsidR="00091570">
              <w:rPr>
                <w:rFonts w:eastAsia="Times New Roman" w:cs="Arial"/>
                <w:lang w:eastAsia="cs-CZ"/>
              </w:rPr>
              <w:t>aktiv (B.1.) promítne také v této části výkazu</w:t>
            </w:r>
            <w:r>
              <w:rPr>
                <w:rFonts w:eastAsia="Times New Roman" w:cs="Arial"/>
                <w:lang w:eastAsia="cs-CZ"/>
              </w:rPr>
              <w:t xml:space="preserve"> (+), stejně jako jeho následné splátky (-).</w:t>
            </w:r>
          </w:p>
          <w:p w:rsidR="0043430B" w:rsidRPr="0052084B" w:rsidRDefault="00EA73DE" w:rsidP="00EA73DE">
            <w:pPr>
              <w:spacing w:after="0" w:line="240" w:lineRule="auto"/>
              <w:jc w:val="both"/>
              <w:rPr>
                <w:rFonts w:eastAsia="Times New Roman" w:cs="Arial"/>
                <w:lang w:eastAsia="cs-CZ"/>
              </w:rPr>
            </w:pPr>
            <w:r>
              <w:rPr>
                <w:rFonts w:eastAsia="Times New Roman" w:cs="Arial"/>
                <w:lang w:eastAsia="cs-CZ"/>
              </w:rPr>
              <w:t>Přijatá úhrada za prodej finančního aktiva na základě smlouvy o zpětném nákupu (repo operace) je považována za přijatý úvěr.</w:t>
            </w:r>
          </w:p>
        </w:tc>
      </w:tr>
      <w:tr w:rsidR="0043430B" w:rsidRPr="001B70EE" w:rsidTr="00A71CE6">
        <w:trPr>
          <w:trHeight w:val="334"/>
        </w:trPr>
        <w:tc>
          <w:tcPr>
            <w:tcW w:w="1291" w:type="dxa"/>
            <w:tcBorders>
              <w:left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r w:rsidRPr="0052084B">
              <w:rPr>
                <w:rFonts w:eastAsia="Times New Roman" w:cs="Arial"/>
                <w:b/>
                <w:bCs/>
                <w:lang w:eastAsia="cs-CZ"/>
              </w:rPr>
              <w:t>D.2.I.</w:t>
            </w:r>
            <w:r w:rsidR="00555140">
              <w:rPr>
                <w:rFonts w:eastAsia="Times New Roman" w:cs="Arial"/>
                <w:b/>
                <w:bCs/>
                <w:lang w:eastAsia="cs-CZ"/>
              </w:rPr>
              <w:t>3.</w:t>
            </w:r>
            <w:r w:rsidR="00555140">
              <w:rPr>
                <w:rFonts w:eastAsia="Times New Roman" w:cs="Arial"/>
                <w:b/>
                <w:bCs/>
                <w:lang w:eastAsia="cs-CZ"/>
              </w:rPr>
              <w:br/>
              <w:t>D.2.II.3.</w:t>
            </w:r>
          </w:p>
        </w:tc>
        <w:tc>
          <w:tcPr>
            <w:tcW w:w="12958" w:type="dxa"/>
            <w:tcBorders>
              <w:left w:val="nil"/>
              <w:right w:val="single" w:sz="4" w:space="0" w:color="000000"/>
            </w:tcBorders>
            <w:shd w:val="clear" w:color="auto" w:fill="auto"/>
            <w:vAlign w:val="center"/>
          </w:tcPr>
          <w:p w:rsidR="0043430B" w:rsidRPr="0052084B" w:rsidRDefault="0043430B" w:rsidP="001203D0">
            <w:pPr>
              <w:spacing w:after="0" w:line="240" w:lineRule="auto"/>
              <w:jc w:val="both"/>
              <w:rPr>
                <w:rFonts w:eastAsia="Times New Roman" w:cs="Arial"/>
                <w:b/>
                <w:lang w:eastAsia="cs-CZ"/>
              </w:rPr>
            </w:pPr>
            <w:r w:rsidRPr="0052084B">
              <w:rPr>
                <w:rFonts w:eastAsia="Times New Roman" w:cs="Arial"/>
                <w:b/>
                <w:lang w:eastAsia="cs-CZ"/>
              </w:rPr>
              <w:t>Čistá emise akcií a jiných majetkových podílů</w:t>
            </w:r>
          </w:p>
        </w:tc>
      </w:tr>
      <w:tr w:rsidR="0043430B" w:rsidRPr="001B70EE" w:rsidTr="00A71CE6">
        <w:trPr>
          <w:trHeight w:val="425"/>
        </w:trPr>
        <w:tc>
          <w:tcPr>
            <w:tcW w:w="1291" w:type="dxa"/>
            <w:tcBorders>
              <w:left w:val="single" w:sz="4" w:space="0" w:color="auto"/>
              <w:bottom w:val="single" w:sz="4" w:space="0" w:color="auto"/>
              <w:right w:val="single" w:sz="4" w:space="0" w:color="000000"/>
            </w:tcBorders>
            <w:shd w:val="clear" w:color="auto" w:fill="auto"/>
            <w:noWrap/>
            <w:vAlign w:val="center"/>
          </w:tcPr>
          <w:p w:rsidR="0043430B" w:rsidRPr="0052084B" w:rsidRDefault="0043430B"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43430B" w:rsidRPr="0052084B" w:rsidRDefault="00091570">
            <w:pPr>
              <w:spacing w:after="0" w:line="240" w:lineRule="auto"/>
              <w:jc w:val="both"/>
              <w:rPr>
                <w:rFonts w:eastAsia="Times New Roman" w:cs="Arial"/>
                <w:lang w:eastAsia="cs-CZ"/>
              </w:rPr>
            </w:pPr>
            <w:r>
              <w:rPr>
                <w:rFonts w:eastAsia="Times New Roman" w:cs="Arial"/>
                <w:lang w:eastAsia="cs-CZ"/>
              </w:rPr>
              <w:t>Položky zahrnují</w:t>
            </w:r>
            <w:r w:rsidR="0043430B" w:rsidRPr="0052084B">
              <w:rPr>
                <w:rFonts w:eastAsia="Times New Roman" w:cs="Arial"/>
                <w:lang w:eastAsia="cs-CZ"/>
              </w:rPr>
              <w:t xml:space="preserve"> prodej emitovaných akcií a jiných majetkových podílů (+)</w:t>
            </w:r>
            <w:r w:rsidR="005B6B16">
              <w:rPr>
                <w:rFonts w:eastAsia="Times New Roman" w:cs="Arial"/>
                <w:lang w:eastAsia="cs-CZ"/>
              </w:rPr>
              <w:t xml:space="preserve"> </w:t>
            </w:r>
            <w:r w:rsidR="0043430B" w:rsidRPr="0052084B">
              <w:rPr>
                <w:rFonts w:eastAsia="Times New Roman" w:cs="Arial"/>
                <w:lang w:eastAsia="cs-CZ"/>
              </w:rPr>
              <w:t>a jejich případný odkup (-).</w:t>
            </w:r>
            <w:r w:rsidR="007E78C6">
              <w:rPr>
                <w:rFonts w:eastAsia="Times New Roman" w:cs="Arial"/>
                <w:lang w:eastAsia="cs-CZ"/>
              </w:rPr>
              <w:t xml:space="preserve"> </w:t>
            </w:r>
            <w:r w:rsidR="005B6B16">
              <w:rPr>
                <w:rFonts w:eastAsia="Times New Roman" w:cs="Arial"/>
                <w:lang w:eastAsia="cs-CZ"/>
              </w:rPr>
              <w:t>Em</w:t>
            </w:r>
            <w:r>
              <w:rPr>
                <w:rFonts w:eastAsia="Times New Roman" w:cs="Arial"/>
                <w:lang w:eastAsia="cs-CZ"/>
              </w:rPr>
              <w:t>itované cenné papíry jsou na těchto položkách</w:t>
            </w:r>
            <w:r w:rsidR="005B6B16">
              <w:rPr>
                <w:rFonts w:eastAsia="Times New Roman" w:cs="Arial"/>
                <w:lang w:eastAsia="cs-CZ"/>
              </w:rPr>
              <w:t xml:space="preserve"> zachyceny v prodejní ceně, která odpovídá emisnímu kurzu (</w:t>
            </w:r>
            <w:r w:rsidR="005B6B16">
              <w:rPr>
                <w:rFonts w:eastAsia="Times New Roman" w:cs="Arial"/>
                <w:color w:val="000000"/>
                <w:lang w:eastAsia="cs-CZ"/>
              </w:rPr>
              <w:t>související výdaje na zprostředkování emise patří na položku A.2.VI</w:t>
            </w:r>
            <w:r w:rsidR="00CC3B35">
              <w:rPr>
                <w:rFonts w:eastAsia="Times New Roman" w:cs="Arial"/>
                <w:color w:val="000000"/>
                <w:lang w:eastAsia="cs-CZ"/>
              </w:rPr>
              <w:t>II</w:t>
            </w:r>
            <w:r w:rsidR="005B6B16">
              <w:rPr>
                <w:rFonts w:eastAsia="Times New Roman" w:cs="Arial"/>
                <w:color w:val="000000"/>
                <w:lang w:eastAsia="cs-CZ"/>
              </w:rPr>
              <w:t>.).</w:t>
            </w:r>
            <w:r w:rsidR="007E78C6">
              <w:rPr>
                <w:rFonts w:eastAsia="Times New Roman" w:cs="Arial"/>
                <w:color w:val="000000"/>
                <w:lang w:eastAsia="cs-CZ"/>
              </w:rPr>
              <w:t xml:space="preserve"> Ve stejné hodnotě, ale s opačným znaménkem bude zaznamenán případný odkup těchto vlastních cenných papírů. </w:t>
            </w:r>
            <w:r w:rsidR="009E49C3">
              <w:rPr>
                <w:rFonts w:eastAsia="Times New Roman" w:cs="Arial"/>
                <w:color w:val="000000"/>
                <w:lang w:eastAsia="cs-CZ"/>
              </w:rPr>
              <w:t>Zisk realizovaný z této transakce klasifikujeme jako ostatní příjem A.1.</w:t>
            </w:r>
            <w:r w:rsidR="00CC3B35">
              <w:rPr>
                <w:rFonts w:eastAsia="Times New Roman" w:cs="Arial"/>
                <w:color w:val="000000"/>
                <w:lang w:eastAsia="cs-CZ"/>
              </w:rPr>
              <w:t>VI</w:t>
            </w:r>
            <w:r w:rsidR="009E49C3">
              <w:rPr>
                <w:rFonts w:eastAsia="Times New Roman" w:cs="Arial"/>
                <w:color w:val="000000"/>
                <w:lang w:eastAsia="cs-CZ"/>
              </w:rPr>
              <w:t>.</w:t>
            </w:r>
            <w:r w:rsidR="00CC3B35">
              <w:rPr>
                <w:rFonts w:eastAsia="Times New Roman" w:cs="Arial"/>
                <w:color w:val="000000"/>
                <w:lang w:eastAsia="cs-CZ"/>
              </w:rPr>
              <w:t>9.</w:t>
            </w:r>
            <w:r w:rsidR="009E49C3">
              <w:rPr>
                <w:rFonts w:eastAsia="Times New Roman" w:cs="Arial"/>
                <w:color w:val="000000"/>
                <w:lang w:eastAsia="cs-CZ"/>
              </w:rPr>
              <w:t>, ztrátu naopak jako ostatní výdaj A.2.XI</w:t>
            </w:r>
            <w:r w:rsidR="00CC3B35">
              <w:rPr>
                <w:rFonts w:eastAsia="Times New Roman" w:cs="Arial"/>
                <w:color w:val="000000"/>
                <w:lang w:eastAsia="cs-CZ"/>
              </w:rPr>
              <w:t>V</w:t>
            </w:r>
            <w:r w:rsidR="009E49C3">
              <w:rPr>
                <w:rFonts w:eastAsia="Times New Roman" w:cs="Arial"/>
                <w:color w:val="000000"/>
                <w:lang w:eastAsia="cs-CZ"/>
              </w:rPr>
              <w:t>.</w:t>
            </w:r>
            <w:r w:rsidR="00CC3B35">
              <w:rPr>
                <w:rFonts w:eastAsia="Times New Roman" w:cs="Arial"/>
                <w:color w:val="000000"/>
                <w:lang w:eastAsia="cs-CZ"/>
              </w:rPr>
              <w:t>5</w:t>
            </w:r>
            <w:r w:rsidR="009E49C3">
              <w:rPr>
                <w:rFonts w:eastAsia="Times New Roman" w:cs="Arial"/>
                <w:color w:val="000000"/>
                <w:lang w:eastAsia="cs-CZ"/>
              </w:rPr>
              <w:t>. Vyplacené dividendy či jiné podíly na zisku jsou náplní položky A.2.XI</w:t>
            </w:r>
            <w:r w:rsidR="00CC3B35">
              <w:rPr>
                <w:rFonts w:eastAsia="Times New Roman" w:cs="Arial"/>
                <w:color w:val="000000"/>
                <w:lang w:eastAsia="cs-CZ"/>
              </w:rPr>
              <w:t>V</w:t>
            </w:r>
            <w:r w:rsidR="009E49C3">
              <w:rPr>
                <w:rFonts w:eastAsia="Times New Roman" w:cs="Arial"/>
                <w:color w:val="000000"/>
                <w:lang w:eastAsia="cs-CZ"/>
              </w:rPr>
              <w:t xml:space="preserve">.1. </w:t>
            </w:r>
            <w:r w:rsidR="005B6B16">
              <w:rPr>
                <w:rFonts w:eastAsia="Times New Roman" w:cs="Arial"/>
                <w:lang w:eastAsia="cs-CZ"/>
              </w:rPr>
              <w:t xml:space="preserve"> </w:t>
            </w:r>
          </w:p>
        </w:tc>
      </w:tr>
      <w:tr w:rsidR="00167848" w:rsidRPr="001B70EE" w:rsidTr="00A71CE6">
        <w:trPr>
          <w:trHeight w:val="425"/>
        </w:trPr>
        <w:tc>
          <w:tcPr>
            <w:tcW w:w="1291" w:type="dxa"/>
            <w:tcBorders>
              <w:left w:val="single" w:sz="4" w:space="0" w:color="auto"/>
              <w:right w:val="single" w:sz="4" w:space="0" w:color="000000"/>
            </w:tcBorders>
            <w:shd w:val="clear" w:color="auto" w:fill="auto"/>
            <w:noWrap/>
            <w:vAlign w:val="center"/>
          </w:tcPr>
          <w:p w:rsidR="00167848" w:rsidRPr="0052084B" w:rsidRDefault="00167848" w:rsidP="00C3149D">
            <w:pPr>
              <w:spacing w:after="0" w:line="240" w:lineRule="auto"/>
              <w:rPr>
                <w:rFonts w:eastAsia="Times New Roman" w:cs="Arial"/>
                <w:b/>
                <w:bCs/>
                <w:lang w:eastAsia="cs-CZ"/>
              </w:rPr>
            </w:pPr>
            <w:r>
              <w:rPr>
                <w:rFonts w:eastAsia="Times New Roman" w:cs="Arial"/>
                <w:b/>
                <w:bCs/>
                <w:lang w:eastAsia="cs-CZ"/>
              </w:rPr>
              <w:t>D.2.I</w:t>
            </w:r>
            <w:r w:rsidR="00555140">
              <w:rPr>
                <w:rFonts w:eastAsia="Times New Roman" w:cs="Arial"/>
                <w:b/>
                <w:bCs/>
                <w:lang w:eastAsia="cs-CZ"/>
              </w:rPr>
              <w:t>.4.</w:t>
            </w:r>
            <w:r w:rsidR="00555140">
              <w:rPr>
                <w:rFonts w:eastAsia="Times New Roman" w:cs="Arial"/>
                <w:b/>
                <w:bCs/>
                <w:lang w:eastAsia="cs-CZ"/>
              </w:rPr>
              <w:br/>
              <w:t>D.2.II.4.</w:t>
            </w:r>
          </w:p>
        </w:tc>
        <w:tc>
          <w:tcPr>
            <w:tcW w:w="12958" w:type="dxa"/>
            <w:tcBorders>
              <w:left w:val="nil"/>
              <w:right w:val="single" w:sz="4" w:space="0" w:color="000000"/>
            </w:tcBorders>
            <w:shd w:val="clear" w:color="auto" w:fill="auto"/>
            <w:vAlign w:val="center"/>
          </w:tcPr>
          <w:p w:rsidR="00167848" w:rsidRPr="00167848" w:rsidRDefault="00167848" w:rsidP="001203D0">
            <w:pPr>
              <w:spacing w:after="0" w:line="240" w:lineRule="auto"/>
              <w:jc w:val="both"/>
              <w:rPr>
                <w:rFonts w:eastAsia="Times New Roman" w:cs="Arial"/>
                <w:b/>
                <w:lang w:eastAsia="cs-CZ"/>
              </w:rPr>
            </w:pPr>
            <w:r w:rsidRPr="00167848">
              <w:rPr>
                <w:rFonts w:eastAsia="Times New Roman" w:cs="Arial"/>
                <w:b/>
                <w:lang w:eastAsia="cs-CZ"/>
              </w:rPr>
              <w:t>Čistá změna přijatých vkladů</w:t>
            </w:r>
          </w:p>
        </w:tc>
      </w:tr>
      <w:tr w:rsidR="00167848" w:rsidRPr="001B70EE" w:rsidTr="00A71CE6">
        <w:trPr>
          <w:trHeight w:val="425"/>
        </w:trPr>
        <w:tc>
          <w:tcPr>
            <w:tcW w:w="1291" w:type="dxa"/>
            <w:tcBorders>
              <w:left w:val="single" w:sz="4" w:space="0" w:color="auto"/>
              <w:bottom w:val="single" w:sz="4" w:space="0" w:color="auto"/>
              <w:right w:val="single" w:sz="4" w:space="0" w:color="000000"/>
            </w:tcBorders>
            <w:shd w:val="clear" w:color="auto" w:fill="auto"/>
            <w:noWrap/>
            <w:vAlign w:val="center"/>
          </w:tcPr>
          <w:p w:rsidR="00167848" w:rsidRPr="0052084B" w:rsidRDefault="00167848" w:rsidP="00C3149D">
            <w:pPr>
              <w:spacing w:after="0" w:line="240" w:lineRule="auto"/>
              <w:rPr>
                <w:rFonts w:eastAsia="Times New Roman" w:cs="Arial"/>
                <w:b/>
                <w:bCs/>
                <w:lang w:eastAsia="cs-CZ"/>
              </w:rPr>
            </w:pPr>
          </w:p>
        </w:tc>
        <w:tc>
          <w:tcPr>
            <w:tcW w:w="12958" w:type="dxa"/>
            <w:tcBorders>
              <w:left w:val="nil"/>
              <w:bottom w:val="single" w:sz="4" w:space="0" w:color="auto"/>
              <w:right w:val="single" w:sz="4" w:space="0" w:color="000000"/>
            </w:tcBorders>
            <w:shd w:val="clear" w:color="auto" w:fill="auto"/>
            <w:vAlign w:val="center"/>
          </w:tcPr>
          <w:p w:rsidR="00996DF7" w:rsidRPr="0052084B" w:rsidRDefault="00091570" w:rsidP="005B17AB">
            <w:pPr>
              <w:spacing w:after="0" w:line="240" w:lineRule="auto"/>
              <w:jc w:val="both"/>
              <w:rPr>
                <w:rFonts w:eastAsia="Times New Roman" w:cs="Arial"/>
                <w:lang w:eastAsia="cs-CZ"/>
              </w:rPr>
            </w:pPr>
            <w:r>
              <w:rPr>
                <w:rFonts w:eastAsia="Times New Roman" w:cs="Arial"/>
                <w:lang w:eastAsia="cs-CZ"/>
              </w:rPr>
              <w:t>Položky zahrnují</w:t>
            </w:r>
            <w:r w:rsidR="00167848">
              <w:rPr>
                <w:rFonts w:eastAsia="Times New Roman" w:cs="Arial"/>
                <w:lang w:eastAsia="cs-CZ"/>
              </w:rPr>
              <w:t xml:space="preserve"> změnu stavu </w:t>
            </w:r>
            <w:r w:rsidR="000B582A">
              <w:rPr>
                <w:rFonts w:eastAsia="Times New Roman" w:cs="Arial"/>
                <w:lang w:eastAsia="cs-CZ"/>
              </w:rPr>
              <w:t xml:space="preserve">závazků bank z titulu </w:t>
            </w:r>
            <w:r w:rsidR="00167848">
              <w:rPr>
                <w:rFonts w:eastAsia="Times New Roman" w:cs="Arial"/>
                <w:lang w:eastAsia="cs-CZ"/>
              </w:rPr>
              <w:t xml:space="preserve">přijatých vkladů, tj. nově přijaté vklady (+), </w:t>
            </w:r>
            <w:r w:rsidR="00F14E10">
              <w:rPr>
                <w:rFonts w:eastAsia="Times New Roman" w:cs="Arial"/>
                <w:lang w:eastAsia="cs-CZ"/>
              </w:rPr>
              <w:t>úbytek vkladů (-).</w:t>
            </w:r>
            <w:r w:rsidR="00686997">
              <w:rPr>
                <w:rFonts w:eastAsia="Times New Roman" w:cs="Arial"/>
                <w:lang w:eastAsia="cs-CZ"/>
              </w:rPr>
              <w:t xml:space="preserve"> </w:t>
            </w:r>
            <w:r w:rsidR="00686997" w:rsidRPr="00686997">
              <w:rPr>
                <w:rFonts w:eastAsia="Times New Roman" w:cs="Arial"/>
                <w:lang w:eastAsia="cs-CZ"/>
              </w:rPr>
              <w:t>Charakter těchto příjmů a</w:t>
            </w:r>
            <w:r w:rsidR="005B17AB">
              <w:rPr>
                <w:rFonts w:eastAsia="Times New Roman" w:cs="Arial"/>
                <w:lang w:eastAsia="cs-CZ"/>
              </w:rPr>
              <w:t> </w:t>
            </w:r>
            <w:r w:rsidR="00686997" w:rsidRPr="00686997">
              <w:rPr>
                <w:rFonts w:eastAsia="Times New Roman" w:cs="Arial"/>
                <w:lang w:eastAsia="cs-CZ"/>
              </w:rPr>
              <w:t>výdajů, které realizuje vládní instituce jako banka v rámci platebního styku pro klienta, se dále nesleduje.</w:t>
            </w:r>
          </w:p>
        </w:tc>
      </w:tr>
      <w:tr w:rsidR="0043430B" w:rsidRPr="001B70EE" w:rsidTr="00A71CE6">
        <w:trPr>
          <w:trHeight w:val="255"/>
        </w:trPr>
        <w:tc>
          <w:tcPr>
            <w:tcW w:w="1291" w:type="dxa"/>
            <w:tcBorders>
              <w:top w:val="single" w:sz="4" w:space="0" w:color="auto"/>
              <w:left w:val="single" w:sz="4" w:space="0" w:color="auto"/>
              <w:right w:val="single" w:sz="4" w:space="0" w:color="auto"/>
            </w:tcBorders>
            <w:shd w:val="clear" w:color="auto" w:fill="auto"/>
            <w:noWrap/>
            <w:vAlign w:val="center"/>
          </w:tcPr>
          <w:p w:rsidR="0043430B" w:rsidRPr="001B70EE" w:rsidRDefault="0043430B" w:rsidP="00C3149D">
            <w:pPr>
              <w:spacing w:after="0" w:line="240" w:lineRule="auto"/>
              <w:rPr>
                <w:rFonts w:eastAsia="Times New Roman" w:cs="Arial"/>
                <w:b/>
                <w:bCs/>
                <w:sz w:val="24"/>
                <w:szCs w:val="24"/>
                <w:lang w:eastAsia="cs-CZ"/>
              </w:rPr>
            </w:pPr>
            <w:r w:rsidRPr="001B70EE">
              <w:rPr>
                <w:rFonts w:eastAsia="Times New Roman" w:cs="Arial"/>
                <w:b/>
                <w:bCs/>
                <w:sz w:val="24"/>
                <w:szCs w:val="24"/>
                <w:lang w:eastAsia="cs-CZ"/>
              </w:rPr>
              <w:t>E.</w:t>
            </w:r>
          </w:p>
        </w:tc>
        <w:tc>
          <w:tcPr>
            <w:tcW w:w="12958" w:type="dxa"/>
            <w:tcBorders>
              <w:top w:val="single" w:sz="4" w:space="0" w:color="auto"/>
              <w:left w:val="single" w:sz="4" w:space="0" w:color="auto"/>
              <w:right w:val="single" w:sz="4" w:space="0" w:color="000000"/>
            </w:tcBorders>
            <w:shd w:val="clear" w:color="auto" w:fill="auto"/>
            <w:vAlign w:val="center"/>
          </w:tcPr>
          <w:p w:rsidR="0043430B" w:rsidRPr="001B70EE" w:rsidRDefault="0043430B" w:rsidP="001203D0">
            <w:pPr>
              <w:spacing w:after="0" w:line="240" w:lineRule="auto"/>
              <w:jc w:val="both"/>
              <w:rPr>
                <w:rFonts w:eastAsia="Times New Roman" w:cs="Arial"/>
                <w:b/>
                <w:sz w:val="24"/>
                <w:szCs w:val="24"/>
                <w:lang w:eastAsia="cs-CZ"/>
              </w:rPr>
            </w:pPr>
            <w:r w:rsidRPr="001B70EE">
              <w:rPr>
                <w:rFonts w:eastAsia="Times New Roman" w:cs="Arial"/>
                <w:b/>
                <w:sz w:val="24"/>
                <w:szCs w:val="24"/>
                <w:lang w:eastAsia="cs-CZ"/>
              </w:rPr>
              <w:t>ČISTÁ ZMĚNA OBĚŽIVA A DEPOZIT (nárůst (+) / pokles (-))</w:t>
            </w:r>
          </w:p>
        </w:tc>
      </w:tr>
      <w:tr w:rsidR="0043430B" w:rsidRPr="001B70EE" w:rsidTr="00A71CE6">
        <w:trPr>
          <w:trHeight w:val="649"/>
        </w:trPr>
        <w:tc>
          <w:tcPr>
            <w:tcW w:w="1291" w:type="dxa"/>
            <w:tcBorders>
              <w:left w:val="single" w:sz="4" w:space="0" w:color="auto"/>
              <w:bottom w:val="single" w:sz="4" w:space="0" w:color="auto"/>
              <w:right w:val="single" w:sz="4" w:space="0" w:color="auto"/>
            </w:tcBorders>
            <w:shd w:val="clear" w:color="auto" w:fill="auto"/>
            <w:noWrap/>
            <w:vAlign w:val="center"/>
            <w:hideMark/>
          </w:tcPr>
          <w:p w:rsidR="0043430B" w:rsidRPr="001B70EE" w:rsidRDefault="0043430B" w:rsidP="00C3149D">
            <w:pPr>
              <w:spacing w:after="0" w:line="240" w:lineRule="auto"/>
              <w:rPr>
                <w:rFonts w:eastAsia="Times New Roman" w:cs="Arial"/>
                <w:b/>
                <w:bCs/>
                <w:sz w:val="20"/>
                <w:szCs w:val="20"/>
                <w:lang w:eastAsia="cs-CZ"/>
              </w:rPr>
            </w:pPr>
          </w:p>
        </w:tc>
        <w:tc>
          <w:tcPr>
            <w:tcW w:w="12958" w:type="dxa"/>
            <w:tcBorders>
              <w:left w:val="nil"/>
              <w:bottom w:val="single" w:sz="4" w:space="0" w:color="auto"/>
              <w:right w:val="single" w:sz="4" w:space="0" w:color="auto"/>
            </w:tcBorders>
            <w:shd w:val="clear" w:color="auto" w:fill="auto"/>
            <w:vAlign w:val="center"/>
            <w:hideMark/>
          </w:tcPr>
          <w:p w:rsidR="0043430B" w:rsidRPr="0052084B" w:rsidRDefault="0043430B" w:rsidP="00815485">
            <w:pPr>
              <w:spacing w:after="0" w:line="240" w:lineRule="auto"/>
              <w:jc w:val="both"/>
              <w:rPr>
                <w:rFonts w:eastAsia="Times New Roman" w:cs="Arial"/>
                <w:lang w:eastAsia="cs-CZ"/>
              </w:rPr>
            </w:pPr>
            <w:r w:rsidRPr="0052084B">
              <w:rPr>
                <w:rFonts w:eastAsia="Times New Roman" w:cs="Arial"/>
                <w:lang w:eastAsia="cs-CZ"/>
              </w:rPr>
              <w:t xml:space="preserve">Představuje </w:t>
            </w:r>
            <w:r w:rsidR="00116803">
              <w:rPr>
                <w:rFonts w:eastAsia="Times New Roman" w:cs="Arial"/>
                <w:lang w:eastAsia="cs-CZ"/>
              </w:rPr>
              <w:t xml:space="preserve">čistou </w:t>
            </w:r>
            <w:r w:rsidRPr="0052084B">
              <w:rPr>
                <w:rFonts w:eastAsia="Times New Roman" w:cs="Arial"/>
                <w:lang w:eastAsia="cs-CZ"/>
              </w:rPr>
              <w:t>změnu oběživa a depozit (nárůst (+) / pokles (-)) vyplývající z</w:t>
            </w:r>
            <w:r w:rsidR="00815485">
              <w:rPr>
                <w:rFonts w:eastAsia="Times New Roman" w:cs="Arial"/>
                <w:lang w:eastAsia="cs-CZ"/>
              </w:rPr>
              <w:t> </w:t>
            </w:r>
            <w:r w:rsidRPr="0052084B">
              <w:rPr>
                <w:rFonts w:eastAsia="Times New Roman" w:cs="Arial"/>
                <w:lang w:eastAsia="cs-CZ"/>
              </w:rPr>
              <w:t>transakcí</w:t>
            </w:r>
            <w:r w:rsidR="00815485">
              <w:rPr>
                <w:rFonts w:eastAsia="Times New Roman" w:cs="Arial"/>
                <w:lang w:eastAsia="cs-CZ"/>
              </w:rPr>
              <w:t xml:space="preserve"> </w:t>
            </w:r>
            <w:r w:rsidR="00815485" w:rsidRPr="0052084B">
              <w:rPr>
                <w:rFonts w:eastAsia="Times New Roman" w:cs="Arial"/>
                <w:lang w:eastAsia="cs-CZ"/>
              </w:rPr>
              <w:t>nefinančního charakteru (peněžních toků z provozní a investiční činnosti)</w:t>
            </w:r>
            <w:r w:rsidR="002C5B1E">
              <w:rPr>
                <w:rFonts w:eastAsia="Times New Roman" w:cs="Arial"/>
                <w:lang w:eastAsia="cs-CZ"/>
              </w:rPr>
              <w:t xml:space="preserve"> i</w:t>
            </w:r>
            <w:r w:rsidRPr="0052084B">
              <w:rPr>
                <w:rFonts w:eastAsia="Times New Roman" w:cs="Arial"/>
                <w:lang w:eastAsia="cs-CZ"/>
              </w:rPr>
              <w:t xml:space="preserve"> finančního charakteru (</w:t>
            </w:r>
            <w:r w:rsidR="002C5B1E">
              <w:rPr>
                <w:rFonts w:eastAsia="Times New Roman" w:cs="Arial"/>
                <w:lang w:eastAsia="cs-CZ"/>
              </w:rPr>
              <w:t>peněžních toků z financování)</w:t>
            </w:r>
            <w:r w:rsidRPr="0052084B">
              <w:rPr>
                <w:rFonts w:eastAsia="Times New Roman" w:cs="Arial"/>
                <w:lang w:eastAsia="cs-CZ"/>
              </w:rPr>
              <w:t>.</w:t>
            </w:r>
          </w:p>
        </w:tc>
      </w:tr>
    </w:tbl>
    <w:p w:rsidR="000C4058" w:rsidRDefault="000C4058" w:rsidP="0071042F">
      <w:pPr>
        <w:jc w:val="both"/>
      </w:pPr>
    </w:p>
    <w:p w:rsidR="000C4058" w:rsidRDefault="000C4058" w:rsidP="000C4058">
      <w:r>
        <w:br w:type="page"/>
      </w:r>
    </w:p>
    <w:p w:rsidR="000C4058" w:rsidRDefault="000C4058" w:rsidP="0071042F">
      <w:pPr>
        <w:jc w:val="both"/>
        <w:sectPr w:rsidR="000C4058" w:rsidSect="00CD4D79">
          <w:pgSz w:w="16838" w:h="11906" w:orient="landscape"/>
          <w:pgMar w:top="1304" w:right="1418" w:bottom="1304" w:left="1418" w:header="709" w:footer="709" w:gutter="0"/>
          <w:cols w:space="708"/>
          <w:docGrid w:linePitch="360"/>
        </w:sectPr>
      </w:pPr>
    </w:p>
    <w:p w:rsidR="009B3835" w:rsidRDefault="000C4058" w:rsidP="006164E6">
      <w:pPr>
        <w:pStyle w:val="Nzev"/>
      </w:pPr>
      <w:bookmarkStart w:id="16" w:name="_Toc483906425"/>
      <w:r>
        <w:lastRenderedPageBreak/>
        <w:t>Metodický pokyn</w:t>
      </w:r>
      <w:r w:rsidR="006164E6">
        <w:t xml:space="preserve"> k </w:t>
      </w:r>
      <w:r w:rsidR="006164E6" w:rsidRPr="006164E6">
        <w:t>Výkaz</w:t>
      </w:r>
      <w:r w:rsidR="006164E6">
        <w:t>u</w:t>
      </w:r>
      <w:r w:rsidR="006164E6" w:rsidRPr="006164E6">
        <w:t xml:space="preserve"> o poskytnutých garancích</w:t>
      </w:r>
      <w:bookmarkEnd w:id="16"/>
    </w:p>
    <w:p w:rsidR="006164E6" w:rsidRPr="00F719F6" w:rsidRDefault="003519FC" w:rsidP="00ED1E30">
      <w:pPr>
        <w:pStyle w:val="Nadpis1"/>
        <w:numPr>
          <w:ilvl w:val="0"/>
          <w:numId w:val="9"/>
        </w:numPr>
        <w:spacing w:after="120"/>
        <w:ind w:left="357" w:hanging="357"/>
        <w:rPr>
          <w:rFonts w:eastAsia="Times New Roman"/>
          <w:lang w:eastAsia="cs-CZ"/>
        </w:rPr>
      </w:pPr>
      <w:bookmarkStart w:id="17" w:name="_Toc483906426"/>
      <w:r w:rsidRPr="00F719F6">
        <w:rPr>
          <w:rFonts w:eastAsia="Times New Roman"/>
          <w:lang w:eastAsia="cs-CZ"/>
        </w:rPr>
        <w:t>Základní informace</w:t>
      </w:r>
      <w:bookmarkEnd w:id="17"/>
    </w:p>
    <w:p w:rsidR="00B46E59" w:rsidRDefault="00B46E59" w:rsidP="00EE72CA">
      <w:pPr>
        <w:spacing w:after="120"/>
        <w:jc w:val="both"/>
        <w:rPr>
          <w:b/>
        </w:rPr>
      </w:pPr>
      <w:r>
        <w:t xml:space="preserve">Ministerstvo financí vydává metodický pokyn k naplnění </w:t>
      </w:r>
      <w:r w:rsidRPr="00322E22">
        <w:rPr>
          <w:b/>
        </w:rPr>
        <w:t>Výkazu o poskytnutých garancích</w:t>
      </w:r>
      <w:r>
        <w:t xml:space="preserve"> (dále jen „výkaz“), jehož závazný vzor je uveden v Příloze č. 2 vyhlášky č. …/2017 Sb., </w:t>
      </w:r>
      <w:r w:rsidR="000C5EB0" w:rsidRPr="0082754A">
        <w:t>k provedení některých ustanovení zákona o sběru vybraných údajů pro účely monitorování a řízení veřejných financí</w:t>
      </w:r>
      <w:r w:rsidR="00BC4F69">
        <w:t>.</w:t>
      </w:r>
      <w:r>
        <w:t xml:space="preserve"> </w:t>
      </w:r>
    </w:p>
    <w:p w:rsidR="00B437D0" w:rsidRDefault="00B437D0" w:rsidP="00EE72CA">
      <w:pPr>
        <w:spacing w:after="120"/>
        <w:jc w:val="both"/>
      </w:pPr>
      <w:r w:rsidRPr="00681108">
        <w:t>Výkaz se</w:t>
      </w:r>
      <w:r>
        <w:t xml:space="preserve"> zavádí z důvodu získávání dodatečných informací potřebných k naplnění požadavků směrnice Rady 2011/85/EU o požadavcích na rozpočtové rámce členských států a Evropské komise v rámci notifikace vládního deficitu a dluhu. </w:t>
      </w:r>
      <w:r w:rsidR="00D42961">
        <w:t>I</w:t>
      </w:r>
      <w:r>
        <w:t xml:space="preserve">nformace slouží pro správné zaznamenání transakcí dle národní metodiky i mezinárodních metodik (ESA, GFS) </w:t>
      </w:r>
      <w:r w:rsidR="005B52B7">
        <w:t xml:space="preserve">a ke </w:t>
      </w:r>
      <w:r>
        <w:t>sledování stavu a vývoje veřejných financí.</w:t>
      </w:r>
    </w:p>
    <w:p w:rsidR="00B437D0" w:rsidRDefault="00B437D0" w:rsidP="00EE72CA">
      <w:pPr>
        <w:spacing w:after="120"/>
        <w:jc w:val="both"/>
      </w:pPr>
      <w:r>
        <w:t xml:space="preserve">Cílem </w:t>
      </w:r>
      <w:r w:rsidR="00C25FF5">
        <w:t>výkazu</w:t>
      </w:r>
      <w:r>
        <w:t xml:space="preserve"> je zajištění údajů o potenciálních (resp. podmíněných) závazcích </w:t>
      </w:r>
      <w:r w:rsidR="00A54009">
        <w:t>sektoru vládních institucí</w:t>
      </w:r>
      <w:r w:rsidR="00A54009">
        <w:rPr>
          <w:rStyle w:val="Znakapoznpodarou"/>
        </w:rPr>
        <w:footnoteReference w:id="12"/>
      </w:r>
      <w:r>
        <w:t xml:space="preserve"> (sloupce 5-6), které jsou sledovány a vykazovány jako rizika veřejných financí, stejně jako evidence již plněných závazků z ručení (sloupce 7-9). </w:t>
      </w:r>
    </w:p>
    <w:p w:rsidR="00624903" w:rsidRDefault="00624903" w:rsidP="00FA7095">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BE5F1" w:themeFill="accent1" w:themeFillTint="33"/>
        <w:spacing w:after="120"/>
        <w:jc w:val="both"/>
      </w:pPr>
      <w:r w:rsidRPr="0038016F">
        <w:t>Institucionální sektor vládních institucí podle metodiky ESA 2010 je ekvivalentní se sektorem veřejných institucí podle zákona</w:t>
      </w:r>
      <w:r>
        <w:t xml:space="preserve"> č. 25/2017 Sb., </w:t>
      </w:r>
      <w:r w:rsidRPr="00433762">
        <w:t>o sběru vybraných údajů pro účely monitorování a řízení veřejných financí</w:t>
      </w:r>
      <w:r>
        <w:t>,</w:t>
      </w:r>
      <w:r w:rsidRPr="0038016F">
        <w:t xml:space="preserve"> a zákona č. 23/2017 Sb., o pravidlech rozpočtové odpovědnosti</w:t>
      </w:r>
      <w:r>
        <w:t>.</w:t>
      </w:r>
    </w:p>
    <w:p w:rsidR="00B437D0" w:rsidRDefault="00B437D0" w:rsidP="00EE72CA">
      <w:pPr>
        <w:spacing w:after="120"/>
        <w:jc w:val="both"/>
      </w:pPr>
      <w:r>
        <w:t>V</w:t>
      </w:r>
      <w:r w:rsidR="00C25FF5">
        <w:t>e výkazu</w:t>
      </w:r>
      <w:r>
        <w:t xml:space="preserve"> se ročně sleduje aktuální stav poskytnutých garancí z pohledu ručitele v členění podle věřitele a dlužníka. Tabulka tedy odráží skutečnosti, které nastaly v průběhu daného </w:t>
      </w:r>
      <w:r w:rsidR="009A512A">
        <w:t>kalendářního roku</w:t>
      </w:r>
      <w:r>
        <w:t>, a to ve stavu k 31. 12.</w:t>
      </w:r>
    </w:p>
    <w:p w:rsidR="00B437D0" w:rsidRPr="00035280" w:rsidRDefault="00B437D0" w:rsidP="003375C2">
      <w:pPr>
        <w:spacing w:before="200" w:after="0"/>
        <w:jc w:val="both"/>
        <w:rPr>
          <w:b/>
        </w:rPr>
      </w:pPr>
      <w:r w:rsidRPr="00035280">
        <w:rPr>
          <w:b/>
        </w:rPr>
        <w:t>Definice:</w:t>
      </w:r>
    </w:p>
    <w:p w:rsidR="00B437D0" w:rsidRDefault="00B437D0" w:rsidP="00B437D0">
      <w:pPr>
        <w:spacing w:after="0"/>
        <w:jc w:val="both"/>
      </w:pPr>
      <w:r>
        <w:t xml:space="preserve">Garancemi se </w:t>
      </w:r>
      <w:r w:rsidR="00F31FCA">
        <w:t>po</w:t>
      </w:r>
      <w:r>
        <w:t>dle § 5 odst. 3 zákona č. 25/2017 Sb., o sběru vybraných údajů pro účely monitorování a řízení veřejných financí</w:t>
      </w:r>
      <w:r w:rsidR="00035280">
        <w:t>,</w:t>
      </w:r>
      <w:r>
        <w:t xml:space="preserve"> rozumí:</w:t>
      </w:r>
    </w:p>
    <w:p w:rsidR="00B437D0" w:rsidRDefault="00B437D0" w:rsidP="00046CCE">
      <w:pPr>
        <w:pStyle w:val="Odstavecseseznamem"/>
        <w:numPr>
          <w:ilvl w:val="0"/>
          <w:numId w:val="12"/>
        </w:numPr>
        <w:spacing w:after="0"/>
        <w:jc w:val="both"/>
      </w:pPr>
      <w:r>
        <w:t>ručení nebo finanční záruka podle občanského zákoníku,</w:t>
      </w:r>
    </w:p>
    <w:p w:rsidR="00B437D0" w:rsidRDefault="00B437D0" w:rsidP="00046CCE">
      <w:pPr>
        <w:pStyle w:val="Odstavecseseznamem"/>
        <w:numPr>
          <w:ilvl w:val="0"/>
          <w:numId w:val="12"/>
        </w:numPr>
        <w:spacing w:after="0"/>
        <w:jc w:val="both"/>
      </w:pPr>
      <w:r>
        <w:t>směnečné rukojemství podle zákona upravujícího směnky, nebo</w:t>
      </w:r>
    </w:p>
    <w:p w:rsidR="003519FC" w:rsidRPr="003519FC" w:rsidRDefault="00B437D0" w:rsidP="003375C2">
      <w:pPr>
        <w:pStyle w:val="Odstavecseseznamem"/>
        <w:numPr>
          <w:ilvl w:val="0"/>
          <w:numId w:val="12"/>
        </w:numPr>
        <w:spacing w:after="0"/>
        <w:ind w:left="714" w:hanging="357"/>
        <w:jc w:val="both"/>
      </w:pPr>
      <w:r>
        <w:t>záruka poskytnutá Českou republikou na základě jiného zákona.</w:t>
      </w:r>
    </w:p>
    <w:p w:rsidR="00035280" w:rsidRPr="00EC54C8" w:rsidRDefault="00035280" w:rsidP="003375C2">
      <w:pPr>
        <w:spacing w:before="200" w:after="0"/>
        <w:jc w:val="both"/>
        <w:rPr>
          <w:b/>
        </w:rPr>
      </w:pPr>
      <w:r w:rsidRPr="00EC54C8">
        <w:rPr>
          <w:b/>
        </w:rPr>
        <w:t xml:space="preserve">Části </w:t>
      </w:r>
      <w:r w:rsidR="002A1CEC">
        <w:rPr>
          <w:b/>
        </w:rPr>
        <w:t>výkazu</w:t>
      </w:r>
    </w:p>
    <w:p w:rsidR="00046CCE" w:rsidRDefault="002A1CEC" w:rsidP="00046CCE">
      <w:pPr>
        <w:spacing w:after="0"/>
        <w:jc w:val="both"/>
      </w:pPr>
      <w:r>
        <w:t>Výkaz</w:t>
      </w:r>
      <w:r w:rsidR="00035280">
        <w:t xml:space="preserve"> tvoří dvě tabulky</w:t>
      </w:r>
      <w:r w:rsidR="00042D60">
        <w:t>:</w:t>
      </w:r>
    </w:p>
    <w:p w:rsidR="00046CCE" w:rsidRDefault="00035280" w:rsidP="00046CCE">
      <w:pPr>
        <w:pStyle w:val="Odstavecseseznamem"/>
        <w:numPr>
          <w:ilvl w:val="0"/>
          <w:numId w:val="14"/>
        </w:numPr>
        <w:jc w:val="both"/>
      </w:pPr>
      <w:r>
        <w:t>Údaje k posk</w:t>
      </w:r>
      <w:r w:rsidR="00046CCE">
        <w:t>ytnutým garancím jednorázovým a</w:t>
      </w:r>
    </w:p>
    <w:p w:rsidR="00046CCE" w:rsidRDefault="00035280" w:rsidP="00046CCE">
      <w:pPr>
        <w:pStyle w:val="Odstavecseseznamem"/>
        <w:numPr>
          <w:ilvl w:val="0"/>
          <w:numId w:val="14"/>
        </w:numPr>
        <w:spacing w:after="0"/>
        <w:ind w:left="714" w:hanging="357"/>
        <w:jc w:val="both"/>
      </w:pPr>
      <w:r>
        <w:t>Údaje k</w:t>
      </w:r>
      <w:r w:rsidR="00046CCE">
        <w:t xml:space="preserve"> poskytnutým garancím ostatním.</w:t>
      </w:r>
    </w:p>
    <w:p w:rsidR="00035280" w:rsidRDefault="00035280" w:rsidP="003375C2">
      <w:pPr>
        <w:spacing w:after="0"/>
        <w:jc w:val="both"/>
      </w:pPr>
      <w:r>
        <w:t>Rozdělení vychází z určení typu garance.</w:t>
      </w:r>
    </w:p>
    <w:p w:rsidR="00035280" w:rsidRPr="00EC54C8" w:rsidRDefault="00035280" w:rsidP="003375C2">
      <w:pPr>
        <w:spacing w:before="200" w:after="0"/>
        <w:jc w:val="both"/>
        <w:rPr>
          <w:b/>
        </w:rPr>
      </w:pPr>
      <w:r w:rsidRPr="00EC54C8">
        <w:rPr>
          <w:b/>
        </w:rPr>
        <w:t>Typ garance</w:t>
      </w:r>
    </w:p>
    <w:p w:rsidR="00035280" w:rsidRPr="003375C2" w:rsidRDefault="00035280" w:rsidP="00EE72CA">
      <w:pPr>
        <w:spacing w:after="120"/>
        <w:jc w:val="both"/>
      </w:pPr>
      <w:r w:rsidRPr="003375C2">
        <w:rPr>
          <w:b/>
        </w:rPr>
        <w:t>Jednorázové garance</w:t>
      </w:r>
      <w:r>
        <w:t xml:space="preserve"> jsou záruky individuálního charakteru, poskytované jednotlivě za specifických podmínek pro každou záruku obvykle navázané na dluhové nástroje jako úvěry, půjčky a dluhopisy, u</w:t>
      </w:r>
      <w:r w:rsidR="00EC54C8">
        <w:t> </w:t>
      </w:r>
      <w:r>
        <w:t>kterých z důvodu nedostatku jiných srovnatelných případů nelze určit riziko spojené s jejich nesplacením a tedy ani riziko realizace garance a tudíž povinn</w:t>
      </w:r>
      <w:r w:rsidR="003375C2">
        <w:t>osti plnění ze strany ručitele.</w:t>
      </w:r>
    </w:p>
    <w:p w:rsidR="00770FE3" w:rsidRDefault="00035280" w:rsidP="005502CE">
      <w:pPr>
        <w:spacing w:after="120"/>
        <w:jc w:val="both"/>
      </w:pPr>
      <w:r w:rsidRPr="003375C2">
        <w:rPr>
          <w:b/>
        </w:rPr>
        <w:lastRenderedPageBreak/>
        <w:t>Ostatní garance</w:t>
      </w:r>
      <w:r>
        <w:t xml:space="preserve"> jsou pak záruky, které nesplňují výše uvedenou definici a nejsou tedy poskytovány jednorázově. Charakteristickým rysem takových záruk může být, že se poskytují ve větším počtu, obvykle na menší částky a za obdobných podmínek. Lze odhadnout pravděpodobnost selhání v souboru podobných dlužníků</w:t>
      </w:r>
      <w:r w:rsidR="006E7E68">
        <w:t>.</w:t>
      </w:r>
    </w:p>
    <w:p w:rsidR="0031421B" w:rsidRDefault="0031421B" w:rsidP="00E67980">
      <w:pPr>
        <w:pStyle w:val="Nadpis1"/>
        <w:numPr>
          <w:ilvl w:val="0"/>
          <w:numId w:val="9"/>
        </w:numPr>
        <w:spacing w:before="360" w:after="120"/>
        <w:ind w:left="357" w:hanging="357"/>
        <w:rPr>
          <w:rFonts w:eastAsia="Times New Roman"/>
          <w:lang w:eastAsia="cs-CZ"/>
        </w:rPr>
      </w:pPr>
      <w:bookmarkStart w:id="18" w:name="_Toc483906427"/>
      <w:r>
        <w:rPr>
          <w:rFonts w:eastAsia="Times New Roman"/>
          <w:lang w:eastAsia="cs-CZ"/>
        </w:rPr>
        <w:t>Kontrol</w:t>
      </w:r>
      <w:r w:rsidR="008B7260">
        <w:rPr>
          <w:rFonts w:eastAsia="Times New Roman"/>
          <w:lang w:eastAsia="cs-CZ"/>
        </w:rPr>
        <w:t>ní vazby</w:t>
      </w:r>
      <w:bookmarkEnd w:id="18"/>
    </w:p>
    <w:p w:rsidR="008B7260" w:rsidRPr="008B7260" w:rsidRDefault="00D62866" w:rsidP="008B7260">
      <w:pPr>
        <w:rPr>
          <w:lang w:eastAsia="cs-CZ"/>
        </w:rPr>
      </w:pPr>
      <w:r w:rsidRPr="00D62866">
        <w:rPr>
          <w:noProof/>
          <w:lang w:eastAsia="cs-CZ"/>
        </w:rPr>
        <w:drawing>
          <wp:inline distT="0" distB="0" distL="0" distR="0">
            <wp:extent cx="5904230" cy="1864972"/>
            <wp:effectExtent l="0" t="0" r="127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230" cy="1864972"/>
                    </a:xfrm>
                    <a:prstGeom prst="rect">
                      <a:avLst/>
                    </a:prstGeom>
                    <a:noFill/>
                    <a:ln>
                      <a:noFill/>
                    </a:ln>
                  </pic:spPr>
                </pic:pic>
              </a:graphicData>
            </a:graphic>
          </wp:inline>
        </w:drawing>
      </w:r>
    </w:p>
    <w:p w:rsidR="006164E6" w:rsidRPr="00657CB7" w:rsidRDefault="00F719F6" w:rsidP="00E67980">
      <w:pPr>
        <w:pStyle w:val="Nadpis1"/>
        <w:numPr>
          <w:ilvl w:val="0"/>
          <w:numId w:val="9"/>
        </w:numPr>
        <w:spacing w:before="360" w:after="120"/>
        <w:ind w:left="357" w:hanging="357"/>
        <w:rPr>
          <w:rFonts w:eastAsia="Times New Roman"/>
          <w:lang w:eastAsia="cs-CZ"/>
        </w:rPr>
      </w:pPr>
      <w:bookmarkStart w:id="19" w:name="_Toc483906428"/>
      <w:r>
        <w:rPr>
          <w:rFonts w:eastAsia="Times New Roman"/>
          <w:lang w:eastAsia="cs-CZ"/>
        </w:rPr>
        <w:t>Obsahová náplň</w:t>
      </w:r>
      <w:r w:rsidRPr="00057A8E">
        <w:rPr>
          <w:rFonts w:eastAsia="Times New Roman"/>
          <w:lang w:eastAsia="cs-CZ"/>
        </w:rPr>
        <w:t xml:space="preserve"> jednotlivých položek </w:t>
      </w:r>
      <w:r w:rsidR="007B37E3">
        <w:rPr>
          <w:rFonts w:eastAsia="Times New Roman"/>
          <w:lang w:eastAsia="cs-CZ"/>
        </w:rPr>
        <w:t>výkazu</w:t>
      </w:r>
      <w:bookmarkEnd w:id="19"/>
    </w:p>
    <w:tbl>
      <w:tblPr>
        <w:tblStyle w:val="Mkatabulky"/>
        <w:tblW w:w="0" w:type="auto"/>
        <w:tblLook w:val="04A0"/>
      </w:tblPr>
      <w:tblGrid>
        <w:gridCol w:w="1034"/>
        <w:gridCol w:w="8480"/>
      </w:tblGrid>
      <w:tr w:rsidR="0065319B" w:rsidTr="008B4E14">
        <w:tc>
          <w:tcPr>
            <w:tcW w:w="0" w:type="auto"/>
          </w:tcPr>
          <w:p w:rsidR="008B4E14" w:rsidRPr="009406B6" w:rsidRDefault="008B4E14" w:rsidP="009406B6">
            <w:pPr>
              <w:jc w:val="center"/>
            </w:pPr>
            <w:r w:rsidRPr="009406B6">
              <w:rPr>
                <w:b/>
              </w:rPr>
              <w:t>Sl</w:t>
            </w:r>
            <w:r w:rsidR="009406B6">
              <w:rPr>
                <w:b/>
              </w:rPr>
              <w:t>oup</w:t>
            </w:r>
            <w:r w:rsidR="00183048">
              <w:rPr>
                <w:b/>
              </w:rPr>
              <w:t>ce</w:t>
            </w:r>
            <w:r w:rsidRPr="009406B6">
              <w:rPr>
                <w:b/>
              </w:rPr>
              <w:t xml:space="preserve"> 1 - </w:t>
            </w:r>
            <w:r w:rsidR="009406B6">
              <w:rPr>
                <w:b/>
              </w:rPr>
              <w:t>4</w:t>
            </w:r>
            <w:r w:rsidRPr="009406B6">
              <w:t xml:space="preserve"> </w:t>
            </w:r>
          </w:p>
          <w:p w:rsidR="008B4E14" w:rsidRDefault="008B4E14" w:rsidP="006164E6"/>
        </w:tc>
        <w:tc>
          <w:tcPr>
            <w:tcW w:w="0" w:type="auto"/>
          </w:tcPr>
          <w:p w:rsidR="009406B6" w:rsidRPr="009406B6" w:rsidRDefault="009406B6" w:rsidP="00F41A5C">
            <w:pPr>
              <w:spacing w:after="120"/>
              <w:jc w:val="both"/>
              <w:rPr>
                <w:b/>
              </w:rPr>
            </w:pPr>
            <w:r w:rsidRPr="009406B6">
              <w:rPr>
                <w:b/>
              </w:rPr>
              <w:t>Identifikace věřitele a dlužníka</w:t>
            </w:r>
          </w:p>
          <w:p w:rsidR="008B4E14" w:rsidRDefault="008B4E14" w:rsidP="00F41A5C">
            <w:pPr>
              <w:spacing w:after="120"/>
              <w:jc w:val="both"/>
            </w:pPr>
            <w:r>
              <w:t>Ve sloupcích 1-2 se zaznamená identifikační číslo a název věřitele, tj. účetní jednotky, k jejíž pohledávce, resp. v</w:t>
            </w:r>
            <w:r w:rsidR="00B90546">
              <w:t xml:space="preserve"> </w:t>
            </w:r>
            <w:r>
              <w:t>jejíž prospěch byla garance vystavena.</w:t>
            </w:r>
          </w:p>
          <w:p w:rsidR="008B4E14" w:rsidRDefault="008B4E14" w:rsidP="00F41A5C">
            <w:pPr>
              <w:spacing w:after="120"/>
              <w:jc w:val="both"/>
            </w:pPr>
            <w:r>
              <w:t>Ve sloupcích 3-4</w:t>
            </w:r>
            <w:r w:rsidRPr="00507D23">
              <w:t xml:space="preserve"> </w:t>
            </w:r>
            <w:r>
              <w:t>se zaznamená identifikační číslo a název dlužníka, tedy účetní jednotky, které byla poskytnuta garance na její závazky.</w:t>
            </w:r>
          </w:p>
          <w:p w:rsidR="008B4E14" w:rsidRPr="002D5143" w:rsidRDefault="008B4E14" w:rsidP="00F41A5C">
            <w:pPr>
              <w:pStyle w:val="Textpoznpodarou"/>
              <w:jc w:val="both"/>
              <w:rPr>
                <w:rFonts w:cstheme="minorHAnsi"/>
                <w:i/>
                <w:sz w:val="22"/>
                <w:szCs w:val="22"/>
              </w:rPr>
            </w:pPr>
            <w:r w:rsidRPr="002D5143">
              <w:rPr>
                <w:rFonts w:eastAsia="Times New Roman" w:cstheme="minorHAnsi"/>
                <w:i/>
                <w:sz w:val="22"/>
                <w:szCs w:val="22"/>
                <w:lang w:eastAsia="cs-CZ"/>
              </w:rPr>
              <w:t>Identifikačním číslem je číselný kód k jednoznačné identifikaci subjektu přidělený např. Českým statistickým úřadem, Rejstříkovým soudem nebo živnostenským úřadem. Identifikační číslo by mělo být unikátní.</w:t>
            </w:r>
          </w:p>
          <w:p w:rsidR="008B4E14" w:rsidRDefault="008B4E14" w:rsidP="00F41A5C">
            <w:pPr>
              <w:jc w:val="both"/>
            </w:pPr>
            <w:r w:rsidRPr="002D5143">
              <w:rPr>
                <w:rFonts w:eastAsia="Times New Roman" w:cstheme="minorHAnsi"/>
                <w:i/>
                <w:lang w:eastAsia="cs-CZ"/>
              </w:rPr>
              <w:t>Název představuje označení, pod kterým účetní jednotka provozuje svoji činnost. Obchodním jménem účetní jednotky zapsané do obchodního rejstříku je obchodní firma.</w:t>
            </w:r>
          </w:p>
        </w:tc>
      </w:tr>
      <w:tr w:rsidR="0065319B" w:rsidTr="008B4E14">
        <w:tc>
          <w:tcPr>
            <w:tcW w:w="0" w:type="auto"/>
          </w:tcPr>
          <w:p w:rsidR="008B4E14" w:rsidRPr="00752F85" w:rsidRDefault="008B4E14" w:rsidP="00183048">
            <w:pPr>
              <w:jc w:val="center"/>
              <w:rPr>
                <w:b/>
              </w:rPr>
            </w:pPr>
            <w:r w:rsidRPr="00752F85">
              <w:rPr>
                <w:b/>
              </w:rPr>
              <w:t>Sl</w:t>
            </w:r>
            <w:r w:rsidR="009406B6" w:rsidRPr="00752F85">
              <w:rPr>
                <w:b/>
              </w:rPr>
              <w:t>oup</w:t>
            </w:r>
            <w:r w:rsidR="00183048">
              <w:rPr>
                <w:b/>
              </w:rPr>
              <w:t>ce</w:t>
            </w:r>
            <w:r w:rsidR="009406B6" w:rsidRPr="00752F85">
              <w:rPr>
                <w:b/>
              </w:rPr>
              <w:t xml:space="preserve"> </w:t>
            </w:r>
            <w:r w:rsidRPr="00752F85">
              <w:rPr>
                <w:b/>
              </w:rPr>
              <w:t xml:space="preserve">5 </w:t>
            </w:r>
            <w:r w:rsidR="00183048">
              <w:rPr>
                <w:b/>
              </w:rPr>
              <w:t>a</w:t>
            </w:r>
            <w:r w:rsidRPr="00752F85">
              <w:rPr>
                <w:b/>
              </w:rPr>
              <w:t xml:space="preserve"> 6 </w:t>
            </w:r>
          </w:p>
        </w:tc>
        <w:tc>
          <w:tcPr>
            <w:tcW w:w="0" w:type="auto"/>
          </w:tcPr>
          <w:p w:rsidR="009406B6" w:rsidRPr="009406B6" w:rsidRDefault="009406B6" w:rsidP="00F41A5C">
            <w:pPr>
              <w:spacing w:after="120"/>
              <w:jc w:val="both"/>
              <w:rPr>
                <w:b/>
              </w:rPr>
            </w:pPr>
            <w:r w:rsidRPr="009406B6">
              <w:rPr>
                <w:b/>
              </w:rPr>
              <w:t>Poskytnuté garance</w:t>
            </w:r>
          </w:p>
          <w:p w:rsidR="008B4E14" w:rsidRDefault="008B4E14" w:rsidP="00F41A5C">
            <w:pPr>
              <w:spacing w:after="120"/>
              <w:jc w:val="both"/>
            </w:pPr>
            <w:r w:rsidRPr="008A0D2A">
              <w:t xml:space="preserve">Okamžikem </w:t>
            </w:r>
            <w:r w:rsidR="009C78CD">
              <w:t xml:space="preserve">poskytnutí garance </w:t>
            </w:r>
            <w:r w:rsidRPr="008A0D2A">
              <w:t>se rozumí den poskytnutí písemného prohlášení ručitele věřiteli o ručení za závazky dlužníka vůči věřiteli (včetně podpisu avalu směnky), není-li dohodnuto jinak, podpisu záruční listiny, schválení zákona o</w:t>
            </w:r>
            <w:r w:rsidR="00FA7095">
              <w:t> </w:t>
            </w:r>
            <w:r w:rsidRPr="008A0D2A">
              <w:t>poskytnutí záruky Českou republikou.</w:t>
            </w:r>
            <w:r>
              <w:t xml:space="preserve"> Ve sloupci 5 se vykazuje rok, měsíc a den (DD. MM. RRRR), ve kterém došlo </w:t>
            </w:r>
            <w:r w:rsidR="00F05FF1">
              <w:t>k</w:t>
            </w:r>
            <w:r w:rsidR="00FE6307">
              <w:t> </w:t>
            </w:r>
            <w:r w:rsidR="00F05FF1">
              <w:t>poskytnutí garance</w:t>
            </w:r>
            <w:r>
              <w:t xml:space="preserve">. </w:t>
            </w:r>
          </w:p>
          <w:p w:rsidR="008B4E14" w:rsidRDefault="008B4E14" w:rsidP="00F41A5C">
            <w:pPr>
              <w:jc w:val="both"/>
            </w:pPr>
            <w:r w:rsidRPr="008A0D2A">
              <w:t>Hodnotou zajištěné pohledávky uváděnou ve sloupci 6 (resp. 6a a 6b) se rozumí výše zajištěné pohledávky k aktuálnímu či poslednímu vykazovanému dni, tj. 31. 12.</w:t>
            </w:r>
            <w:r>
              <w:t xml:space="preserve"> Jedná se o</w:t>
            </w:r>
            <w:r w:rsidR="009768C5">
              <w:t> </w:t>
            </w:r>
            <w:r>
              <w:t xml:space="preserve">nominální hodnotu zaručené pohledávky. </w:t>
            </w:r>
            <w:r w:rsidRPr="00707608">
              <w:t>V některých případech se může lišit od výše podmíněného závazku zaznamenaného na účtech v knize podrozvahových účtů, kde je</w:t>
            </w:r>
            <w:r w:rsidR="00F05FF1">
              <w:t xml:space="preserve"> podmíněný</w:t>
            </w:r>
            <w:r w:rsidRPr="00707608">
              <w:t xml:space="preserve"> závazek </w:t>
            </w:r>
            <w:r w:rsidR="00F05FF1">
              <w:t>vykázán v předpokládané výši plnění</w:t>
            </w:r>
            <w:r w:rsidRPr="00707608">
              <w:t>. Rozdíl tak může vzniknout v případě ručení za instrumenty  s diskontem či prémií, převážně dluhopisy (druh dluhového nástroje 2</w:t>
            </w:r>
            <w:r w:rsidR="00197B49">
              <w:t xml:space="preserve"> – viz sloupec 10</w:t>
            </w:r>
            <w:r w:rsidRPr="00707608">
              <w:t>). Na podrozvaze bude zachycena pouze část s alikvotně naběhlým/odečteným diskontem/prémií, kdežto v</w:t>
            </w:r>
            <w:r w:rsidR="00C25FF5">
              <w:t> tomto výkazu</w:t>
            </w:r>
            <w:r w:rsidRPr="00707608">
              <w:t xml:space="preserve"> se vykáže celá nominální hodnota podmíněného závazku.</w:t>
            </w:r>
            <w:r>
              <w:t xml:space="preserve"> Hodnotu pohledávky snižují úhrady garantovaného závazku ze strany dlužníka nebo případná prominutí dluhu nebo odpis pohledávky ze strany věřitele.</w:t>
            </w:r>
            <w:r w:rsidRPr="00B44D23">
              <w:t xml:space="preserve"> </w:t>
            </w:r>
            <w:r>
              <w:t xml:space="preserve">Dojde-li tedy k plné úhradě závazku, na který byla poskytnuta garance, dlužníkem v průběhu </w:t>
            </w:r>
            <w:r>
              <w:lastRenderedPageBreak/>
              <w:t>vykazovaného období, záruka přestává v okamžiku splacení existovat a garance se na konci roku ve sloupci 6 nevykazuje. V případě, že garance byla uplatněna (ručitel splácí závazek namísto dlužníka), je aktuální hodnota pohledávky ve sloupci 6 snižována také o tyto úhrady. V případě, že by nedošlo k žádným operacím mezi věřitelem a dlužníkem, nominální hodnota zajištěné pohledávky (sloupec 6) by byla vykázána ve výši původní zaručené pohledávky. V případě, že docházelo pouze k splátkám ze strany ručitele, pak se součet sloupců 6 a 9 rovná původní výši zaručené pohledávky.</w:t>
            </w:r>
          </w:p>
          <w:p w:rsidR="008B4E14" w:rsidRDefault="008B4E14" w:rsidP="00F41A5C">
            <w:pPr>
              <w:spacing w:before="120" w:after="120"/>
              <w:jc w:val="both"/>
            </w:pPr>
            <w:r>
              <w:t>Hodnota zajištěné pohledávky se dále člení na jistinu (sloupec 6a) a úrok (sloupec 6b), pokud je toto rozdělení v daném případě relevantní. V opačném případě se vyplňuje pouze sloupec 6.</w:t>
            </w:r>
          </w:p>
          <w:p w:rsidR="008B4E14" w:rsidRDefault="008B4E14" w:rsidP="00F41A5C">
            <w:pPr>
              <w:jc w:val="both"/>
            </w:pPr>
            <w:r>
              <w:t>Pokud je garance poskytnuta v cizí měně, provádí se přepočet stejným kurzem, jaký je použit pro dané období v účetnictví.</w:t>
            </w:r>
          </w:p>
        </w:tc>
      </w:tr>
      <w:tr w:rsidR="0065319B" w:rsidTr="008B4E14">
        <w:tc>
          <w:tcPr>
            <w:tcW w:w="0" w:type="auto"/>
          </w:tcPr>
          <w:p w:rsidR="008B4E14" w:rsidRPr="0065319B" w:rsidRDefault="0065319B" w:rsidP="00183048">
            <w:pPr>
              <w:jc w:val="center"/>
              <w:rPr>
                <w:b/>
              </w:rPr>
            </w:pPr>
            <w:r w:rsidRPr="0065319B">
              <w:rPr>
                <w:b/>
              </w:rPr>
              <w:lastRenderedPageBreak/>
              <w:t>Sloup</w:t>
            </w:r>
            <w:r w:rsidR="00183048">
              <w:rPr>
                <w:b/>
              </w:rPr>
              <w:t>ce</w:t>
            </w:r>
            <w:r w:rsidR="00023C7E">
              <w:rPr>
                <w:b/>
              </w:rPr>
              <w:t xml:space="preserve"> 7 - 9</w:t>
            </w:r>
          </w:p>
        </w:tc>
        <w:tc>
          <w:tcPr>
            <w:tcW w:w="0" w:type="auto"/>
          </w:tcPr>
          <w:p w:rsidR="008B4E14" w:rsidRDefault="0065319B" w:rsidP="00E44E85">
            <w:pPr>
              <w:spacing w:after="120"/>
              <w:jc w:val="both"/>
              <w:rPr>
                <w:b/>
              </w:rPr>
            </w:pPr>
            <w:r w:rsidRPr="0065319B">
              <w:rPr>
                <w:b/>
              </w:rPr>
              <w:t>Realizace záruky</w:t>
            </w:r>
          </w:p>
          <w:p w:rsidR="00F41A5C" w:rsidRDefault="00F41A5C" w:rsidP="00F41A5C">
            <w:pPr>
              <w:jc w:val="both"/>
            </w:pPr>
            <w:r>
              <w:t xml:space="preserve">Sloupce 7-9 jsou vyhrazeny pro případ, kdy došlo k plnění ručitelem namísto původního dlužníka. </w:t>
            </w:r>
            <w:r w:rsidRPr="00D41EC2">
              <w:t xml:space="preserve">Plněním se rozumí realizace garance, </w:t>
            </w:r>
            <w:r>
              <w:t>tedy</w:t>
            </w:r>
            <w:r w:rsidRPr="00D41EC2">
              <w:t xml:space="preserve"> </w:t>
            </w:r>
            <w:r w:rsidRPr="007B7CA8">
              <w:t>úhrada dluhu či jeho části</w:t>
            </w:r>
            <w:r>
              <w:t xml:space="preserve"> </w:t>
            </w:r>
            <w:r w:rsidRPr="00D41EC2">
              <w:t xml:space="preserve">za původního dlužníka z titulu poskytnuté garance, </w:t>
            </w:r>
            <w:r>
              <w:t xml:space="preserve">jelikož </w:t>
            </w:r>
            <w:r w:rsidRPr="00D41EC2">
              <w:t xml:space="preserve">dlužník není schopen </w:t>
            </w:r>
            <w:r>
              <w:t xml:space="preserve">svůj dluh splácet. Pokud prozatím nedošlo k realizaci poskytnuté garance, tyto sloupce se </w:t>
            </w:r>
            <w:r w:rsidRPr="00CC3339">
              <w:t>nevyplňují.</w:t>
            </w:r>
          </w:p>
          <w:p w:rsidR="00F41A5C" w:rsidRDefault="00F41A5C" w:rsidP="00CC2763">
            <w:pPr>
              <w:spacing w:before="120" w:after="120"/>
              <w:jc w:val="both"/>
            </w:pPr>
            <w:r w:rsidRPr="008A0D2A">
              <w:t>Ve sloupcích 7 a 8 se zaznamenávají všechna jednotlivá plnění vyplývající z garance, která byla uskutečněna v daném roce, tj. datum plnění (ve formátu DD. MM. RRRR) a výše plnění ručitelem v daném roce, ve sloupci 9 pak celková výše plnění ručitelem od okamžiku realizace záruky.</w:t>
            </w:r>
            <w:r>
              <w:t xml:space="preserve"> P</w:t>
            </w:r>
            <w:r w:rsidRPr="00E1722D">
              <w:t>ro potřeby výkaznictví dle standardů vládní finanční statistiky</w:t>
            </w:r>
            <w:r>
              <w:t xml:space="preserve"> je</w:t>
            </w:r>
            <w:r w:rsidRPr="00E1722D">
              <w:t xml:space="preserve"> podstatn</w:t>
            </w:r>
            <w:r>
              <w:t>ý</w:t>
            </w:r>
            <w:r w:rsidRPr="00E1722D">
              <w:t xml:space="preserve"> i </w:t>
            </w:r>
            <w:r>
              <w:t>údaj</w:t>
            </w:r>
            <w:r w:rsidRPr="00E1722D">
              <w:t xml:space="preserve"> o</w:t>
            </w:r>
            <w:r>
              <w:t> </w:t>
            </w:r>
            <w:r w:rsidRPr="00E1722D">
              <w:t xml:space="preserve">počtu plnění ze strany ručitele, </w:t>
            </w:r>
            <w:r>
              <w:t xml:space="preserve">proto se vykazují všechny </w:t>
            </w:r>
            <w:r w:rsidRPr="00E1722D">
              <w:t>jednotlivé platby</w:t>
            </w:r>
            <w:r>
              <w:t xml:space="preserve"> realizované v průběhu vykazovaného období</w:t>
            </w:r>
            <w:r w:rsidRPr="00E1722D">
              <w:t xml:space="preserve"> s tím, že ve sloupci </w:t>
            </w:r>
            <w:r>
              <w:t>9</w:t>
            </w:r>
            <w:r w:rsidRPr="00E1722D">
              <w:t xml:space="preserve"> bude uveden</w:t>
            </w:r>
            <w:r>
              <w:t>á</w:t>
            </w:r>
            <w:r w:rsidRPr="00E1722D">
              <w:t xml:space="preserve"> částka postupně zvyšov</w:t>
            </w:r>
            <w:r>
              <w:t>á</w:t>
            </w:r>
            <w:r w:rsidRPr="00E1722D">
              <w:t>n</w:t>
            </w:r>
            <w:r>
              <w:t>a</w:t>
            </w:r>
            <w:r w:rsidRPr="00E1722D">
              <w:t xml:space="preserve"> o</w:t>
            </w:r>
            <w:r>
              <w:t> </w:t>
            </w:r>
            <w:r w:rsidRPr="00E1722D">
              <w:t>jednotlivé úhrady.</w:t>
            </w:r>
            <w:r>
              <w:t xml:space="preserve"> Jsou tak tedy vykazována veškerá plnění, která nastala od počátku vykazovaného období (roku) do okamžiku sestavení výkazu. </w:t>
            </w:r>
          </w:p>
          <w:p w:rsidR="00F41A5C" w:rsidRPr="0065319B" w:rsidRDefault="00F41A5C" w:rsidP="00F41A5C">
            <w:pPr>
              <w:jc w:val="both"/>
              <w:rPr>
                <w:b/>
              </w:rPr>
            </w:pPr>
            <w:r>
              <w:t>V případě úplného</w:t>
            </w:r>
            <w:r w:rsidRPr="00743F6F">
              <w:t xml:space="preserve"> splacení</w:t>
            </w:r>
            <w:r>
              <w:t xml:space="preserve"> závazku</w:t>
            </w:r>
            <w:r w:rsidRPr="00743F6F">
              <w:t xml:space="preserve"> ze strany ručitele</w:t>
            </w:r>
            <w:r>
              <w:t xml:space="preserve"> před koncem vykazovaného období jsou údaje</w:t>
            </w:r>
            <w:r w:rsidRPr="00743F6F">
              <w:t xml:space="preserve"> </w:t>
            </w:r>
            <w:r>
              <w:t>o plněních ručitele zaznamenávány ve výkaze k 31. 12</w:t>
            </w:r>
            <w:r w:rsidRPr="00743F6F">
              <w:t>.</w:t>
            </w:r>
            <w:r>
              <w:t xml:space="preserve"> </w:t>
            </w:r>
            <w:r w:rsidRPr="00743F6F">
              <w:t>V novém období již vykazován</w:t>
            </w:r>
            <w:r>
              <w:t>y</w:t>
            </w:r>
            <w:r w:rsidRPr="00743F6F">
              <w:t xml:space="preserve"> nebud</w:t>
            </w:r>
            <w:r>
              <w:t>ou.</w:t>
            </w:r>
          </w:p>
        </w:tc>
      </w:tr>
      <w:tr w:rsidR="0065319B" w:rsidTr="008B4E14">
        <w:tc>
          <w:tcPr>
            <w:tcW w:w="0" w:type="auto"/>
          </w:tcPr>
          <w:p w:rsidR="008B4E14" w:rsidRPr="001803F0" w:rsidRDefault="001803F0" w:rsidP="001803F0">
            <w:pPr>
              <w:jc w:val="center"/>
              <w:rPr>
                <w:b/>
              </w:rPr>
            </w:pPr>
            <w:r w:rsidRPr="001803F0">
              <w:rPr>
                <w:b/>
              </w:rPr>
              <w:t>Sloupec 10</w:t>
            </w:r>
          </w:p>
        </w:tc>
        <w:tc>
          <w:tcPr>
            <w:tcW w:w="0" w:type="auto"/>
          </w:tcPr>
          <w:p w:rsidR="008B4E14" w:rsidRDefault="001803F0" w:rsidP="006164E6">
            <w:pPr>
              <w:rPr>
                <w:b/>
              </w:rPr>
            </w:pPr>
            <w:r w:rsidRPr="001803F0">
              <w:rPr>
                <w:b/>
              </w:rPr>
              <w:t>Druh dluhového nástroje</w:t>
            </w:r>
          </w:p>
          <w:p w:rsidR="00C9153A" w:rsidRDefault="00C9153A" w:rsidP="00C9153A">
            <w:pPr>
              <w:spacing w:before="120" w:after="120"/>
              <w:jc w:val="both"/>
            </w:pPr>
            <w:r>
              <w:t>Kódem 1-4 se identifikuje druh dluhového finančního nástroje, na který byla garance poskytnuta.</w:t>
            </w:r>
          </w:p>
          <w:p w:rsidR="00C9153A" w:rsidRDefault="00C9153A" w:rsidP="00C9153A">
            <w:pPr>
              <w:jc w:val="both"/>
            </w:pPr>
            <w:r w:rsidRPr="00496285">
              <w:t>Účetní jednotka uvede číslo dle následujícího výčtu:</w:t>
            </w:r>
          </w:p>
          <w:p w:rsidR="00C9153A" w:rsidRDefault="00C9153A" w:rsidP="00C9153A">
            <w:pPr>
              <w:jc w:val="both"/>
            </w:pPr>
            <w:r w:rsidRPr="00496285">
              <w:t>1 - Půjčky (zápůjčky), úvěry, návratné finanční výpomoci,</w:t>
            </w:r>
          </w:p>
          <w:p w:rsidR="00C9153A" w:rsidRDefault="00C9153A" w:rsidP="00C9153A">
            <w:pPr>
              <w:jc w:val="both"/>
            </w:pPr>
            <w:r w:rsidRPr="00496285">
              <w:t>2 - Dluhové cenné papíry (včetně směnek),</w:t>
            </w:r>
          </w:p>
          <w:p w:rsidR="00C9153A" w:rsidRDefault="00C9153A" w:rsidP="00C9153A">
            <w:pPr>
              <w:jc w:val="both"/>
            </w:pPr>
            <w:r w:rsidRPr="00496285">
              <w:t>3 - Přijaté vklady,</w:t>
            </w:r>
          </w:p>
          <w:p w:rsidR="001803F0" w:rsidRPr="001803F0" w:rsidRDefault="00C9153A" w:rsidP="00C9153A">
            <w:pPr>
              <w:keepNext/>
              <w:jc w:val="both"/>
              <w:rPr>
                <w:b/>
              </w:rPr>
            </w:pPr>
            <w:r w:rsidRPr="00496285">
              <w:t>4 - Ostatní dlouhodobé závazky.</w:t>
            </w:r>
          </w:p>
        </w:tc>
      </w:tr>
      <w:tr w:rsidR="0065319B" w:rsidTr="008B4E14">
        <w:tc>
          <w:tcPr>
            <w:tcW w:w="0" w:type="auto"/>
          </w:tcPr>
          <w:p w:rsidR="008B4E14" w:rsidRDefault="0025110D" w:rsidP="0025110D">
            <w:pPr>
              <w:jc w:val="center"/>
            </w:pPr>
            <w:r>
              <w:rPr>
                <w:b/>
              </w:rPr>
              <w:t>Sloupec 11</w:t>
            </w:r>
          </w:p>
        </w:tc>
        <w:tc>
          <w:tcPr>
            <w:tcW w:w="0" w:type="auto"/>
          </w:tcPr>
          <w:p w:rsidR="008B4E14" w:rsidRDefault="0025110D" w:rsidP="00E44E85">
            <w:pPr>
              <w:spacing w:after="120"/>
              <w:rPr>
                <w:b/>
              </w:rPr>
            </w:pPr>
            <w:r w:rsidRPr="0025110D">
              <w:rPr>
                <w:b/>
              </w:rPr>
              <w:t>Předmět ručení</w:t>
            </w:r>
          </w:p>
          <w:p w:rsidR="0025110D" w:rsidRPr="0025110D" w:rsidRDefault="0025110D" w:rsidP="00FA7095">
            <w:pPr>
              <w:jc w:val="both"/>
              <w:rPr>
                <w:b/>
              </w:rPr>
            </w:pPr>
            <w:r>
              <w:t>Jedná se o i</w:t>
            </w:r>
            <w:r w:rsidRPr="00262709">
              <w:t>dentifikac</w:t>
            </w:r>
            <w:r>
              <w:t>i</w:t>
            </w:r>
            <w:r w:rsidRPr="00262709">
              <w:t xml:space="preserve"> záruky dle vlastního identifikátoru účetní jednotky. Jedná se o</w:t>
            </w:r>
            <w:r w:rsidR="00FA7095">
              <w:t> </w:t>
            </w:r>
            <w:r w:rsidRPr="00262709">
              <w:t>nepovinnou vlastní poznámku sloužící pro jednoznačné identifikování dané záruky/ručení účetní jednotkou.</w:t>
            </w:r>
          </w:p>
        </w:tc>
      </w:tr>
    </w:tbl>
    <w:p w:rsidR="001A0B10" w:rsidRDefault="001A0B10" w:rsidP="006D1913">
      <w:pPr>
        <w:jc w:val="both"/>
      </w:pPr>
    </w:p>
    <w:p w:rsidR="006D1913" w:rsidRPr="00E41C03" w:rsidRDefault="006D1913" w:rsidP="006D1913">
      <w:pPr>
        <w:jc w:val="both"/>
        <w:rPr>
          <w:b/>
        </w:rPr>
      </w:pPr>
      <w:r w:rsidRPr="00E41C03">
        <w:rPr>
          <w:b/>
        </w:rPr>
        <w:t xml:space="preserve">Pozn.: </w:t>
      </w:r>
      <w:r w:rsidR="00A321DD" w:rsidRPr="00E41C03">
        <w:rPr>
          <w:b/>
        </w:rPr>
        <w:t>Dotčené osoby, které jsou zároveň vybranými účetní</w:t>
      </w:r>
      <w:r w:rsidR="00AE7BE5">
        <w:rPr>
          <w:b/>
        </w:rPr>
        <w:t>mi</w:t>
      </w:r>
      <w:bookmarkStart w:id="20" w:name="_GoBack"/>
      <w:bookmarkEnd w:id="20"/>
      <w:r w:rsidR="00A321DD" w:rsidRPr="00E41C03">
        <w:rPr>
          <w:b/>
        </w:rPr>
        <w:t xml:space="preserve"> jednotkami podle právního řádu ČR, zasílají z technického pohledu tento výkaz jako součást Přílohy účetní závěrky. Technický vzor výkazu je tedy součástí XSD výkazu Příloha v rámci XSD balíčku.</w:t>
      </w:r>
      <w:r w:rsidR="00C64FDB" w:rsidRPr="00E41C03">
        <w:rPr>
          <w:b/>
        </w:rPr>
        <w:t xml:space="preserve"> Bližší postup bude uveden v Technickém manuálu CSÚIS</w:t>
      </w:r>
      <w:r w:rsidR="00831DEA" w:rsidRPr="00E41C03">
        <w:rPr>
          <w:b/>
        </w:rPr>
        <w:t>.</w:t>
      </w:r>
    </w:p>
    <w:p w:rsidR="006D1913" w:rsidRDefault="006D1913" w:rsidP="006D1913">
      <w:pPr>
        <w:rPr>
          <w:b/>
        </w:rPr>
        <w:sectPr w:rsidR="006D1913" w:rsidSect="007A6A88">
          <w:pgSz w:w="11906" w:h="16838"/>
          <w:pgMar w:top="1418" w:right="1304" w:bottom="1418" w:left="1304" w:header="709" w:footer="709" w:gutter="0"/>
          <w:cols w:space="708"/>
          <w:docGrid w:linePitch="360"/>
        </w:sectPr>
      </w:pPr>
    </w:p>
    <w:p w:rsidR="006164E6" w:rsidRPr="00657CB7" w:rsidRDefault="00F719F6" w:rsidP="00A32933">
      <w:pPr>
        <w:pStyle w:val="Nadpis1"/>
        <w:numPr>
          <w:ilvl w:val="0"/>
          <w:numId w:val="9"/>
        </w:numPr>
        <w:spacing w:before="120"/>
        <w:ind w:left="357" w:hanging="357"/>
        <w:rPr>
          <w:rFonts w:eastAsia="Times New Roman"/>
          <w:lang w:eastAsia="cs-CZ"/>
        </w:rPr>
      </w:pPr>
      <w:bookmarkStart w:id="21" w:name="_Toc483906429"/>
      <w:r w:rsidRPr="00657CB7">
        <w:rPr>
          <w:rFonts w:eastAsia="Times New Roman"/>
          <w:lang w:eastAsia="cs-CZ"/>
        </w:rPr>
        <w:lastRenderedPageBreak/>
        <w:t>Ilustrativní příklad</w:t>
      </w:r>
      <w:bookmarkEnd w:id="21"/>
    </w:p>
    <w:p w:rsidR="002544E8" w:rsidRPr="002544E8" w:rsidRDefault="002544E8" w:rsidP="002544E8">
      <w:pPr>
        <w:pStyle w:val="Odstavecseseznamem"/>
        <w:keepNext/>
        <w:numPr>
          <w:ilvl w:val="0"/>
          <w:numId w:val="11"/>
        </w:numPr>
        <w:spacing w:after="0" w:line="240" w:lineRule="auto"/>
        <w:ind w:left="426" w:hanging="142"/>
        <w:jc w:val="both"/>
        <w:rPr>
          <w:rFonts w:ascii="Calibri" w:eastAsia="Times New Roman" w:hAnsi="Calibri" w:cs="Calibri"/>
          <w:i/>
          <w:color w:val="000000"/>
          <w:lang w:eastAsia="cs-CZ"/>
        </w:rPr>
      </w:pPr>
      <w:r w:rsidRPr="002544E8">
        <w:rPr>
          <w:rFonts w:ascii="Calibri" w:eastAsia="Times New Roman" w:hAnsi="Calibri" w:cs="Calibri"/>
          <w:i/>
          <w:color w:val="000000"/>
          <w:lang w:eastAsia="cs-CZ"/>
        </w:rPr>
        <w:t>Modelová účetní jednotka (ručitel, IČO 9999) poskytla garanci na 5letý dluhopis v nominální hodnotě 100 účetní jednotc</w:t>
      </w:r>
      <w:r w:rsidR="0041264F">
        <w:rPr>
          <w:rFonts w:ascii="Calibri" w:eastAsia="Times New Roman" w:hAnsi="Calibri" w:cs="Calibri"/>
          <w:i/>
          <w:color w:val="000000"/>
          <w:lang w:eastAsia="cs-CZ"/>
        </w:rPr>
        <w:t>e D. Kupon (5 %) nabíhá ročně a </w:t>
      </w:r>
      <w:r w:rsidRPr="002544E8">
        <w:rPr>
          <w:rFonts w:ascii="Calibri" w:eastAsia="Times New Roman" w:hAnsi="Calibri" w:cs="Calibri"/>
          <w:i/>
          <w:color w:val="000000"/>
          <w:lang w:eastAsia="cs-CZ"/>
        </w:rPr>
        <w:t xml:space="preserve">splácí se 1x ročně k 31. 12. Emitent dluhopisu se po 2 vyplacených kuponech dostal do úpadku a další platby spojené s dluhopisy dle původního rozpisu bude hradit ručitel. </w:t>
      </w:r>
    </w:p>
    <w:p w:rsidR="002544E8" w:rsidRPr="002544E8" w:rsidRDefault="002544E8" w:rsidP="002544E8">
      <w:pPr>
        <w:pStyle w:val="Odstavecseseznamem"/>
        <w:keepNext/>
        <w:numPr>
          <w:ilvl w:val="0"/>
          <w:numId w:val="11"/>
        </w:numPr>
        <w:spacing w:after="0" w:line="240" w:lineRule="auto"/>
        <w:ind w:left="426" w:hanging="142"/>
        <w:jc w:val="both"/>
        <w:rPr>
          <w:rFonts w:ascii="Calibri" w:eastAsia="Times New Roman" w:hAnsi="Calibri" w:cs="Calibri"/>
          <w:i/>
          <w:color w:val="000000"/>
          <w:lang w:eastAsia="cs-CZ"/>
        </w:rPr>
      </w:pPr>
      <w:r w:rsidRPr="002544E8">
        <w:rPr>
          <w:rFonts w:ascii="Calibri" w:eastAsia="Times New Roman" w:hAnsi="Calibri" w:cs="Calibri"/>
          <w:i/>
          <w:color w:val="000000"/>
          <w:lang w:eastAsia="cs-CZ"/>
        </w:rPr>
        <w:t>Dále byla modelovou účetní jednotkou poskytnuta záruka na půjčku ve výši 10 000 (v r. 2015) na 2 roky s úrokovou mírou 7 % p. a., kterou původní dlužník (účetní jednotka F) nesplatil, a ze strany ručitele (modelové účetní jednotky) proběhly v roce 2017 celkem 2 splátky namísto dlužníka s tím, že úrok byl uhrazen s první splátkou a druhou splátkou byl celý původní dluh uhrazen. S věřitelem existovala dohoda, že se úročení po uplynutí 2 let zastaví.</w:t>
      </w:r>
    </w:p>
    <w:p w:rsidR="002544E8" w:rsidRPr="002544E8" w:rsidRDefault="002544E8" w:rsidP="002544E8">
      <w:pPr>
        <w:pStyle w:val="Odstavecseseznamem"/>
        <w:keepNext/>
        <w:numPr>
          <w:ilvl w:val="0"/>
          <w:numId w:val="11"/>
        </w:numPr>
        <w:spacing w:after="0" w:line="240" w:lineRule="auto"/>
        <w:ind w:left="426" w:hanging="142"/>
        <w:jc w:val="both"/>
        <w:rPr>
          <w:rFonts w:ascii="Calibri" w:eastAsia="Times New Roman" w:hAnsi="Calibri" w:cs="Calibri"/>
          <w:i/>
          <w:color w:val="000000"/>
          <w:lang w:eastAsia="cs-CZ"/>
        </w:rPr>
      </w:pPr>
      <w:r w:rsidRPr="002544E8">
        <w:rPr>
          <w:rFonts w:ascii="Calibri" w:eastAsia="Times New Roman" w:hAnsi="Calibri" w:cs="Calibri"/>
          <w:i/>
          <w:color w:val="000000"/>
          <w:lang w:eastAsia="cs-CZ"/>
        </w:rPr>
        <w:t xml:space="preserve">Pozn.: V příkladu jsou výkazy sestaveny zpětně z ilustrativních důvodů, aby byla garance ukázána v průběhu jejího zachycování. </w:t>
      </w:r>
    </w:p>
    <w:p w:rsidR="002544E8" w:rsidRPr="002544E8" w:rsidRDefault="002544E8" w:rsidP="002544E8">
      <w:pPr>
        <w:pStyle w:val="Odstavecseseznamem"/>
        <w:keepNext/>
        <w:spacing w:after="0" w:line="240" w:lineRule="auto"/>
        <w:ind w:left="1080"/>
        <w:jc w:val="both"/>
        <w:rPr>
          <w:rFonts w:ascii="Calibri" w:eastAsia="Times New Roman" w:hAnsi="Calibri" w:cs="Calibri"/>
          <w:i/>
          <w:color w:val="000000"/>
          <w:sz w:val="18"/>
          <w:szCs w:val="18"/>
          <w:lang w:eastAsia="cs-CZ"/>
        </w:rPr>
      </w:pPr>
    </w:p>
    <w:p w:rsidR="00770FE3" w:rsidRDefault="002544E8" w:rsidP="002544E8">
      <w:pPr>
        <w:pStyle w:val="Odstavecseseznamem"/>
        <w:ind w:left="360"/>
        <w:jc w:val="both"/>
        <w:rPr>
          <w:i/>
        </w:rPr>
        <w:sectPr w:rsidR="00770FE3" w:rsidSect="00A32933">
          <w:pgSz w:w="16838" w:h="11906" w:orient="landscape"/>
          <w:pgMar w:top="1304" w:right="1418" w:bottom="1304" w:left="1418" w:header="709" w:footer="709" w:gutter="0"/>
          <w:cols w:space="708"/>
          <w:docGrid w:linePitch="360"/>
        </w:sectPr>
      </w:pPr>
      <w:r>
        <w:rPr>
          <w:noProof/>
          <w:lang w:eastAsia="cs-CZ"/>
        </w:rPr>
        <w:drawing>
          <wp:inline distT="0" distB="0" distL="0" distR="0">
            <wp:extent cx="8562975" cy="42100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63276" cy="4210198"/>
                    </a:xfrm>
                    <a:prstGeom prst="rect">
                      <a:avLst/>
                    </a:prstGeom>
                    <a:noFill/>
                    <a:ln>
                      <a:noFill/>
                    </a:ln>
                  </pic:spPr>
                </pic:pic>
              </a:graphicData>
            </a:graphic>
          </wp:inline>
        </w:drawing>
      </w:r>
    </w:p>
    <w:p w:rsidR="006164E6" w:rsidRDefault="006164E6" w:rsidP="0069033A">
      <w:pPr>
        <w:pStyle w:val="Nzev"/>
      </w:pPr>
      <w:bookmarkStart w:id="22" w:name="_Toc483906430"/>
      <w:r>
        <w:lastRenderedPageBreak/>
        <w:t xml:space="preserve">Metodický pokyn k </w:t>
      </w:r>
      <w:r w:rsidRPr="006164E6">
        <w:t>Výkaz</w:t>
      </w:r>
      <w:r>
        <w:t>u</w:t>
      </w:r>
      <w:r w:rsidRPr="006164E6">
        <w:t xml:space="preserve"> o projektech partnerství veřejného a soukromého sektor</w:t>
      </w:r>
      <w:r>
        <w:t>u</w:t>
      </w:r>
      <w:bookmarkEnd w:id="22"/>
    </w:p>
    <w:p w:rsidR="007B31DD" w:rsidRDefault="007B31DD" w:rsidP="005E1DC0">
      <w:pPr>
        <w:pStyle w:val="Nadpis1"/>
        <w:numPr>
          <w:ilvl w:val="0"/>
          <w:numId w:val="10"/>
        </w:numPr>
        <w:spacing w:before="360" w:after="120"/>
        <w:ind w:left="425" w:hanging="425"/>
      </w:pPr>
      <w:bookmarkStart w:id="23" w:name="_Toc483906431"/>
      <w:r>
        <w:t>Základní informace</w:t>
      </w:r>
      <w:bookmarkEnd w:id="23"/>
    </w:p>
    <w:p w:rsidR="005502CE" w:rsidRPr="005502CE" w:rsidRDefault="005502CE" w:rsidP="001E5F25">
      <w:pPr>
        <w:spacing w:after="120"/>
        <w:jc w:val="both"/>
      </w:pPr>
      <w:r w:rsidRPr="005502CE">
        <w:t>Ministerstvo financí vydává metodický pokyn k</w:t>
      </w:r>
      <w:r w:rsidR="008B25AE">
        <w:t xml:space="preserve"> </w:t>
      </w:r>
      <w:r w:rsidRPr="005502CE">
        <w:t xml:space="preserve">naplnění </w:t>
      </w:r>
      <w:r w:rsidRPr="005502CE">
        <w:rPr>
          <w:b/>
        </w:rPr>
        <w:t>Výkazu o projektech partnerství veřejného a soukromého sektoru</w:t>
      </w:r>
      <w:r w:rsidRPr="005502CE">
        <w:t xml:space="preserve"> (dále jen „výkaz“), jehož závazný vzor je uveden v</w:t>
      </w:r>
      <w:r w:rsidR="00BD4672">
        <w:t xml:space="preserve"> </w:t>
      </w:r>
      <w:r w:rsidRPr="005502CE">
        <w:t xml:space="preserve">Příloze č. </w:t>
      </w:r>
      <w:r>
        <w:t>3</w:t>
      </w:r>
      <w:r w:rsidRPr="005502CE">
        <w:t xml:space="preserve"> vyhlášky č. …/2017 Sb., </w:t>
      </w:r>
      <w:r w:rsidR="000C5EB0" w:rsidRPr="0082754A">
        <w:t>k provedení některých ustanovení zákona o sběru vybraných údajů pro účely monitorování a řízení veřejných financí</w:t>
      </w:r>
      <w:r w:rsidRPr="005502CE">
        <w:t xml:space="preserve">. </w:t>
      </w:r>
    </w:p>
    <w:p w:rsidR="00C86F15" w:rsidRDefault="005502CE" w:rsidP="001E5F25">
      <w:pPr>
        <w:spacing w:after="120"/>
        <w:jc w:val="both"/>
      </w:pPr>
      <w:r w:rsidRPr="005502CE">
        <w:t>Výkaz</w:t>
      </w:r>
      <w:r w:rsidR="00C86F15" w:rsidRPr="005502CE">
        <w:t xml:space="preserve"> se</w:t>
      </w:r>
      <w:r w:rsidR="00C86F15">
        <w:t xml:space="preserve"> zavádí z</w:t>
      </w:r>
      <w:r w:rsidR="00750C5B">
        <w:t>a</w:t>
      </w:r>
      <w:r w:rsidR="00C86F15">
        <w:t xml:space="preserve"> </w:t>
      </w:r>
      <w:r w:rsidR="00750C5B">
        <w:t>účelem</w:t>
      </w:r>
      <w:r w:rsidR="00C86F15">
        <w:t xml:space="preserve"> získávání dodatečných informací potřebných k naplnění po</w:t>
      </w:r>
      <w:r w:rsidR="007B0B6E">
        <w:t>vinností ze</w:t>
      </w:r>
      <w:r w:rsidR="00C86F15">
        <w:t xml:space="preserve"> směrnice Rady 2011/85/EU o požadavcích na rozpočtové rámce členských států a Evropské komise v</w:t>
      </w:r>
      <w:r w:rsidR="00EE20C4">
        <w:t> </w:t>
      </w:r>
      <w:r w:rsidR="00C86F15">
        <w:t>rámci notifikace vládního deficitu a dluhu</w:t>
      </w:r>
      <w:r w:rsidR="00CD2809">
        <w:t xml:space="preserve"> podle nařízení </w:t>
      </w:r>
      <w:r w:rsidR="00C35DFD" w:rsidRPr="00C35DFD">
        <w:t>Rady (ES) 479/2009 o</w:t>
      </w:r>
      <w:r w:rsidR="00FE53C9">
        <w:t xml:space="preserve"> </w:t>
      </w:r>
      <w:r w:rsidR="00C35DFD" w:rsidRPr="00C35DFD">
        <w:t>použití Protokolu o</w:t>
      </w:r>
      <w:r w:rsidR="00EE20C4">
        <w:t> </w:t>
      </w:r>
      <w:r w:rsidR="00C35DFD" w:rsidRPr="00C35DFD">
        <w:t>postupu při nadměrném schodku, připojeného ke Smlouvě o založení Evropského společenství</w:t>
      </w:r>
      <w:r w:rsidR="00C86F15">
        <w:t xml:space="preserve">. </w:t>
      </w:r>
      <w:r w:rsidR="005F62B5">
        <w:t>I</w:t>
      </w:r>
      <w:r w:rsidR="00C86F15">
        <w:t>nformace slouží pro správné zaznamenání transakcí dle národní metodiky i</w:t>
      </w:r>
      <w:r w:rsidR="0022760D">
        <w:t> </w:t>
      </w:r>
      <w:r w:rsidR="00C86F15">
        <w:t xml:space="preserve">mezinárodních metodik (ESA, GFS) </w:t>
      </w:r>
      <w:r w:rsidR="0022760D">
        <w:t xml:space="preserve">a ke </w:t>
      </w:r>
      <w:r w:rsidR="00C86F15">
        <w:t>sledování stavu a vývoje veřejných financí.</w:t>
      </w:r>
    </w:p>
    <w:p w:rsidR="00624903" w:rsidRDefault="00C86F15" w:rsidP="001E5F25">
      <w:pPr>
        <w:spacing w:after="120"/>
        <w:jc w:val="both"/>
      </w:pPr>
      <w:r>
        <w:t xml:space="preserve">Cílem </w:t>
      </w:r>
      <w:r w:rsidR="00DB0EC6">
        <w:t>výkazu</w:t>
      </w:r>
      <w:r>
        <w:t xml:space="preserve"> </w:t>
      </w:r>
      <w:r w:rsidR="0084140A">
        <w:t xml:space="preserve">s roční periodicitou předkládání </w:t>
      </w:r>
      <w:r>
        <w:t>je zajištění údajů o potenciálních (resp.</w:t>
      </w:r>
      <w:r w:rsidR="00BD4672">
        <w:t> </w:t>
      </w:r>
      <w:r>
        <w:t>podmíněných) závazcích sektoru vládních institucí</w:t>
      </w:r>
      <w:r w:rsidR="001B665E">
        <w:t>,</w:t>
      </w:r>
      <w:r>
        <w:rPr>
          <w:rStyle w:val="Znakapoznpodarou"/>
        </w:rPr>
        <w:footnoteReference w:id="13"/>
      </w:r>
      <w:r>
        <w:t xml:space="preserve"> které jsou sledovány a vykazován</w:t>
      </w:r>
      <w:r w:rsidR="00B61400">
        <w:t>y jako rizika veřejných financí</w:t>
      </w:r>
      <w:r>
        <w:t>.</w:t>
      </w:r>
    </w:p>
    <w:p w:rsidR="00624903" w:rsidRDefault="00624903" w:rsidP="00FA7095">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BE5F1" w:themeFill="accent1" w:themeFillTint="33"/>
        <w:spacing w:after="120"/>
        <w:jc w:val="both"/>
      </w:pPr>
      <w:r w:rsidRPr="0038016F">
        <w:t>Institucionální sektor vládních institucí podle metodiky ESA 2010 je ekvivalentní se sektorem veřejných institucí podle zákona</w:t>
      </w:r>
      <w:r>
        <w:t xml:space="preserve"> č. 25/2017 Sb., </w:t>
      </w:r>
      <w:r w:rsidRPr="00433762">
        <w:t>o sběru vybraných údajů pro účely monitorování a řízení veřejných financí</w:t>
      </w:r>
      <w:r>
        <w:t>,</w:t>
      </w:r>
      <w:r w:rsidRPr="0038016F">
        <w:t xml:space="preserve"> a zákona č. 23/2017 Sb., o pravidlech rozpočtové odpovědnosti</w:t>
      </w:r>
      <w:r>
        <w:t>.</w:t>
      </w:r>
    </w:p>
    <w:p w:rsidR="00C86F15" w:rsidRDefault="005F6F01" w:rsidP="001E5F25">
      <w:pPr>
        <w:spacing w:after="120"/>
        <w:jc w:val="both"/>
      </w:pPr>
      <w:r>
        <w:t xml:space="preserve"> </w:t>
      </w:r>
      <w:r w:rsidR="00013208" w:rsidRPr="00013208">
        <w:t xml:space="preserve">Sledování vztahů vzniklých ze smluv </w:t>
      </w:r>
      <w:r w:rsidR="00013208">
        <w:t xml:space="preserve">k projektům </w:t>
      </w:r>
      <w:r w:rsidR="00013208" w:rsidRPr="006164E6">
        <w:t>partnerství veřejného a soukromého sektor</w:t>
      </w:r>
      <w:r w:rsidR="00013208">
        <w:t xml:space="preserve">u (PPP projektům) </w:t>
      </w:r>
      <w:r w:rsidR="00013208" w:rsidRPr="00013208">
        <w:t xml:space="preserve">včetně analýzy jednotlivých rizik má zachytit implicitní dluhy vládních institucí, pokud nejsou aktiva </w:t>
      </w:r>
      <w:r w:rsidR="00013208">
        <w:t>na základě rozhodnutí Českého statistického úřadu</w:t>
      </w:r>
      <w:r w:rsidR="00D3283F">
        <w:t xml:space="preserve"> (ČSÚ)</w:t>
      </w:r>
      <w:r w:rsidR="00013208">
        <w:t xml:space="preserve"> </w:t>
      </w:r>
      <w:r w:rsidR="00013208" w:rsidRPr="00013208">
        <w:t>za</w:t>
      </w:r>
      <w:r w:rsidR="00013208">
        <w:t>řazena</w:t>
      </w:r>
      <w:r w:rsidR="00013208" w:rsidRPr="00013208">
        <w:t xml:space="preserve"> </w:t>
      </w:r>
      <w:r w:rsidR="00013208">
        <w:t xml:space="preserve">do </w:t>
      </w:r>
      <w:r w:rsidR="00013208" w:rsidRPr="00013208">
        <w:t>rozva</w:t>
      </w:r>
      <w:r w:rsidR="00013208">
        <w:t>hy sektoru vládních institucí</w:t>
      </w:r>
      <w:r w:rsidR="00AF2B9F">
        <w:rPr>
          <w:rStyle w:val="Znakapoznpodarou"/>
        </w:rPr>
        <w:footnoteReference w:id="14"/>
      </w:r>
      <w:r w:rsidR="00013208">
        <w:t xml:space="preserve"> dle metodiky ESA 2010</w:t>
      </w:r>
      <w:r w:rsidR="00013208">
        <w:rPr>
          <w:rStyle w:val="Znakapoznpodarou"/>
        </w:rPr>
        <w:footnoteReference w:id="15"/>
      </w:r>
      <w:r w:rsidR="00013208" w:rsidRPr="00013208">
        <w:t>, a tím podpořit větší transparentnost a spolehlivost dluhové statistiky</w:t>
      </w:r>
      <w:r w:rsidR="00013208">
        <w:t xml:space="preserve">. </w:t>
      </w:r>
      <w:r w:rsidR="00BE56D8">
        <w:t xml:space="preserve">Údaje </w:t>
      </w:r>
      <w:r>
        <w:t>odráž</w:t>
      </w:r>
      <w:r w:rsidR="00BE56D8">
        <w:t>ejí</w:t>
      </w:r>
      <w:r>
        <w:t xml:space="preserve"> tzv.</w:t>
      </w:r>
      <w:r w:rsidR="00BE56D8">
        <w:t xml:space="preserve"> upravenou kapitálovou hodnotu </w:t>
      </w:r>
      <w:r>
        <w:t>aktiv, tj. smluvní ocenění majetku uvedené ve smlouvě, které je v</w:t>
      </w:r>
      <w:r w:rsidR="00BE56D8">
        <w:t xml:space="preserve"> </w:t>
      </w:r>
      <w:r>
        <w:t>jednotlivých letech postupně snižováno o část tzv.</w:t>
      </w:r>
      <w:r w:rsidR="00013208">
        <w:t> </w:t>
      </w:r>
      <w:r>
        <w:t>platby za dostupnost související s</w:t>
      </w:r>
      <w:r w:rsidR="00340AC7">
        <w:t> </w:t>
      </w:r>
      <w:r>
        <w:t>pořízením majetku.</w:t>
      </w:r>
      <w:r w:rsidR="00BE56D8">
        <w:t xml:space="preserve"> </w:t>
      </w:r>
      <w:r w:rsidR="002A5C06">
        <w:t>Upravená kapitálová hodnota aktiv o</w:t>
      </w:r>
      <w:r w:rsidR="00BE56D8">
        <w:t>dpovídá pojmu „kapitálový náklad“ neboli stavebním nákladům nebo nákladům na rekonstrukci aktiva týkajícího se smlouvy o</w:t>
      </w:r>
      <w:r w:rsidR="00013208">
        <w:t xml:space="preserve"> </w:t>
      </w:r>
      <w:r w:rsidR="00BE56D8">
        <w:t>PPP projektu</w:t>
      </w:r>
      <w:r w:rsidR="00E32A6C">
        <w:t xml:space="preserve"> a</w:t>
      </w:r>
      <w:r w:rsidR="00C66330">
        <w:t> </w:t>
      </w:r>
      <w:r w:rsidR="00E32A6C">
        <w:t>z</w:t>
      </w:r>
      <w:r w:rsidR="00BE56D8">
        <w:t>ahrnuje náklad</w:t>
      </w:r>
      <w:r w:rsidR="00E32A6C">
        <w:t>y</w:t>
      </w:r>
      <w:r w:rsidR="00BE56D8">
        <w:t xml:space="preserve"> financování v</w:t>
      </w:r>
      <w:r w:rsidR="00013208">
        <w:t xml:space="preserve"> </w:t>
      </w:r>
      <w:r w:rsidR="00BE56D8">
        <w:t>průběhu stavební fáze projektu.</w:t>
      </w:r>
      <w:r w:rsidR="00732AAB">
        <w:t xml:space="preserve"> </w:t>
      </w:r>
      <w:r w:rsidR="0084140A">
        <w:t xml:space="preserve">Výkaz </w:t>
      </w:r>
      <w:r w:rsidR="00C86F15">
        <w:t xml:space="preserve">odráží skutečnosti, které nastaly v průběhu </w:t>
      </w:r>
      <w:r w:rsidR="005F403D">
        <w:t>daného kalendářního roku</w:t>
      </w:r>
      <w:r w:rsidR="00C86F15">
        <w:t>, a</w:t>
      </w:r>
      <w:r w:rsidR="00B61400">
        <w:t xml:space="preserve"> </w:t>
      </w:r>
      <w:r w:rsidR="00C86F15">
        <w:t>to ve stavu k 31. 12.</w:t>
      </w:r>
    </w:p>
    <w:p w:rsidR="00C86F15" w:rsidRPr="00035280" w:rsidRDefault="00C86F15" w:rsidP="002244EA">
      <w:pPr>
        <w:spacing w:before="200" w:after="0"/>
        <w:jc w:val="both"/>
        <w:rPr>
          <w:b/>
        </w:rPr>
      </w:pPr>
      <w:r w:rsidRPr="00035280">
        <w:rPr>
          <w:b/>
        </w:rPr>
        <w:t>Definice:</w:t>
      </w:r>
    </w:p>
    <w:p w:rsidR="00CE7B13" w:rsidRDefault="00586562" w:rsidP="00597240">
      <w:pPr>
        <w:spacing w:after="60"/>
        <w:jc w:val="both"/>
      </w:pPr>
      <w:r>
        <w:t>P</w:t>
      </w:r>
      <w:r w:rsidRPr="006164E6">
        <w:t>rojekt</w:t>
      </w:r>
      <w:r>
        <w:t>y</w:t>
      </w:r>
      <w:r w:rsidRPr="006164E6">
        <w:t xml:space="preserve"> partnerství veřejného a soukromého sektor</w:t>
      </w:r>
      <w:r>
        <w:t xml:space="preserve">u </w:t>
      </w:r>
      <w:r w:rsidR="00C86F15">
        <w:t xml:space="preserve">se </w:t>
      </w:r>
      <w:r w:rsidR="000D618F">
        <w:t>po</w:t>
      </w:r>
      <w:r w:rsidR="00C86F15">
        <w:t xml:space="preserve">dle § </w:t>
      </w:r>
      <w:r w:rsidR="000D618F">
        <w:t>6</w:t>
      </w:r>
      <w:r w:rsidR="00C86F15">
        <w:t xml:space="preserve"> odst. 3 zákona č. 25/2017 Sb., o</w:t>
      </w:r>
      <w:r w:rsidR="00A81AAF">
        <w:t> </w:t>
      </w:r>
      <w:r w:rsidR="00C86F15">
        <w:t>sběru vybraných údajů pro účely monitorování a</w:t>
      </w:r>
      <w:r w:rsidR="003D3C9A">
        <w:t xml:space="preserve"> </w:t>
      </w:r>
      <w:r w:rsidR="00C86F15">
        <w:t>řízení veřejných financí, rozumí</w:t>
      </w:r>
      <w:r w:rsidR="00A81AAF">
        <w:t xml:space="preserve"> </w:t>
      </w:r>
      <w:r w:rsidR="00C4621C">
        <w:t xml:space="preserve">veřejné zakázky </w:t>
      </w:r>
      <w:r w:rsidR="00C4621C">
        <w:lastRenderedPageBreak/>
        <w:t>a</w:t>
      </w:r>
      <w:r w:rsidR="00176785">
        <w:t> </w:t>
      </w:r>
      <w:r w:rsidR="00C4621C">
        <w:t xml:space="preserve">koncese o předpokládané hodnotě 300 000 000 Kč a vyšší podle zákona č. </w:t>
      </w:r>
      <w:r w:rsidR="00ED54B0">
        <w:t>134/2016 Sb.</w:t>
      </w:r>
      <w:r w:rsidR="00C4621C">
        <w:t>, o zadávání veřejných zakázek, jejichž předmětem je využití zdrojů a schopností osob soukromého sektoru při zajištění veřejné infrastruktury nebo veřejných služeb související s údržbou a provozem dlouhodobého nehmotného nebo dlouhodobého hmotného majetku, pokud je smlouva uzavírána na 2</w:t>
      </w:r>
      <w:r w:rsidR="00E00382">
        <w:t xml:space="preserve"> a více</w:t>
      </w:r>
      <w:r w:rsidR="00C4621C">
        <w:t xml:space="preserve"> let.</w:t>
      </w:r>
    </w:p>
    <w:p w:rsidR="00C86F15" w:rsidRDefault="00CE7B13" w:rsidP="00597240">
      <w:pPr>
        <w:spacing w:after="60"/>
        <w:jc w:val="both"/>
      </w:pPr>
      <w:r>
        <w:t xml:space="preserve">Jedná se tedy o </w:t>
      </w:r>
      <w:r w:rsidRPr="00CE7B13">
        <w:t>komplexní dlouhodobé kontrakty mezi dvěma jednotkami, kdy jedna jednotka</w:t>
      </w:r>
      <w:r w:rsidR="0017225E">
        <w:t xml:space="preserve"> (soukromá osoba)</w:t>
      </w:r>
      <w:r w:rsidRPr="00CE7B13">
        <w:t xml:space="preserve"> pořizuje či vytváří určité aktivum nebo soubor aktiv, určitou dobu je provozuje a poté předá druhé jednotce</w:t>
      </w:r>
      <w:r w:rsidR="0017225E">
        <w:t xml:space="preserve"> (vládní instituci)</w:t>
      </w:r>
      <w:r w:rsidRPr="00CE7B13">
        <w:t xml:space="preserve">, </w:t>
      </w:r>
      <w:r w:rsidR="0017225E">
        <w:t xml:space="preserve">která je </w:t>
      </w:r>
      <w:r w:rsidRPr="00CE7B13">
        <w:t>zadavatel</w:t>
      </w:r>
      <w:r w:rsidR="0017225E">
        <w:t>em</w:t>
      </w:r>
      <w:r>
        <w:t>.</w:t>
      </w:r>
      <w:r w:rsidR="00782C6D">
        <w:t xml:space="preserve"> Pro </w:t>
      </w:r>
      <w:r w:rsidR="00F01A47">
        <w:t>zadavatele</w:t>
      </w:r>
      <w:r w:rsidR="00782C6D">
        <w:t xml:space="preserve"> to znamená </w:t>
      </w:r>
      <w:r w:rsidR="00782C6D" w:rsidRPr="00782C6D">
        <w:t xml:space="preserve">nákup služby produkované provozovatelem </w:t>
      </w:r>
      <w:r w:rsidR="003E36EE">
        <w:t>s využití</w:t>
      </w:r>
      <w:r w:rsidR="00782C6D" w:rsidRPr="00782C6D">
        <w:t>m vytvoření specializovaného aktiva</w:t>
      </w:r>
      <w:r w:rsidR="00782C6D">
        <w:t>, přičemž z </w:t>
      </w:r>
      <w:r w:rsidR="00782C6D" w:rsidRPr="00782C6D">
        <w:t>finančního hlediska se jedná o významné kapitálové výdaje na vytvoření či obnovu fixních aktiv provozovatelem, kter</w:t>
      </w:r>
      <w:r w:rsidR="00F7584D">
        <w:t>á</w:t>
      </w:r>
      <w:r w:rsidR="00782C6D" w:rsidRPr="00782C6D">
        <w:t xml:space="preserve"> slouží k </w:t>
      </w:r>
      <w:r w:rsidR="0077149B">
        <w:t>poskytování</w:t>
      </w:r>
      <w:r w:rsidR="00782C6D" w:rsidRPr="00782C6D">
        <w:t xml:space="preserve"> veřejné služby buď přímo</w:t>
      </w:r>
      <w:r w:rsidR="007242F0">
        <w:t xml:space="preserve"> zadavateli</w:t>
      </w:r>
      <w:r w:rsidR="00782C6D" w:rsidRPr="00782C6D">
        <w:t xml:space="preserve"> anebo v j</w:t>
      </w:r>
      <w:r w:rsidR="00782C6D">
        <w:t>e</w:t>
      </w:r>
      <w:r w:rsidR="007242F0">
        <w:t>ho</w:t>
      </w:r>
      <w:r w:rsidR="00782C6D" w:rsidRPr="00782C6D">
        <w:t xml:space="preserve"> přímém zastoupení</w:t>
      </w:r>
      <w:r w:rsidR="00782C6D">
        <w:t>.</w:t>
      </w:r>
      <w:r w:rsidR="005F3FCC">
        <w:t xml:space="preserve"> O</w:t>
      </w:r>
      <w:r w:rsidR="004137DD">
        <w:t> </w:t>
      </w:r>
      <w:r w:rsidR="005F3FCC" w:rsidRPr="005F3FCC">
        <w:t>ekonomickém vlastnictví</w:t>
      </w:r>
      <w:r w:rsidR="005F3FCC">
        <w:t xml:space="preserve"> aktiv a tedy jejich (ne)</w:t>
      </w:r>
      <w:r w:rsidR="005F3FCC" w:rsidRPr="00013208">
        <w:t>za</w:t>
      </w:r>
      <w:r w:rsidR="005F3FCC">
        <w:t>řazení</w:t>
      </w:r>
      <w:r w:rsidR="005F3FCC" w:rsidRPr="00013208">
        <w:t xml:space="preserve"> </w:t>
      </w:r>
      <w:r w:rsidR="005F3FCC">
        <w:t xml:space="preserve">do </w:t>
      </w:r>
      <w:r w:rsidR="005F3FCC" w:rsidRPr="00013208">
        <w:t>rozva</w:t>
      </w:r>
      <w:r w:rsidR="005F3FCC">
        <w:t>hy sektoru vládních institucí ze strany ČSÚ</w:t>
      </w:r>
      <w:r w:rsidR="00907394">
        <w:t xml:space="preserve"> rozhoduje k</w:t>
      </w:r>
      <w:r w:rsidR="00907394" w:rsidRPr="00907394">
        <w:t xml:space="preserve">onkrétní rozložení rizik </w:t>
      </w:r>
      <w:r w:rsidR="00907394">
        <w:t>a přínosů</w:t>
      </w:r>
      <w:r w:rsidR="00907394" w:rsidRPr="00907394">
        <w:t xml:space="preserve"> mezi obě</w:t>
      </w:r>
      <w:r w:rsidR="00907394">
        <w:t>ma</w:t>
      </w:r>
      <w:r w:rsidR="00907394" w:rsidRPr="00907394">
        <w:t xml:space="preserve"> smluvní</w:t>
      </w:r>
      <w:r w:rsidR="00907394">
        <w:t>mi</w:t>
      </w:r>
      <w:r w:rsidR="00907394" w:rsidRPr="00907394">
        <w:t xml:space="preserve"> stran</w:t>
      </w:r>
      <w:r w:rsidR="00907394">
        <w:t xml:space="preserve">ami </w:t>
      </w:r>
      <w:r w:rsidR="00907394" w:rsidRPr="00907394">
        <w:t>podle povahy poskytované služby a možnost těchto stran rizik</w:t>
      </w:r>
      <w:r w:rsidR="00907394">
        <w:t>a</w:t>
      </w:r>
      <w:r w:rsidR="00907394" w:rsidRPr="00907394">
        <w:t xml:space="preserve"> analyzovat, nést a řídit</w:t>
      </w:r>
      <w:r w:rsidR="00907394">
        <w:t>.</w:t>
      </w:r>
    </w:p>
    <w:p w:rsidR="00CB330B" w:rsidRDefault="0036265C" w:rsidP="00597240">
      <w:pPr>
        <w:spacing w:after="60"/>
        <w:jc w:val="both"/>
      </w:pPr>
      <w:r>
        <w:t>Zadavatel</w:t>
      </w:r>
      <w:r w:rsidR="00CB330B" w:rsidRPr="00CB330B">
        <w:t xml:space="preserve"> </w:t>
      </w:r>
      <w:r w:rsidR="003D3C9A">
        <w:t xml:space="preserve">je </w:t>
      </w:r>
      <w:r w:rsidR="00CB330B" w:rsidRPr="00CB330B">
        <w:t>hlavním nákupčím služeb a je</w:t>
      </w:r>
      <w:r w:rsidR="00310344">
        <w:t>ho</w:t>
      </w:r>
      <w:r w:rsidR="00CB330B" w:rsidRPr="00CB330B">
        <w:t xml:space="preserve"> platby představují hl</w:t>
      </w:r>
      <w:r w:rsidR="00273A9D">
        <w:t>avní zdroj příjmů provozovatele</w:t>
      </w:r>
      <w:r w:rsidR="00CB330B" w:rsidRPr="00CB330B">
        <w:t xml:space="preserve">, kterými bude krýt své </w:t>
      </w:r>
      <w:r w:rsidR="007714A3">
        <w:t>výdaje</w:t>
      </w:r>
      <w:r w:rsidR="00CB330B" w:rsidRPr="00CB330B">
        <w:t xml:space="preserve"> a získá adekvátní míru návratnosti své investice. Provozovatel tedy neprodává své služby přímo veřejnosti (koncovým uživatelům) jako např. v případě používání silnice za platbu v podobě mýtného. Z hlediska terminologie je PPP </w:t>
      </w:r>
      <w:r w:rsidR="003D3C9A">
        <w:t xml:space="preserve">projekt </w:t>
      </w:r>
      <w:r w:rsidR="000735A0" w:rsidRPr="00CB330B">
        <w:t xml:space="preserve">v českých podmínkách </w:t>
      </w:r>
      <w:r w:rsidR="00A544D3">
        <w:t xml:space="preserve">spíše </w:t>
      </w:r>
      <w:r w:rsidR="00CB330B" w:rsidRPr="00CB330B">
        <w:t xml:space="preserve">pojmem ekonomicko-finančním, právní definice </w:t>
      </w:r>
      <w:r w:rsidR="00A544D3">
        <w:t>byla</w:t>
      </w:r>
      <w:r w:rsidR="006C2CB8" w:rsidRPr="006C2CB8">
        <w:t xml:space="preserve"> zavedena </w:t>
      </w:r>
      <w:r w:rsidR="00A544D3">
        <w:t xml:space="preserve">až zákonem č. 25/2017 Sb. (viz předchozí strana), a to </w:t>
      </w:r>
      <w:r w:rsidR="006C2CB8" w:rsidRPr="006C2CB8">
        <w:t xml:space="preserve">pouze pro účely sběru </w:t>
      </w:r>
      <w:r w:rsidR="00C81FE5">
        <w:t>dat</w:t>
      </w:r>
      <w:r w:rsidR="004137DD" w:rsidRPr="004137DD">
        <w:t xml:space="preserve"> </w:t>
      </w:r>
      <w:r w:rsidR="004137DD">
        <w:t xml:space="preserve">k </w:t>
      </w:r>
      <w:r w:rsidR="004137DD" w:rsidRPr="004137DD">
        <w:t>zachy</w:t>
      </w:r>
      <w:r w:rsidR="004137DD">
        <w:t>cení</w:t>
      </w:r>
      <w:r w:rsidR="004137DD" w:rsidRPr="004137DD">
        <w:t xml:space="preserve"> implicitní</w:t>
      </w:r>
      <w:r w:rsidR="004137DD">
        <w:t>ch</w:t>
      </w:r>
      <w:r w:rsidR="004137DD" w:rsidRPr="004137DD">
        <w:t xml:space="preserve"> dluh</w:t>
      </w:r>
      <w:r w:rsidR="004137DD">
        <w:t>ů</w:t>
      </w:r>
      <w:r w:rsidR="004137DD" w:rsidRPr="004137DD">
        <w:t xml:space="preserve"> </w:t>
      </w:r>
      <w:r w:rsidR="004137DD">
        <w:t xml:space="preserve">s cílem </w:t>
      </w:r>
      <w:r w:rsidR="004137DD" w:rsidRPr="004137DD">
        <w:t>podpořit větší transparentnost a</w:t>
      </w:r>
      <w:r w:rsidR="00C81FE5">
        <w:t> </w:t>
      </w:r>
      <w:r w:rsidR="004137DD" w:rsidRPr="004137DD">
        <w:t>spolehlivost dluhové statistiky</w:t>
      </w:r>
      <w:r w:rsidR="00CB330B" w:rsidRPr="00CB330B">
        <w:t>.</w:t>
      </w:r>
    </w:p>
    <w:p w:rsidR="00D62866" w:rsidRDefault="00D62866" w:rsidP="00FA7095">
      <w:pPr>
        <w:pStyle w:val="Nadpis1"/>
        <w:numPr>
          <w:ilvl w:val="0"/>
          <w:numId w:val="10"/>
        </w:numPr>
        <w:spacing w:before="240" w:after="120"/>
        <w:ind w:left="425" w:hanging="425"/>
      </w:pPr>
      <w:bookmarkStart w:id="24" w:name="_Toc483906432"/>
      <w:r>
        <w:t>Kontrolní vazby</w:t>
      </w:r>
      <w:bookmarkEnd w:id="24"/>
    </w:p>
    <w:p w:rsidR="00D62866" w:rsidRPr="00D62866" w:rsidRDefault="009B7FD7" w:rsidP="00D62866">
      <w:r w:rsidRPr="009B7FD7">
        <w:rPr>
          <w:noProof/>
          <w:lang w:eastAsia="cs-CZ"/>
        </w:rPr>
        <w:drawing>
          <wp:inline distT="0" distB="0" distL="0" distR="0">
            <wp:extent cx="5904230" cy="1417363"/>
            <wp:effectExtent l="0" t="0" r="127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230" cy="1417363"/>
                    </a:xfrm>
                    <a:prstGeom prst="rect">
                      <a:avLst/>
                    </a:prstGeom>
                    <a:noFill/>
                    <a:ln>
                      <a:noFill/>
                    </a:ln>
                  </pic:spPr>
                </pic:pic>
              </a:graphicData>
            </a:graphic>
          </wp:inline>
        </w:drawing>
      </w:r>
    </w:p>
    <w:p w:rsidR="007B31DD" w:rsidRDefault="007B31DD" w:rsidP="00FA7095">
      <w:pPr>
        <w:pStyle w:val="Nadpis1"/>
        <w:numPr>
          <w:ilvl w:val="0"/>
          <w:numId w:val="10"/>
        </w:numPr>
        <w:spacing w:before="240" w:after="120"/>
        <w:ind w:left="425" w:hanging="425"/>
      </w:pPr>
      <w:bookmarkStart w:id="25" w:name="_Toc483906433"/>
      <w:r w:rsidRPr="00C35C1E">
        <w:t>Obsahová náplň jednotlivých položek výkazu</w:t>
      </w:r>
      <w:bookmarkEnd w:id="25"/>
    </w:p>
    <w:tbl>
      <w:tblPr>
        <w:tblStyle w:val="Mkatabulky"/>
        <w:tblW w:w="0" w:type="auto"/>
        <w:tblLook w:val="04A0"/>
      </w:tblPr>
      <w:tblGrid>
        <w:gridCol w:w="1161"/>
        <w:gridCol w:w="8353"/>
      </w:tblGrid>
      <w:tr w:rsidR="00A32933" w:rsidTr="00A32933">
        <w:tc>
          <w:tcPr>
            <w:tcW w:w="0" w:type="auto"/>
          </w:tcPr>
          <w:p w:rsidR="00A32933" w:rsidRPr="00E44E85" w:rsidRDefault="00A32933" w:rsidP="00E44E85">
            <w:pPr>
              <w:jc w:val="center"/>
              <w:rPr>
                <w:b/>
              </w:rPr>
            </w:pPr>
            <w:r w:rsidRPr="00E44E85">
              <w:rPr>
                <w:b/>
              </w:rPr>
              <w:t>Sloupec 1</w:t>
            </w:r>
          </w:p>
        </w:tc>
        <w:tc>
          <w:tcPr>
            <w:tcW w:w="0" w:type="auto"/>
          </w:tcPr>
          <w:p w:rsidR="00A32933" w:rsidRPr="001C27F6" w:rsidRDefault="00A32933" w:rsidP="001B665E">
            <w:pPr>
              <w:spacing w:after="60"/>
              <w:jc w:val="both"/>
              <w:rPr>
                <w:b/>
              </w:rPr>
            </w:pPr>
            <w:r w:rsidRPr="001C27F6">
              <w:rPr>
                <w:b/>
              </w:rPr>
              <w:t>Projekt</w:t>
            </w:r>
          </w:p>
          <w:p w:rsidR="00A32933" w:rsidRDefault="00A32933" w:rsidP="001C27F6">
            <w:pPr>
              <w:jc w:val="both"/>
            </w:pPr>
            <w:r>
              <w:t>Jedná se o č</w:t>
            </w:r>
            <w:r w:rsidRPr="008C7C1C">
              <w:t>íslo a název veřejné zakázky, jak je uvede</w:t>
            </w:r>
            <w:r>
              <w:t>n ve Věstníku veřejných zakázek.</w:t>
            </w:r>
          </w:p>
        </w:tc>
      </w:tr>
      <w:tr w:rsidR="00A32933" w:rsidTr="00A32933">
        <w:tc>
          <w:tcPr>
            <w:tcW w:w="0" w:type="auto"/>
          </w:tcPr>
          <w:p w:rsidR="00A32933" w:rsidRPr="00E44E85" w:rsidRDefault="00F542EE" w:rsidP="00E44E85">
            <w:pPr>
              <w:jc w:val="center"/>
              <w:rPr>
                <w:b/>
              </w:rPr>
            </w:pPr>
            <w:r w:rsidRPr="00E44E85">
              <w:rPr>
                <w:b/>
              </w:rPr>
              <w:t>Sloupec 2</w:t>
            </w:r>
          </w:p>
        </w:tc>
        <w:tc>
          <w:tcPr>
            <w:tcW w:w="0" w:type="auto"/>
          </w:tcPr>
          <w:p w:rsidR="00A32933" w:rsidRPr="001C27F6" w:rsidRDefault="00F542EE" w:rsidP="001B665E">
            <w:pPr>
              <w:spacing w:after="60"/>
              <w:jc w:val="both"/>
              <w:rPr>
                <w:b/>
              </w:rPr>
            </w:pPr>
            <w:r w:rsidRPr="001C27F6">
              <w:rPr>
                <w:b/>
              </w:rPr>
              <w:t>Druh projektu</w:t>
            </w:r>
          </w:p>
          <w:p w:rsidR="00F542EE" w:rsidRDefault="00F542EE" w:rsidP="001C27F6">
            <w:pPr>
              <w:jc w:val="both"/>
            </w:pPr>
            <w:r w:rsidRPr="000B55BC">
              <w:t xml:space="preserve">Podle charakteru služeb, které jsou předmětem veřejné zakázky, uvede účetní jednotka odpovídající písmenné označení z následujícího výčtu: A - Dopravní infrastruktura, B - Vzdělávání a související služby, C - Vodovody, kanalizace a nakládání s odpady, D - Sociální služby, E - Zdravotnické služby, </w:t>
            </w:r>
            <w:r>
              <w:t>F - Teplo, energie, G – Ostatní.</w:t>
            </w:r>
          </w:p>
        </w:tc>
      </w:tr>
      <w:tr w:rsidR="00A32933" w:rsidTr="00A32933">
        <w:tc>
          <w:tcPr>
            <w:tcW w:w="0" w:type="auto"/>
          </w:tcPr>
          <w:p w:rsidR="00E44E85" w:rsidRDefault="00F542EE" w:rsidP="00E44E85">
            <w:pPr>
              <w:jc w:val="center"/>
              <w:rPr>
                <w:b/>
              </w:rPr>
            </w:pPr>
            <w:r w:rsidRPr="00E44E85">
              <w:rPr>
                <w:b/>
              </w:rPr>
              <w:t xml:space="preserve">Sloupce </w:t>
            </w:r>
          </w:p>
          <w:p w:rsidR="00A32933" w:rsidRPr="00E44E85" w:rsidRDefault="00F542EE" w:rsidP="00E44E85">
            <w:pPr>
              <w:jc w:val="center"/>
              <w:rPr>
                <w:b/>
              </w:rPr>
            </w:pPr>
            <w:r w:rsidRPr="00E44E85">
              <w:rPr>
                <w:b/>
              </w:rPr>
              <w:t>6 a 7</w:t>
            </w:r>
          </w:p>
        </w:tc>
        <w:tc>
          <w:tcPr>
            <w:tcW w:w="0" w:type="auto"/>
          </w:tcPr>
          <w:p w:rsidR="00A32933" w:rsidRPr="001C27F6" w:rsidRDefault="00F542EE" w:rsidP="001B665E">
            <w:pPr>
              <w:spacing w:after="60"/>
              <w:jc w:val="both"/>
              <w:rPr>
                <w:b/>
              </w:rPr>
            </w:pPr>
            <w:r w:rsidRPr="001C27F6">
              <w:rPr>
                <w:b/>
              </w:rPr>
              <w:t>Rok zahájení - Rok ukončení</w:t>
            </w:r>
          </w:p>
          <w:p w:rsidR="00F542EE" w:rsidRDefault="00F542EE" w:rsidP="001C27F6">
            <w:pPr>
              <w:jc w:val="both"/>
            </w:pPr>
            <w:r>
              <w:t>Jedná se o p</w:t>
            </w:r>
            <w:r w:rsidRPr="0037242C">
              <w:t>ředpokládaný nebo skutečný rok zahájení a rok ukončení stavby, pokud je stavba sou</w:t>
            </w:r>
            <w:r>
              <w:t>částí předmětné veřejné zakázky.</w:t>
            </w:r>
          </w:p>
        </w:tc>
      </w:tr>
      <w:tr w:rsidR="00A32933" w:rsidTr="00A32933">
        <w:tc>
          <w:tcPr>
            <w:tcW w:w="0" w:type="auto"/>
          </w:tcPr>
          <w:p w:rsidR="00E44E85" w:rsidRDefault="00F542EE" w:rsidP="00E44E85">
            <w:pPr>
              <w:jc w:val="center"/>
              <w:rPr>
                <w:b/>
              </w:rPr>
            </w:pPr>
            <w:r w:rsidRPr="00E44E85">
              <w:rPr>
                <w:b/>
              </w:rPr>
              <w:t>Sloupce</w:t>
            </w:r>
            <w:r w:rsidR="001C27F6" w:rsidRPr="00E44E85">
              <w:rPr>
                <w:b/>
              </w:rPr>
              <w:t xml:space="preserve"> </w:t>
            </w:r>
          </w:p>
          <w:p w:rsidR="00A32933" w:rsidRPr="00E44E85" w:rsidRDefault="001C27F6" w:rsidP="00E44E85">
            <w:pPr>
              <w:jc w:val="center"/>
              <w:rPr>
                <w:b/>
              </w:rPr>
            </w:pPr>
            <w:r w:rsidRPr="00E44E85">
              <w:rPr>
                <w:b/>
              </w:rPr>
              <w:t>9 až 13</w:t>
            </w:r>
          </w:p>
        </w:tc>
        <w:tc>
          <w:tcPr>
            <w:tcW w:w="0" w:type="auto"/>
          </w:tcPr>
          <w:p w:rsidR="00A32933" w:rsidRPr="001C27F6" w:rsidRDefault="001C27F6" w:rsidP="001B665E">
            <w:pPr>
              <w:spacing w:after="60"/>
              <w:jc w:val="both"/>
              <w:rPr>
                <w:b/>
              </w:rPr>
            </w:pPr>
            <w:r w:rsidRPr="001C27F6">
              <w:rPr>
                <w:b/>
              </w:rPr>
              <w:t>Výdaje vynaložené na pořízení majetku</w:t>
            </w:r>
          </w:p>
          <w:p w:rsidR="001C27F6" w:rsidRDefault="001C27F6" w:rsidP="00750166">
            <w:pPr>
              <w:jc w:val="both"/>
            </w:pPr>
            <w:r>
              <w:t>Jedná se o s</w:t>
            </w:r>
            <w:r w:rsidRPr="004E0029">
              <w:t xml:space="preserve">kutečné </w:t>
            </w:r>
            <w:r w:rsidR="00750166">
              <w:t>výdaje</w:t>
            </w:r>
            <w:r w:rsidR="00750166" w:rsidRPr="004E0029">
              <w:t xml:space="preserve"> </w:t>
            </w:r>
            <w:r w:rsidRPr="004E0029">
              <w:t>dodavatele na pořízen</w:t>
            </w:r>
            <w:r>
              <w:t>í majetku v jednotlivých letech a</w:t>
            </w:r>
            <w:r w:rsidR="0041264F">
              <w:t> </w:t>
            </w:r>
            <w:r w:rsidRPr="00885D6D">
              <w:t>v</w:t>
            </w:r>
            <w:r w:rsidR="00FA7095">
              <w:t> </w:t>
            </w:r>
            <w:r w:rsidRPr="00885D6D">
              <w:t>c</w:t>
            </w:r>
            <w:r>
              <w:t>elkové výši od uzavření smlouvy.</w:t>
            </w:r>
          </w:p>
        </w:tc>
      </w:tr>
      <w:tr w:rsidR="00A32933" w:rsidTr="00A32933">
        <w:tc>
          <w:tcPr>
            <w:tcW w:w="0" w:type="auto"/>
          </w:tcPr>
          <w:p w:rsidR="00E44E85" w:rsidRDefault="00F542EE" w:rsidP="00E44E85">
            <w:pPr>
              <w:jc w:val="center"/>
              <w:rPr>
                <w:b/>
              </w:rPr>
            </w:pPr>
            <w:r w:rsidRPr="00E44E85">
              <w:rPr>
                <w:b/>
              </w:rPr>
              <w:lastRenderedPageBreak/>
              <w:t>Sloupce</w:t>
            </w:r>
            <w:r w:rsidR="001C27F6" w:rsidRPr="00E44E85">
              <w:rPr>
                <w:b/>
              </w:rPr>
              <w:t xml:space="preserve"> </w:t>
            </w:r>
          </w:p>
          <w:p w:rsidR="00A32933" w:rsidRPr="00E44E85" w:rsidRDefault="001C27F6" w:rsidP="00E44E85">
            <w:pPr>
              <w:jc w:val="center"/>
              <w:rPr>
                <w:b/>
              </w:rPr>
            </w:pPr>
            <w:r w:rsidRPr="00E44E85">
              <w:rPr>
                <w:b/>
              </w:rPr>
              <w:t>14 a 15</w:t>
            </w:r>
          </w:p>
        </w:tc>
        <w:tc>
          <w:tcPr>
            <w:tcW w:w="0" w:type="auto"/>
          </w:tcPr>
          <w:p w:rsidR="00A32933" w:rsidRPr="001C27F6" w:rsidRDefault="001C27F6" w:rsidP="001B665E">
            <w:pPr>
              <w:spacing w:after="60"/>
              <w:jc w:val="both"/>
              <w:rPr>
                <w:b/>
              </w:rPr>
            </w:pPr>
            <w:r w:rsidRPr="001C27F6">
              <w:rPr>
                <w:b/>
              </w:rPr>
              <w:t>Počátek – Konec</w:t>
            </w:r>
          </w:p>
          <w:p w:rsidR="001C27F6" w:rsidRDefault="001C27F6" w:rsidP="001C27F6">
            <w:pPr>
              <w:jc w:val="both"/>
            </w:pPr>
            <w:r>
              <w:t>Jedná se o r</w:t>
            </w:r>
            <w:r w:rsidRPr="00476D28">
              <w:t>ok zahájení a rok ukončení plateb poskytovan</w:t>
            </w:r>
            <w:r>
              <w:t>ých účetní jednotkou dodavateli.</w:t>
            </w:r>
          </w:p>
        </w:tc>
      </w:tr>
      <w:tr w:rsidR="00A32933" w:rsidTr="00A32933">
        <w:tc>
          <w:tcPr>
            <w:tcW w:w="0" w:type="auto"/>
          </w:tcPr>
          <w:p w:rsidR="00E44E85" w:rsidRDefault="00F542EE" w:rsidP="00E44E85">
            <w:pPr>
              <w:jc w:val="center"/>
              <w:rPr>
                <w:b/>
              </w:rPr>
            </w:pPr>
            <w:r w:rsidRPr="00E44E85">
              <w:rPr>
                <w:b/>
              </w:rPr>
              <w:t>Sloupce</w:t>
            </w:r>
            <w:r w:rsidR="001C27F6" w:rsidRPr="00E44E85">
              <w:rPr>
                <w:b/>
              </w:rPr>
              <w:t xml:space="preserve"> </w:t>
            </w:r>
          </w:p>
          <w:p w:rsidR="00A32933" w:rsidRPr="00E44E85" w:rsidRDefault="001C27F6" w:rsidP="00E44E85">
            <w:pPr>
              <w:jc w:val="center"/>
              <w:rPr>
                <w:b/>
              </w:rPr>
            </w:pPr>
            <w:r w:rsidRPr="00E44E85">
              <w:rPr>
                <w:b/>
                <w:i/>
              </w:rPr>
              <w:t>16, 18, 20 a</w:t>
            </w:r>
            <w:r w:rsidR="00E44E85">
              <w:rPr>
                <w:b/>
                <w:i/>
              </w:rPr>
              <w:t> </w:t>
            </w:r>
            <w:r w:rsidRPr="00E44E85">
              <w:rPr>
                <w:b/>
                <w:i/>
              </w:rPr>
              <w:t>22</w:t>
            </w:r>
          </w:p>
        </w:tc>
        <w:tc>
          <w:tcPr>
            <w:tcW w:w="0" w:type="auto"/>
          </w:tcPr>
          <w:p w:rsidR="00A32933" w:rsidRPr="001C27F6" w:rsidRDefault="001C27F6" w:rsidP="001B665E">
            <w:pPr>
              <w:spacing w:after="60"/>
              <w:jc w:val="both"/>
              <w:rPr>
                <w:b/>
              </w:rPr>
            </w:pPr>
            <w:r w:rsidRPr="001C27F6">
              <w:rPr>
                <w:b/>
              </w:rPr>
              <w:t>Platby za dostupnost</w:t>
            </w:r>
          </w:p>
          <w:p w:rsidR="001C27F6" w:rsidRDefault="001C27F6" w:rsidP="001C27F6">
            <w:pPr>
              <w:jc w:val="both"/>
            </w:pPr>
            <w:r>
              <w:t>Jedná se o c</w:t>
            </w:r>
            <w:r w:rsidRPr="00780779">
              <w:t>elkové platby za dostupnost hrazené účetní jednotkou dodavateli. Obvykle zahrnují t</w:t>
            </w:r>
            <w:r>
              <w:t>zv.</w:t>
            </w:r>
            <w:r w:rsidRPr="00780779">
              <w:t xml:space="preserve"> servisní složku, úhradu nákladů na pořízení majetku, úhradu nákladů na exte</w:t>
            </w:r>
            <w:r>
              <w:t>rní dluhové financování, popř. další.</w:t>
            </w:r>
          </w:p>
        </w:tc>
      </w:tr>
      <w:tr w:rsidR="00A32933" w:rsidTr="00A32933">
        <w:tc>
          <w:tcPr>
            <w:tcW w:w="0" w:type="auto"/>
          </w:tcPr>
          <w:p w:rsidR="00E44E85" w:rsidRDefault="00F542EE" w:rsidP="00E44E85">
            <w:pPr>
              <w:jc w:val="center"/>
              <w:rPr>
                <w:b/>
              </w:rPr>
            </w:pPr>
            <w:r w:rsidRPr="00E44E85">
              <w:rPr>
                <w:b/>
              </w:rPr>
              <w:t>Sloupce</w:t>
            </w:r>
            <w:r w:rsidR="001C27F6" w:rsidRPr="00E44E85">
              <w:rPr>
                <w:b/>
              </w:rPr>
              <w:t xml:space="preserve"> </w:t>
            </w:r>
          </w:p>
          <w:p w:rsidR="00A32933" w:rsidRPr="00E44E85" w:rsidRDefault="001C27F6" w:rsidP="00E44E85">
            <w:pPr>
              <w:jc w:val="center"/>
              <w:rPr>
                <w:b/>
              </w:rPr>
            </w:pPr>
            <w:r w:rsidRPr="00E44E85">
              <w:rPr>
                <w:b/>
                <w:i/>
              </w:rPr>
              <w:t>17, 19, 21, 23 a 24</w:t>
            </w:r>
          </w:p>
        </w:tc>
        <w:tc>
          <w:tcPr>
            <w:tcW w:w="0" w:type="auto"/>
          </w:tcPr>
          <w:p w:rsidR="00A32933" w:rsidRPr="001C27F6" w:rsidRDefault="001C27F6" w:rsidP="001B665E">
            <w:pPr>
              <w:spacing w:after="60"/>
              <w:jc w:val="both"/>
              <w:rPr>
                <w:b/>
              </w:rPr>
            </w:pPr>
            <w:r w:rsidRPr="001C27F6">
              <w:rPr>
                <w:b/>
              </w:rPr>
              <w:t>Výdaje na pořízení majetku</w:t>
            </w:r>
          </w:p>
          <w:p w:rsidR="001C27F6" w:rsidRDefault="001C27F6" w:rsidP="00FA7095">
            <w:pPr>
              <w:jc w:val="both"/>
            </w:pPr>
            <w:r>
              <w:t>Jedná se o i</w:t>
            </w:r>
            <w:r w:rsidRPr="00E46690">
              <w:t>nvestiční složk</w:t>
            </w:r>
            <w:r>
              <w:t>u</w:t>
            </w:r>
            <w:r w:rsidRPr="00E46690">
              <w:t xml:space="preserve"> platby za dostupnost</w:t>
            </w:r>
            <w:r>
              <w:t xml:space="preserve"> </w:t>
            </w:r>
            <w:r w:rsidRPr="00E46690">
              <w:t>neboli výdaje na pořízen</w:t>
            </w:r>
            <w:r>
              <w:t>í majetku v</w:t>
            </w:r>
            <w:r w:rsidR="00FA7095">
              <w:t> </w:t>
            </w:r>
            <w:r>
              <w:t>jednotlivých letech a celkem od počátku</w:t>
            </w:r>
            <w:r w:rsidR="005E1DC0">
              <w:t>.</w:t>
            </w:r>
          </w:p>
        </w:tc>
      </w:tr>
      <w:tr w:rsidR="00A32933" w:rsidTr="00A32933">
        <w:tc>
          <w:tcPr>
            <w:tcW w:w="0" w:type="auto"/>
          </w:tcPr>
          <w:p w:rsidR="00A32933" w:rsidRPr="00E44E85" w:rsidRDefault="00F542EE" w:rsidP="00E44E85">
            <w:pPr>
              <w:jc w:val="center"/>
              <w:rPr>
                <w:b/>
              </w:rPr>
            </w:pPr>
            <w:r w:rsidRPr="00E44E85">
              <w:rPr>
                <w:b/>
              </w:rPr>
              <w:t>Sloupce</w:t>
            </w:r>
            <w:r w:rsidR="001C27F6" w:rsidRPr="00E44E85">
              <w:rPr>
                <w:b/>
              </w:rPr>
              <w:t xml:space="preserve"> 25 až 29</w:t>
            </w:r>
          </w:p>
        </w:tc>
        <w:tc>
          <w:tcPr>
            <w:tcW w:w="0" w:type="auto"/>
          </w:tcPr>
          <w:p w:rsidR="00A32933" w:rsidRPr="001C27F6" w:rsidRDefault="001C27F6" w:rsidP="001B665E">
            <w:pPr>
              <w:spacing w:after="60"/>
              <w:jc w:val="both"/>
              <w:rPr>
                <w:b/>
              </w:rPr>
            </w:pPr>
            <w:r w:rsidRPr="001C27F6">
              <w:rPr>
                <w:b/>
              </w:rPr>
              <w:t>Další platby a plnění zadavatele</w:t>
            </w:r>
          </w:p>
          <w:p w:rsidR="001C27F6" w:rsidRDefault="001C27F6" w:rsidP="001C27F6">
            <w:pPr>
              <w:jc w:val="both"/>
            </w:pPr>
            <w:r>
              <w:t>Jedná se o d</w:t>
            </w:r>
            <w:r w:rsidRPr="00676E30">
              <w:t>alší plnění zadavatele v souvislosti s projektem (například nákup pozemků, úvěr</w:t>
            </w:r>
            <w:r>
              <w:t xml:space="preserve"> poskytnutý dodavateli a další) v jednotlivých letech a celkem od počátku.</w:t>
            </w:r>
          </w:p>
        </w:tc>
      </w:tr>
    </w:tbl>
    <w:p w:rsidR="00A32933" w:rsidRDefault="00A32933" w:rsidP="00FA7095"/>
    <w:p w:rsidR="001A0B10" w:rsidRPr="0018799C" w:rsidRDefault="001A0B10" w:rsidP="000715D7">
      <w:pPr>
        <w:jc w:val="both"/>
        <w:rPr>
          <w:b/>
        </w:rPr>
      </w:pPr>
      <w:r w:rsidRPr="0018799C">
        <w:rPr>
          <w:b/>
        </w:rPr>
        <w:t xml:space="preserve">Pozn.: </w:t>
      </w:r>
      <w:r w:rsidR="000715D7" w:rsidRPr="0018799C">
        <w:rPr>
          <w:b/>
        </w:rPr>
        <w:t>Dotčené osoby, které jsou zároveň vybranými účetn</w:t>
      </w:r>
      <w:r w:rsidR="002C5C90">
        <w:rPr>
          <w:b/>
        </w:rPr>
        <w:t>ími</w:t>
      </w:r>
      <w:r w:rsidR="000715D7" w:rsidRPr="0018799C">
        <w:rPr>
          <w:b/>
        </w:rPr>
        <w:t xml:space="preserve"> jednotkami podle právního řádu ČR, zasílají z technického pohledu tento výkaz jako součást Přílohy účetní závěrky. Technický vzor výkazu je tedy součástí XSD výkazu Příloha v rámci XSD balíčku.</w:t>
      </w:r>
      <w:r w:rsidR="00EB6E3E" w:rsidRPr="0018799C">
        <w:rPr>
          <w:b/>
        </w:rPr>
        <w:t xml:space="preserve"> Bližší postup bude uveden v Technickém manuálu CSÚIS.</w:t>
      </w:r>
    </w:p>
    <w:sectPr w:rsidR="001A0B10" w:rsidRPr="0018799C" w:rsidSect="000C4058">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4B" w:rsidRDefault="005C1D4B" w:rsidP="00D0761A">
      <w:pPr>
        <w:spacing w:after="0" w:line="240" w:lineRule="auto"/>
      </w:pPr>
      <w:r>
        <w:separator/>
      </w:r>
    </w:p>
  </w:endnote>
  <w:endnote w:type="continuationSeparator" w:id="0">
    <w:p w:rsidR="005C1D4B" w:rsidRDefault="005C1D4B" w:rsidP="00D07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D7" w:rsidRDefault="00E20ED7">
    <w:pPr>
      <w:pStyle w:val="Zpat"/>
      <w:jc w:val="center"/>
    </w:pPr>
  </w:p>
  <w:p w:rsidR="00E20ED7" w:rsidRDefault="00E20ED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038036"/>
      <w:docPartObj>
        <w:docPartGallery w:val="Page Numbers (Bottom of Page)"/>
        <w:docPartUnique/>
      </w:docPartObj>
    </w:sdtPr>
    <w:sdtContent>
      <w:p w:rsidR="00E20ED7" w:rsidRDefault="00E21BC0">
        <w:pPr>
          <w:pStyle w:val="Zpat"/>
          <w:jc w:val="center"/>
        </w:pPr>
        <w:r>
          <w:fldChar w:fldCharType="begin"/>
        </w:r>
        <w:r w:rsidR="00E20ED7">
          <w:instrText>PAGE   \* MERGEFORMAT</w:instrText>
        </w:r>
        <w:r>
          <w:fldChar w:fldCharType="separate"/>
        </w:r>
        <w:r w:rsidR="006A0A52">
          <w:rPr>
            <w:noProof/>
          </w:rPr>
          <w:t>27</w:t>
        </w:r>
        <w:r>
          <w:fldChar w:fldCharType="end"/>
        </w:r>
      </w:p>
    </w:sdtContent>
  </w:sdt>
  <w:p w:rsidR="00E20ED7" w:rsidRDefault="00E20E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4B" w:rsidRDefault="005C1D4B" w:rsidP="00D0761A">
      <w:pPr>
        <w:spacing w:after="0" w:line="240" w:lineRule="auto"/>
      </w:pPr>
      <w:r>
        <w:separator/>
      </w:r>
    </w:p>
  </w:footnote>
  <w:footnote w:type="continuationSeparator" w:id="0">
    <w:p w:rsidR="005C1D4B" w:rsidRDefault="005C1D4B" w:rsidP="00D0761A">
      <w:pPr>
        <w:spacing w:after="0" w:line="240" w:lineRule="auto"/>
      </w:pPr>
      <w:r>
        <w:continuationSeparator/>
      </w:r>
    </w:p>
  </w:footnote>
  <w:footnote w:id="1">
    <w:p w:rsidR="00E20ED7" w:rsidRDefault="00E20ED7" w:rsidP="00F17B1D">
      <w:pPr>
        <w:pStyle w:val="Textpoznpodarou"/>
        <w:jc w:val="both"/>
      </w:pPr>
      <w:r>
        <w:rPr>
          <w:rStyle w:val="Znakapoznpodarou"/>
        </w:rPr>
        <w:footnoteRef/>
      </w:r>
      <w:r>
        <w:t xml:space="preserve"> Účetní jednotka může mít zřízený obdobný fond na krytí sociálních potřeb zaměstnanců a zaměstnaneckých </w:t>
      </w:r>
      <w:r w:rsidRPr="00080A06">
        <w:t>výhod tvořený například ze zisku.</w:t>
      </w:r>
      <w:r>
        <w:t xml:space="preserve"> V případě, že tyto prostředky nejsou převáděny na žádný běžný účet fondu (jako obdoba běžného účtu FKSP), je ve výkazu na položce A.2.VII.2 evidována až každá jednotlivá platba uskutečněná z tohoto fondu na konkrétní potřeby zaměstnanců.  </w:t>
      </w:r>
    </w:p>
  </w:footnote>
  <w:footnote w:id="2">
    <w:p w:rsidR="00E20ED7" w:rsidRDefault="00E20ED7">
      <w:pPr>
        <w:pStyle w:val="Textpoznpodarou"/>
      </w:pPr>
      <w:r>
        <w:rPr>
          <w:rStyle w:val="Znakapoznpodarou"/>
        </w:rPr>
        <w:footnoteRef/>
      </w:r>
      <w:r>
        <w:t xml:space="preserve"> Slouží k překlenutí časového nesouladu mezi účtováním pokladních dokladů a bankovních výpisů, ale používá se i při převodech mezi dvěma vlastními bankovními účty.</w:t>
      </w:r>
    </w:p>
  </w:footnote>
  <w:footnote w:id="3">
    <w:p w:rsidR="00E20ED7" w:rsidRDefault="00E20ED7" w:rsidP="001F0AEE">
      <w:pPr>
        <w:pStyle w:val="Textpoznpodarou"/>
        <w:jc w:val="both"/>
      </w:pPr>
      <w:r>
        <w:rPr>
          <w:rStyle w:val="Znakapoznpodarou"/>
        </w:rPr>
        <w:footnoteRef/>
      </w:r>
      <w:r>
        <w:t xml:space="preserve">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footnote>
  <w:footnote w:id="4">
    <w:p w:rsidR="00E20ED7" w:rsidRDefault="00E20ED7" w:rsidP="0092114C">
      <w:pPr>
        <w:pStyle w:val="Textpoznpodarou"/>
        <w:jc w:val="both"/>
      </w:pPr>
      <w:r>
        <w:rPr>
          <w:rStyle w:val="Znakapoznpodarou"/>
        </w:rPr>
        <w:footnoteRef/>
      </w:r>
      <w:r>
        <w:t xml:space="preserve"> Institucionální sektor podle ESA 2010. M</w:t>
      </w:r>
      <w:r w:rsidRPr="00342403">
        <w:t xml:space="preserve">etodika </w:t>
      </w:r>
      <w:r>
        <w:t xml:space="preserve">ESA 2010 </w:t>
      </w:r>
      <w:r w:rsidRPr="00342403">
        <w:t>je právně upravena v nařízení E</w:t>
      </w:r>
      <w:r>
        <w:t>vropského parlamentu</w:t>
      </w:r>
      <w:r w:rsidRPr="00342403">
        <w:t xml:space="preserve"> a Rady (EU) č. 549/2013 o Evropském systému národních a</w:t>
      </w:r>
      <w:r>
        <w:t> </w:t>
      </w:r>
      <w:r w:rsidRPr="00342403">
        <w:t>regionálních účtů v Evropské unii</w:t>
      </w:r>
      <w:r>
        <w:t>.</w:t>
      </w:r>
    </w:p>
  </w:footnote>
  <w:footnote w:id="5">
    <w:p w:rsidR="00E20ED7" w:rsidRDefault="00E20ED7" w:rsidP="0038016F">
      <w:pPr>
        <w:pStyle w:val="Textpoznpodarou"/>
        <w:jc w:val="both"/>
      </w:pPr>
      <w:r>
        <w:rPr>
          <w:rStyle w:val="Znakapoznpodarou"/>
        </w:rPr>
        <w:footnoteRef/>
      </w:r>
      <w:r>
        <w:t xml:space="preserve"> Podle § 6 odst. 2 </w:t>
      </w:r>
      <w:r w:rsidRPr="00F375A6">
        <w:t xml:space="preserve">zákona č. </w:t>
      </w:r>
      <w:r w:rsidRPr="004744A6">
        <w:t>23/2017</w:t>
      </w:r>
      <w:r>
        <w:t>, o pravidlech rozpočtové odpovědnosti</w:t>
      </w:r>
    </w:p>
  </w:footnote>
  <w:footnote w:id="6">
    <w:p w:rsidR="00E20ED7" w:rsidRDefault="00E20ED7">
      <w:pPr>
        <w:pStyle w:val="Textpoznpodarou"/>
      </w:pPr>
      <w:r>
        <w:rPr>
          <w:rStyle w:val="Znakapoznpodarou"/>
        </w:rPr>
        <w:footnoteRef/>
      </w:r>
      <w:r>
        <w:t xml:space="preserve"> Popsané způsoby zaznamenání slouží pouze pro potřeby naplnění výkazu peněžních příjmů a výdajů. Žádným způsobem nejsou dotčeny postupy a způsoby účtování upravené účetními předpisy.</w:t>
      </w:r>
    </w:p>
  </w:footnote>
  <w:footnote w:id="7">
    <w:p w:rsidR="00E20ED7" w:rsidRPr="00B50A69" w:rsidRDefault="00E20ED7" w:rsidP="00B50A69">
      <w:pPr>
        <w:pStyle w:val="Textpoznpodarou"/>
        <w:jc w:val="both"/>
      </w:pPr>
      <w:r>
        <w:rPr>
          <w:rStyle w:val="Znakapoznpodarou"/>
        </w:rPr>
        <w:footnoteRef/>
      </w:r>
      <w:r>
        <w:t xml:space="preserve"> </w:t>
      </w:r>
      <w:r w:rsidRPr="00800FEE">
        <w:rPr>
          <w:rFonts w:eastAsia="Times New Roman" w:cs="Arial"/>
          <w:lang w:eastAsia="cs-CZ"/>
        </w:rPr>
        <w:t xml:space="preserve">Jedná se o takové druhy záruk, které jsou poskytovány ve velkém množství, obvykle na relativně malé částky a za stejných </w:t>
      </w:r>
      <w:r w:rsidRPr="00B50A69">
        <w:rPr>
          <w:rFonts w:eastAsia="Times New Roman" w:cs="Arial"/>
          <w:lang w:eastAsia="cs-CZ"/>
        </w:rPr>
        <w:t>podmínek. I když míra pravděpodobnosti, že jedna určitá standardizovaná záruka bude uplatněna, je nejistá, skutečnost, že se vydává mnoho podobných záruk, znamená, že lze provést relativně spolehlivý odhad poč</w:t>
      </w:r>
      <w:r>
        <w:rPr>
          <w:rFonts w:eastAsia="Times New Roman" w:cs="Arial"/>
          <w:lang w:eastAsia="cs-CZ"/>
        </w:rPr>
        <w:t>tu uplatněných záruk.</w:t>
      </w:r>
      <w:r w:rsidRPr="00B50A69">
        <w:rPr>
          <w:rFonts w:eastAsia="Times New Roman" w:cs="Arial"/>
          <w:lang w:eastAsia="cs-CZ"/>
        </w:rPr>
        <w:t xml:space="preserve"> Nejčastějším příkladem takových záruk jsou záruky za exportní úvěry, studentské půjčky a systémy pojištění vkladů.</w:t>
      </w:r>
    </w:p>
  </w:footnote>
  <w:footnote w:id="8">
    <w:p w:rsidR="00E20ED7" w:rsidRDefault="00E20ED7">
      <w:pPr>
        <w:pStyle w:val="Textpoznpodarou"/>
      </w:pPr>
      <w:r>
        <w:rPr>
          <w:rStyle w:val="Znakapoznpodarou"/>
        </w:rPr>
        <w:footnoteRef/>
      </w:r>
      <w:r>
        <w:t xml:space="preserve"> </w:t>
      </w:r>
      <w:r w:rsidRPr="00310BAB">
        <w:rPr>
          <w:rFonts w:cs="EUAlbertina"/>
          <w:color w:val="000000"/>
        </w:rPr>
        <w:t>Ekonomicky významné ceny jsou ceny, které mají podstatný vliv na množství produktů, které jsou výrobci ochotni dodávat, a na množství produktů, které si kupující chtějí pořizovat. Tyto ceny vznikají, jsou-li splněny obě tyto podmínky:</w:t>
      </w:r>
      <w:r w:rsidRPr="00310BAB">
        <w:rPr>
          <w:rFonts w:cs="EUAlbertina"/>
          <w:color w:val="000000"/>
        </w:rPr>
        <w:br/>
        <w:t>a) výrobce je motivován upravovat nabídku s cílem buď dosahovat v dlouhodobém výhledu zisku, nebo alespoň pokrývat n</w:t>
      </w:r>
      <w:r>
        <w:rPr>
          <w:rFonts w:cs="EUAlbertina"/>
          <w:color w:val="000000"/>
        </w:rPr>
        <w:t>áklady, a</w:t>
      </w:r>
      <w:r>
        <w:rPr>
          <w:rFonts w:cs="EUAlbertina"/>
          <w:color w:val="000000"/>
        </w:rPr>
        <w:br/>
      </w:r>
      <w:r w:rsidRPr="00310BAB">
        <w:rPr>
          <w:rFonts w:cs="EUAlbertina"/>
          <w:color w:val="000000"/>
        </w:rPr>
        <w:t>b) spotřebitelé se mohou svobodně rozhodnout, zda nakoupí, nebo nenakoupí, a rozhodují se na základě účtovaných cen.</w:t>
      </w:r>
    </w:p>
  </w:footnote>
  <w:footnote w:id="9">
    <w:p w:rsidR="00E20ED7" w:rsidRDefault="00E20ED7" w:rsidP="00C519BB">
      <w:pPr>
        <w:pStyle w:val="Textpoznpodarou"/>
        <w:jc w:val="both"/>
      </w:pPr>
      <w:r>
        <w:rPr>
          <w:rStyle w:val="Znakapoznpodarou"/>
        </w:rPr>
        <w:footnoteRef/>
      </w:r>
      <w:r>
        <w:t xml:space="preserve"> Účetní jednotka může mít zřízený obdobný sociální fond na krytí sociálních potřeb zaměstnanců a zaměstnaneckých výhod tvořený například ze zisku. V případě, že tyto prostředky nejsou převáděny na žádný běžný účet fondu (jako obdoba běžného účtu FKSP), je ve výkazu na položce A.2.VII.2 evidována až každá jednotlivá platba uskutečněná z tohoto fondu na konkrétní potřeby zaměstnanců.</w:t>
      </w:r>
    </w:p>
  </w:footnote>
  <w:footnote w:id="10">
    <w:p w:rsidR="00E20ED7" w:rsidRDefault="00E20ED7" w:rsidP="00785E8E">
      <w:pPr>
        <w:pStyle w:val="Textpoznpodarou"/>
      </w:pPr>
      <w:r>
        <w:rPr>
          <w:rStyle w:val="Znakapoznpodarou"/>
        </w:rPr>
        <w:footnoteRef/>
      </w:r>
      <w:r>
        <w:t xml:space="preserve"> Zákon č. 121/2000 Sb., o právu autorském, o právech souvisejících s právem autorským a o změně některých zákonů (autorský zákon), ve znění pozdějších předpisů</w:t>
      </w:r>
    </w:p>
  </w:footnote>
  <w:footnote w:id="11">
    <w:p w:rsidR="00E20ED7" w:rsidRPr="00A600EE" w:rsidRDefault="00E20ED7" w:rsidP="00A600EE">
      <w:pPr>
        <w:pStyle w:val="Textpoznpodarou"/>
        <w:jc w:val="both"/>
      </w:pPr>
      <w:r>
        <w:rPr>
          <w:rStyle w:val="Znakapoznpodarou"/>
        </w:rPr>
        <w:footnoteRef/>
      </w:r>
      <w:r>
        <w:t xml:space="preserve"> </w:t>
      </w:r>
      <w:r w:rsidRPr="00262612">
        <w:t xml:space="preserve">Seznam veřejných společností v ČR (nefinančních i finančních) zveřejňuje </w:t>
      </w:r>
      <w:r>
        <w:t xml:space="preserve">každoročně do 31. října </w:t>
      </w:r>
      <w:r w:rsidRPr="00262612">
        <w:t>Ministerstvo financí na svých webových stránkách</w:t>
      </w:r>
      <w:r>
        <w:t xml:space="preserve">, a to na základě informací poskytnutých Českým statistickým úřadem ke dni 30. září téhož roku. Odkaz: </w:t>
      </w:r>
      <w:hyperlink r:id="rId1" w:history="1">
        <w:r w:rsidRPr="00262612">
          <w:rPr>
            <w:rStyle w:val="Hypertextovodkaz"/>
            <w:rFonts w:eastAsia="Times New Roman" w:cs="Arial"/>
            <w:lang w:eastAsia="cs-CZ"/>
          </w:rPr>
          <w:t>http://www.mfcr.cz/cs/verejny-sektor/rozpoctove-ramce-statisticke-informace/verejny-sektor/verejne-spolecnosti</w:t>
        </w:r>
      </w:hyperlink>
      <w:r w:rsidRPr="00262612">
        <w:t>. Určující je však aktuál</w:t>
      </w:r>
      <w:r>
        <w:t>ní zařazení konkrétní jednotky</w:t>
      </w:r>
      <w:r w:rsidRPr="00262612">
        <w:t xml:space="preserve"> mezi veřejné společnosti v </w:t>
      </w:r>
      <w:r>
        <w:t>r</w:t>
      </w:r>
      <w:r w:rsidRPr="00262612">
        <w:t xml:space="preserve">egistru ekonomických subjektů, dostupném na adrese: </w:t>
      </w:r>
      <w:hyperlink r:id="rId2" w:history="1">
        <w:r w:rsidRPr="0045632F">
          <w:rPr>
            <w:rStyle w:val="Hypertextovodkaz"/>
          </w:rPr>
          <w:t>https://www.czso.cz/csu/res/registr_ekonomickych_subjektu</w:t>
        </w:r>
      </w:hyperlink>
      <w:r w:rsidRPr="00262612">
        <w:rPr>
          <w:rStyle w:val="Hypertextovodkaz"/>
          <w:rFonts w:eastAsia="Times New Roman" w:cs="Arial"/>
          <w:color w:val="auto"/>
          <w:u w:val="none"/>
          <w:lang w:eastAsia="cs-CZ"/>
        </w:rPr>
        <w:t>. Jedná se</w:t>
      </w:r>
      <w:r w:rsidRPr="00A600EE">
        <w:rPr>
          <w:rStyle w:val="Hypertextovodkaz"/>
          <w:rFonts w:eastAsia="Times New Roman" w:cs="Arial"/>
          <w:color w:val="auto"/>
          <w:u w:val="none"/>
          <w:lang w:eastAsia="cs-CZ"/>
        </w:rPr>
        <w:t xml:space="preserve"> především o institucionální subsektor nefinančních podniků 11001; v případě finančních institucí pak subsektory 12201, 12301, 12401, 12501, 12601, 12701, 12801, 12901. </w:t>
      </w:r>
    </w:p>
  </w:footnote>
  <w:footnote w:id="12">
    <w:p w:rsidR="00E20ED7" w:rsidRDefault="00E20ED7" w:rsidP="00A54009">
      <w:pPr>
        <w:pStyle w:val="Textpoznpodarou"/>
        <w:jc w:val="both"/>
      </w:pPr>
      <w:r>
        <w:rPr>
          <w:rStyle w:val="Znakapoznpodarou"/>
        </w:rPr>
        <w:footnoteRef/>
      </w:r>
      <w:r>
        <w:t xml:space="preserve"> </w:t>
      </w:r>
      <w:r w:rsidRPr="0038016F">
        <w:t>Institucioná</w:t>
      </w:r>
      <w:r>
        <w:t>lní sektor podle ESA 2010. M</w:t>
      </w:r>
      <w:r w:rsidRPr="00342403">
        <w:t xml:space="preserve">etodika </w:t>
      </w:r>
      <w:r>
        <w:t xml:space="preserve">ESA 2010 </w:t>
      </w:r>
      <w:r w:rsidRPr="00342403">
        <w:t>je právně upravena v nařízení E</w:t>
      </w:r>
      <w:r>
        <w:t>vropského parlamentu</w:t>
      </w:r>
      <w:r w:rsidRPr="00342403">
        <w:t xml:space="preserve"> a Rady (EU) č. 549/2013 o Evropském systému národních a</w:t>
      </w:r>
      <w:r>
        <w:t> </w:t>
      </w:r>
      <w:r w:rsidRPr="00342403">
        <w:t>regionálních účtů v Evropské unii</w:t>
      </w:r>
      <w:r>
        <w:t>.</w:t>
      </w:r>
    </w:p>
  </w:footnote>
  <w:footnote w:id="13">
    <w:p w:rsidR="00E20ED7" w:rsidRDefault="00E20ED7" w:rsidP="00C86F15">
      <w:pPr>
        <w:pStyle w:val="Textpoznpodarou"/>
        <w:jc w:val="both"/>
      </w:pPr>
      <w:r>
        <w:rPr>
          <w:rStyle w:val="Znakapoznpodarou"/>
        </w:rPr>
        <w:footnoteRef/>
      </w:r>
      <w:r>
        <w:t xml:space="preserve"> </w:t>
      </w:r>
      <w:r w:rsidRPr="0038016F">
        <w:t>Institucionální</w:t>
      </w:r>
      <w:r>
        <w:t xml:space="preserve"> sektor podle ESA 2010. M</w:t>
      </w:r>
      <w:r w:rsidRPr="00342403">
        <w:t xml:space="preserve">etodika </w:t>
      </w:r>
      <w:r>
        <w:t xml:space="preserve">ESA 2010 </w:t>
      </w:r>
      <w:r w:rsidRPr="00342403">
        <w:t>je právně upravena v nařízení E</w:t>
      </w:r>
      <w:r>
        <w:t>vropského parlamentu</w:t>
      </w:r>
      <w:r w:rsidRPr="00342403">
        <w:t xml:space="preserve"> a Rady (EU) č. 549/2013 o Evropském systému národních a</w:t>
      </w:r>
      <w:r>
        <w:t> </w:t>
      </w:r>
      <w:r w:rsidRPr="00342403">
        <w:t>regionálních účtů v Evropské unii</w:t>
      </w:r>
      <w:r>
        <w:t>.</w:t>
      </w:r>
    </w:p>
  </w:footnote>
  <w:footnote w:id="14">
    <w:p w:rsidR="00E20ED7" w:rsidRDefault="00E20ED7" w:rsidP="001E66B5">
      <w:pPr>
        <w:pStyle w:val="Textpoznpodarou"/>
        <w:jc w:val="both"/>
      </w:pPr>
      <w:r>
        <w:rPr>
          <w:rStyle w:val="Znakapoznpodarou"/>
        </w:rPr>
        <w:footnoteRef/>
      </w:r>
      <w:r>
        <w:t xml:space="preserve"> Touto rozvahou se rozumí buď přímo rozvaha konkrétní vládní instituce, tedy dotčené osoby, anebo rozvaha celého sektoru, jak ji sestavuje Český statistický úřad v metodice ESA 2010.  </w:t>
      </w:r>
    </w:p>
  </w:footnote>
  <w:footnote w:id="15">
    <w:p w:rsidR="00E20ED7" w:rsidRDefault="00E20ED7" w:rsidP="005A78B4">
      <w:pPr>
        <w:pStyle w:val="Textpoznpodarou"/>
        <w:jc w:val="both"/>
      </w:pPr>
      <w:r>
        <w:rPr>
          <w:rStyle w:val="Znakapoznpodarou"/>
        </w:rPr>
        <w:footnoteRef/>
      </w:r>
      <w:r>
        <w:t xml:space="preserve"> </w:t>
      </w:r>
      <w:r w:rsidRPr="005A78B4">
        <w:t xml:space="preserve">Bližší informace o charakteru PPP projektů a jejich metodickém zachycování lze nalézt v </w:t>
      </w:r>
      <w:r w:rsidRPr="005A78B4">
        <w:rPr>
          <w:i/>
        </w:rPr>
        <w:t>Manuálu o vládním deficitu a dluhu</w:t>
      </w:r>
      <w:r w:rsidRPr="005A78B4">
        <w:t xml:space="preserve">, část VI. 4 (dostupné z </w:t>
      </w:r>
      <w:hyperlink r:id="rId3" w:history="1">
        <w:r w:rsidRPr="00835192">
          <w:rPr>
            <w:rStyle w:val="Hypertextovodkaz"/>
          </w:rPr>
          <w:t>http://ec.europa.eu/eurostat/web/products-manuals-and-guidelines/-/KS-GQ-14-010</w:t>
        </w:r>
      </w:hyperlink>
      <w:r w:rsidRPr="005A78B4">
        <w:t xml:space="preserve">), popř. v češtině přímo z </w:t>
      </w:r>
      <w:r w:rsidRPr="005A78B4">
        <w:rPr>
          <w:i/>
        </w:rPr>
        <w:t>Metodického popisu MF ČR</w:t>
      </w:r>
      <w:r w:rsidRPr="005A78B4">
        <w:t xml:space="preserve"> (dostupné z </w:t>
      </w:r>
      <w:hyperlink r:id="rId4" w:history="1">
        <w:r w:rsidRPr="00835192">
          <w:rPr>
            <w:rStyle w:val="Hypertextovodkaz"/>
          </w:rPr>
          <w:t>http://www.mfcr.cz/cs/verejny-sektor/rozpoctove-ramce-statisticke-informace/podminene-zavazky-a-dalsi-udaje/zavazky-z-ppp/2014/metodicky-popis-mimorozvahova-ppp-17060</w:t>
        </w:r>
      </w:hyperlink>
      <w:r w:rsidRPr="005A78B4">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D9C"/>
    <w:multiLevelType w:val="hybridMultilevel"/>
    <w:tmpl w:val="C7361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1228C2"/>
    <w:multiLevelType w:val="hybridMultilevel"/>
    <w:tmpl w:val="6D06F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8172E6"/>
    <w:multiLevelType w:val="multilevel"/>
    <w:tmpl w:val="A306AE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504BA3"/>
    <w:multiLevelType w:val="hybridMultilevel"/>
    <w:tmpl w:val="EAEE7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14630F"/>
    <w:multiLevelType w:val="hybridMultilevel"/>
    <w:tmpl w:val="E5743E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BCF30CE"/>
    <w:multiLevelType w:val="hybridMultilevel"/>
    <w:tmpl w:val="CA0A99E6"/>
    <w:lvl w:ilvl="0" w:tplc="C8CE0658">
      <w:start w:val="1"/>
      <w:numFmt w:val="upperRoman"/>
      <w:pStyle w:val="Nzev"/>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415B6C"/>
    <w:multiLevelType w:val="hybridMultilevel"/>
    <w:tmpl w:val="00A044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9B3A07"/>
    <w:multiLevelType w:val="hybridMultilevel"/>
    <w:tmpl w:val="ABEE6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9115C0"/>
    <w:multiLevelType w:val="hybridMultilevel"/>
    <w:tmpl w:val="1DE8C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0056D8"/>
    <w:multiLevelType w:val="hybridMultilevel"/>
    <w:tmpl w:val="DAEC2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2DE42EE"/>
    <w:multiLevelType w:val="hybridMultilevel"/>
    <w:tmpl w:val="5860C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9303D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B96666"/>
    <w:multiLevelType w:val="hybridMultilevel"/>
    <w:tmpl w:val="59988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9"/>
  </w:num>
  <w:num w:numId="5">
    <w:abstractNumId w:val="8"/>
  </w:num>
  <w:num w:numId="6">
    <w:abstractNumId w:val="11"/>
  </w:num>
  <w:num w:numId="7">
    <w:abstractNumId w:val="5"/>
  </w:num>
  <w:num w:numId="8">
    <w:abstractNumId w:val="5"/>
  </w:num>
  <w:num w:numId="9">
    <w:abstractNumId w:val="2"/>
  </w:num>
  <w:num w:numId="10">
    <w:abstractNumId w:val="6"/>
  </w:num>
  <w:num w:numId="11">
    <w:abstractNumId w:val="4"/>
  </w:num>
  <w:num w:numId="12">
    <w:abstractNumId w:val="0"/>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byšek Pospíchal">
    <w15:presenceInfo w15:providerId="Windows Live" w15:userId="905026bcabdff0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5293F"/>
    <w:rsid w:val="000118DC"/>
    <w:rsid w:val="00013208"/>
    <w:rsid w:val="00013D13"/>
    <w:rsid w:val="00015F22"/>
    <w:rsid w:val="000163D8"/>
    <w:rsid w:val="000174C4"/>
    <w:rsid w:val="00022601"/>
    <w:rsid w:val="00023C7E"/>
    <w:rsid w:val="00025C2C"/>
    <w:rsid w:val="000270FE"/>
    <w:rsid w:val="000271E9"/>
    <w:rsid w:val="000314F1"/>
    <w:rsid w:val="0003305F"/>
    <w:rsid w:val="0003459F"/>
    <w:rsid w:val="00035280"/>
    <w:rsid w:val="000370C1"/>
    <w:rsid w:val="0004283C"/>
    <w:rsid w:val="00042D60"/>
    <w:rsid w:val="00044760"/>
    <w:rsid w:val="00046CCE"/>
    <w:rsid w:val="000509D2"/>
    <w:rsid w:val="00055104"/>
    <w:rsid w:val="00057A8E"/>
    <w:rsid w:val="00060C3B"/>
    <w:rsid w:val="00060E29"/>
    <w:rsid w:val="000644CB"/>
    <w:rsid w:val="000669A2"/>
    <w:rsid w:val="0007043B"/>
    <w:rsid w:val="000715D7"/>
    <w:rsid w:val="000733FD"/>
    <w:rsid w:val="000735A0"/>
    <w:rsid w:val="000742DE"/>
    <w:rsid w:val="00075718"/>
    <w:rsid w:val="00080A06"/>
    <w:rsid w:val="0008297B"/>
    <w:rsid w:val="0009154A"/>
    <w:rsid w:val="00091570"/>
    <w:rsid w:val="00094A7F"/>
    <w:rsid w:val="0009565A"/>
    <w:rsid w:val="00095CC4"/>
    <w:rsid w:val="00095D9F"/>
    <w:rsid w:val="00096E2B"/>
    <w:rsid w:val="000A1437"/>
    <w:rsid w:val="000B013E"/>
    <w:rsid w:val="000B3AA5"/>
    <w:rsid w:val="000B582A"/>
    <w:rsid w:val="000B7517"/>
    <w:rsid w:val="000C07C7"/>
    <w:rsid w:val="000C4058"/>
    <w:rsid w:val="000C59CD"/>
    <w:rsid w:val="000C5EB0"/>
    <w:rsid w:val="000D11FB"/>
    <w:rsid w:val="000D60D2"/>
    <w:rsid w:val="000D618F"/>
    <w:rsid w:val="000D7132"/>
    <w:rsid w:val="000E1D07"/>
    <w:rsid w:val="000E6748"/>
    <w:rsid w:val="000F130C"/>
    <w:rsid w:val="000F3BD7"/>
    <w:rsid w:val="000F629B"/>
    <w:rsid w:val="000F6667"/>
    <w:rsid w:val="000F74D3"/>
    <w:rsid w:val="00100091"/>
    <w:rsid w:val="00105331"/>
    <w:rsid w:val="00111CCF"/>
    <w:rsid w:val="00115AAF"/>
    <w:rsid w:val="001164FE"/>
    <w:rsid w:val="00116803"/>
    <w:rsid w:val="001203D0"/>
    <w:rsid w:val="001211EA"/>
    <w:rsid w:val="00122F9A"/>
    <w:rsid w:val="00127B09"/>
    <w:rsid w:val="00130EA0"/>
    <w:rsid w:val="00133FF0"/>
    <w:rsid w:val="00135208"/>
    <w:rsid w:val="00135316"/>
    <w:rsid w:val="00141F72"/>
    <w:rsid w:val="001525B0"/>
    <w:rsid w:val="0015444A"/>
    <w:rsid w:val="00155403"/>
    <w:rsid w:val="0015740B"/>
    <w:rsid w:val="00161F81"/>
    <w:rsid w:val="00164380"/>
    <w:rsid w:val="00166218"/>
    <w:rsid w:val="00167848"/>
    <w:rsid w:val="00167A15"/>
    <w:rsid w:val="0017225E"/>
    <w:rsid w:val="00174A7C"/>
    <w:rsid w:val="00175D27"/>
    <w:rsid w:val="001760FB"/>
    <w:rsid w:val="00176785"/>
    <w:rsid w:val="001803F0"/>
    <w:rsid w:val="00181D4D"/>
    <w:rsid w:val="00183048"/>
    <w:rsid w:val="00183292"/>
    <w:rsid w:val="00183F1B"/>
    <w:rsid w:val="00186A9B"/>
    <w:rsid w:val="0018735C"/>
    <w:rsid w:val="0018799C"/>
    <w:rsid w:val="00197B49"/>
    <w:rsid w:val="001A0B10"/>
    <w:rsid w:val="001A15CD"/>
    <w:rsid w:val="001A41DE"/>
    <w:rsid w:val="001A5FE8"/>
    <w:rsid w:val="001B213A"/>
    <w:rsid w:val="001B2643"/>
    <w:rsid w:val="001B5B52"/>
    <w:rsid w:val="001B665E"/>
    <w:rsid w:val="001C19B9"/>
    <w:rsid w:val="001C1E8D"/>
    <w:rsid w:val="001C27F6"/>
    <w:rsid w:val="001C3293"/>
    <w:rsid w:val="001C5DDA"/>
    <w:rsid w:val="001C6866"/>
    <w:rsid w:val="001C6C63"/>
    <w:rsid w:val="001D5C9B"/>
    <w:rsid w:val="001D6A57"/>
    <w:rsid w:val="001D7094"/>
    <w:rsid w:val="001E5F25"/>
    <w:rsid w:val="001E66B5"/>
    <w:rsid w:val="001E6FEF"/>
    <w:rsid w:val="001E73BC"/>
    <w:rsid w:val="001F0AEE"/>
    <w:rsid w:val="001F0E97"/>
    <w:rsid w:val="001F663E"/>
    <w:rsid w:val="001F6D3B"/>
    <w:rsid w:val="001F721B"/>
    <w:rsid w:val="0020629A"/>
    <w:rsid w:val="00207C16"/>
    <w:rsid w:val="00211D85"/>
    <w:rsid w:val="00214C5B"/>
    <w:rsid w:val="00216210"/>
    <w:rsid w:val="00216876"/>
    <w:rsid w:val="00216DAF"/>
    <w:rsid w:val="002244EA"/>
    <w:rsid w:val="002261B3"/>
    <w:rsid w:val="002269EA"/>
    <w:rsid w:val="0022760D"/>
    <w:rsid w:val="002278F2"/>
    <w:rsid w:val="0023302F"/>
    <w:rsid w:val="00240664"/>
    <w:rsid w:val="00243ED2"/>
    <w:rsid w:val="00246C79"/>
    <w:rsid w:val="002510D9"/>
    <w:rsid w:val="0025110D"/>
    <w:rsid w:val="002544E8"/>
    <w:rsid w:val="00260E5C"/>
    <w:rsid w:val="002612BB"/>
    <w:rsid w:val="00261D45"/>
    <w:rsid w:val="00262612"/>
    <w:rsid w:val="00271FD6"/>
    <w:rsid w:val="00272E60"/>
    <w:rsid w:val="00273A9D"/>
    <w:rsid w:val="00276145"/>
    <w:rsid w:val="0027736A"/>
    <w:rsid w:val="0027739C"/>
    <w:rsid w:val="002777BA"/>
    <w:rsid w:val="00280C33"/>
    <w:rsid w:val="00283983"/>
    <w:rsid w:val="002846BC"/>
    <w:rsid w:val="00293DD0"/>
    <w:rsid w:val="00293F8F"/>
    <w:rsid w:val="002A0F0C"/>
    <w:rsid w:val="002A1CEC"/>
    <w:rsid w:val="002A5C06"/>
    <w:rsid w:val="002B2436"/>
    <w:rsid w:val="002B3963"/>
    <w:rsid w:val="002B6277"/>
    <w:rsid w:val="002B79EF"/>
    <w:rsid w:val="002C14D7"/>
    <w:rsid w:val="002C1F91"/>
    <w:rsid w:val="002C4011"/>
    <w:rsid w:val="002C5B1E"/>
    <w:rsid w:val="002C5C90"/>
    <w:rsid w:val="002C7CBA"/>
    <w:rsid w:val="002D1144"/>
    <w:rsid w:val="002D5143"/>
    <w:rsid w:val="002D6011"/>
    <w:rsid w:val="002E4CD7"/>
    <w:rsid w:val="002E5BB3"/>
    <w:rsid w:val="002F6D9F"/>
    <w:rsid w:val="00301265"/>
    <w:rsid w:val="00310344"/>
    <w:rsid w:val="00311D45"/>
    <w:rsid w:val="00314170"/>
    <w:rsid w:val="0031421B"/>
    <w:rsid w:val="00314C7F"/>
    <w:rsid w:val="00314CF5"/>
    <w:rsid w:val="0032001E"/>
    <w:rsid w:val="00320D82"/>
    <w:rsid w:val="0032136B"/>
    <w:rsid w:val="00322E22"/>
    <w:rsid w:val="003273AD"/>
    <w:rsid w:val="0033112B"/>
    <w:rsid w:val="00335635"/>
    <w:rsid w:val="003375C2"/>
    <w:rsid w:val="003409D1"/>
    <w:rsid w:val="00340AC7"/>
    <w:rsid w:val="0034246C"/>
    <w:rsid w:val="0034269B"/>
    <w:rsid w:val="00344A32"/>
    <w:rsid w:val="00347C6A"/>
    <w:rsid w:val="003511DF"/>
    <w:rsid w:val="003519FC"/>
    <w:rsid w:val="0035445E"/>
    <w:rsid w:val="003567D2"/>
    <w:rsid w:val="00356844"/>
    <w:rsid w:val="003576CC"/>
    <w:rsid w:val="00361A0C"/>
    <w:rsid w:val="0036265C"/>
    <w:rsid w:val="00362FA2"/>
    <w:rsid w:val="0036493D"/>
    <w:rsid w:val="00373C5C"/>
    <w:rsid w:val="00376F48"/>
    <w:rsid w:val="0038016F"/>
    <w:rsid w:val="003849EB"/>
    <w:rsid w:val="00391A45"/>
    <w:rsid w:val="0039503C"/>
    <w:rsid w:val="003A3D14"/>
    <w:rsid w:val="003A4365"/>
    <w:rsid w:val="003B0C26"/>
    <w:rsid w:val="003B2341"/>
    <w:rsid w:val="003B36A9"/>
    <w:rsid w:val="003B4354"/>
    <w:rsid w:val="003B5C40"/>
    <w:rsid w:val="003B66EE"/>
    <w:rsid w:val="003B6CC5"/>
    <w:rsid w:val="003B74AB"/>
    <w:rsid w:val="003C14F7"/>
    <w:rsid w:val="003C6910"/>
    <w:rsid w:val="003C6FE8"/>
    <w:rsid w:val="003C733B"/>
    <w:rsid w:val="003D3C9A"/>
    <w:rsid w:val="003D40D0"/>
    <w:rsid w:val="003D66DB"/>
    <w:rsid w:val="003D701D"/>
    <w:rsid w:val="003E2393"/>
    <w:rsid w:val="003E3627"/>
    <w:rsid w:val="003E36EE"/>
    <w:rsid w:val="003E379C"/>
    <w:rsid w:val="003E4E40"/>
    <w:rsid w:val="003E70A3"/>
    <w:rsid w:val="003F001D"/>
    <w:rsid w:val="003F0B63"/>
    <w:rsid w:val="003F357D"/>
    <w:rsid w:val="003F48EB"/>
    <w:rsid w:val="00401565"/>
    <w:rsid w:val="00404F1C"/>
    <w:rsid w:val="004055AB"/>
    <w:rsid w:val="00405EC4"/>
    <w:rsid w:val="004071C6"/>
    <w:rsid w:val="0041264F"/>
    <w:rsid w:val="004137DD"/>
    <w:rsid w:val="004151BA"/>
    <w:rsid w:val="00420E8B"/>
    <w:rsid w:val="004309DE"/>
    <w:rsid w:val="00432F01"/>
    <w:rsid w:val="00433762"/>
    <w:rsid w:val="0043430B"/>
    <w:rsid w:val="00437EA8"/>
    <w:rsid w:val="0044355C"/>
    <w:rsid w:val="00450580"/>
    <w:rsid w:val="00452A70"/>
    <w:rsid w:val="00456B42"/>
    <w:rsid w:val="0046135E"/>
    <w:rsid w:val="00463E57"/>
    <w:rsid w:val="00465699"/>
    <w:rsid w:val="0046666C"/>
    <w:rsid w:val="00466A99"/>
    <w:rsid w:val="00472DF2"/>
    <w:rsid w:val="004738AC"/>
    <w:rsid w:val="004744A6"/>
    <w:rsid w:val="0049289A"/>
    <w:rsid w:val="00494CF9"/>
    <w:rsid w:val="00496CEC"/>
    <w:rsid w:val="00497001"/>
    <w:rsid w:val="004974B2"/>
    <w:rsid w:val="004A133B"/>
    <w:rsid w:val="004A185E"/>
    <w:rsid w:val="004A43FE"/>
    <w:rsid w:val="004A7694"/>
    <w:rsid w:val="004B02AE"/>
    <w:rsid w:val="004B0EC2"/>
    <w:rsid w:val="004B30B7"/>
    <w:rsid w:val="004C0D96"/>
    <w:rsid w:val="004C2269"/>
    <w:rsid w:val="004C5938"/>
    <w:rsid w:val="004D0779"/>
    <w:rsid w:val="004D0CE8"/>
    <w:rsid w:val="004D2DE1"/>
    <w:rsid w:val="004D3249"/>
    <w:rsid w:val="004D4FFC"/>
    <w:rsid w:val="004D57EE"/>
    <w:rsid w:val="004E1B71"/>
    <w:rsid w:val="004E63E1"/>
    <w:rsid w:val="004F5B45"/>
    <w:rsid w:val="004F690D"/>
    <w:rsid w:val="004F69EF"/>
    <w:rsid w:val="00502767"/>
    <w:rsid w:val="00504940"/>
    <w:rsid w:val="005051BF"/>
    <w:rsid w:val="00512518"/>
    <w:rsid w:val="005172EA"/>
    <w:rsid w:val="00521718"/>
    <w:rsid w:val="005219A6"/>
    <w:rsid w:val="00522316"/>
    <w:rsid w:val="005226AB"/>
    <w:rsid w:val="0052378B"/>
    <w:rsid w:val="00524B4E"/>
    <w:rsid w:val="005271B3"/>
    <w:rsid w:val="005430F0"/>
    <w:rsid w:val="00545E54"/>
    <w:rsid w:val="005502CE"/>
    <w:rsid w:val="00550A88"/>
    <w:rsid w:val="00552628"/>
    <w:rsid w:val="005531C1"/>
    <w:rsid w:val="005532E4"/>
    <w:rsid w:val="00555140"/>
    <w:rsid w:val="00555E72"/>
    <w:rsid w:val="0055707D"/>
    <w:rsid w:val="00561355"/>
    <w:rsid w:val="00570CE0"/>
    <w:rsid w:val="0057462D"/>
    <w:rsid w:val="00575237"/>
    <w:rsid w:val="00577620"/>
    <w:rsid w:val="00584625"/>
    <w:rsid w:val="00586562"/>
    <w:rsid w:val="00587840"/>
    <w:rsid w:val="00591208"/>
    <w:rsid w:val="00595094"/>
    <w:rsid w:val="00595504"/>
    <w:rsid w:val="00597240"/>
    <w:rsid w:val="005A0903"/>
    <w:rsid w:val="005A62A8"/>
    <w:rsid w:val="005A6EB6"/>
    <w:rsid w:val="005A78B4"/>
    <w:rsid w:val="005B17AB"/>
    <w:rsid w:val="005B1BEF"/>
    <w:rsid w:val="005B28DC"/>
    <w:rsid w:val="005B3F3A"/>
    <w:rsid w:val="005B4032"/>
    <w:rsid w:val="005B52B7"/>
    <w:rsid w:val="005B6B16"/>
    <w:rsid w:val="005C04B1"/>
    <w:rsid w:val="005C086F"/>
    <w:rsid w:val="005C13D8"/>
    <w:rsid w:val="005C1D4B"/>
    <w:rsid w:val="005D0084"/>
    <w:rsid w:val="005D120E"/>
    <w:rsid w:val="005D2293"/>
    <w:rsid w:val="005D29FC"/>
    <w:rsid w:val="005E1DC0"/>
    <w:rsid w:val="005E25EA"/>
    <w:rsid w:val="005E32BE"/>
    <w:rsid w:val="005E612F"/>
    <w:rsid w:val="005E76CE"/>
    <w:rsid w:val="005F3FCC"/>
    <w:rsid w:val="005F403D"/>
    <w:rsid w:val="005F62B5"/>
    <w:rsid w:val="005F6652"/>
    <w:rsid w:val="005F6F01"/>
    <w:rsid w:val="00600E97"/>
    <w:rsid w:val="0060116A"/>
    <w:rsid w:val="00601E13"/>
    <w:rsid w:val="00605E3D"/>
    <w:rsid w:val="00606137"/>
    <w:rsid w:val="00607FB1"/>
    <w:rsid w:val="00611FF5"/>
    <w:rsid w:val="0061408B"/>
    <w:rsid w:val="00615BF6"/>
    <w:rsid w:val="006164E6"/>
    <w:rsid w:val="00620734"/>
    <w:rsid w:val="006230FC"/>
    <w:rsid w:val="00624903"/>
    <w:rsid w:val="00626185"/>
    <w:rsid w:val="00632410"/>
    <w:rsid w:val="00637CF6"/>
    <w:rsid w:val="00641270"/>
    <w:rsid w:val="006429D2"/>
    <w:rsid w:val="00645360"/>
    <w:rsid w:val="006473B3"/>
    <w:rsid w:val="006519CF"/>
    <w:rsid w:val="0065319B"/>
    <w:rsid w:val="00657C44"/>
    <w:rsid w:val="00657CB7"/>
    <w:rsid w:val="0066023D"/>
    <w:rsid w:val="006602FF"/>
    <w:rsid w:val="00664636"/>
    <w:rsid w:val="006744F8"/>
    <w:rsid w:val="00675998"/>
    <w:rsid w:val="00677668"/>
    <w:rsid w:val="0067772A"/>
    <w:rsid w:val="00681108"/>
    <w:rsid w:val="0068295B"/>
    <w:rsid w:val="00685ED5"/>
    <w:rsid w:val="00686997"/>
    <w:rsid w:val="006878D5"/>
    <w:rsid w:val="0069033A"/>
    <w:rsid w:val="0069034D"/>
    <w:rsid w:val="006908CB"/>
    <w:rsid w:val="0069198D"/>
    <w:rsid w:val="00694B57"/>
    <w:rsid w:val="00695B59"/>
    <w:rsid w:val="006A0A52"/>
    <w:rsid w:val="006B01DE"/>
    <w:rsid w:val="006C08C0"/>
    <w:rsid w:val="006C0BEF"/>
    <w:rsid w:val="006C146D"/>
    <w:rsid w:val="006C2CB8"/>
    <w:rsid w:val="006C38FB"/>
    <w:rsid w:val="006C768C"/>
    <w:rsid w:val="006D1913"/>
    <w:rsid w:val="006D20C1"/>
    <w:rsid w:val="006D5D2A"/>
    <w:rsid w:val="006D5EA8"/>
    <w:rsid w:val="006D5EB9"/>
    <w:rsid w:val="006D6C59"/>
    <w:rsid w:val="006E0CA9"/>
    <w:rsid w:val="006E1F53"/>
    <w:rsid w:val="006E20A0"/>
    <w:rsid w:val="006E4DF9"/>
    <w:rsid w:val="006E5C23"/>
    <w:rsid w:val="006E653B"/>
    <w:rsid w:val="006E7E68"/>
    <w:rsid w:val="006F17D6"/>
    <w:rsid w:val="006F2FC0"/>
    <w:rsid w:val="006F4402"/>
    <w:rsid w:val="006F583E"/>
    <w:rsid w:val="006F6003"/>
    <w:rsid w:val="006F6BD1"/>
    <w:rsid w:val="006F7A35"/>
    <w:rsid w:val="00704673"/>
    <w:rsid w:val="00706C9E"/>
    <w:rsid w:val="0071042F"/>
    <w:rsid w:val="00712F97"/>
    <w:rsid w:val="007163E0"/>
    <w:rsid w:val="00717F60"/>
    <w:rsid w:val="007206A6"/>
    <w:rsid w:val="007242F0"/>
    <w:rsid w:val="007250A3"/>
    <w:rsid w:val="00725645"/>
    <w:rsid w:val="00726134"/>
    <w:rsid w:val="007265B9"/>
    <w:rsid w:val="00727DE1"/>
    <w:rsid w:val="00732AAB"/>
    <w:rsid w:val="00737F5D"/>
    <w:rsid w:val="00741ABB"/>
    <w:rsid w:val="00742F22"/>
    <w:rsid w:val="007446DA"/>
    <w:rsid w:val="00746ADC"/>
    <w:rsid w:val="00750166"/>
    <w:rsid w:val="00750C5B"/>
    <w:rsid w:val="00751FCF"/>
    <w:rsid w:val="00752F85"/>
    <w:rsid w:val="00753F29"/>
    <w:rsid w:val="00761472"/>
    <w:rsid w:val="00763BA3"/>
    <w:rsid w:val="00770FE3"/>
    <w:rsid w:val="0077149B"/>
    <w:rsid w:val="007714A3"/>
    <w:rsid w:val="00772791"/>
    <w:rsid w:val="00772E97"/>
    <w:rsid w:val="007759EA"/>
    <w:rsid w:val="00782C6D"/>
    <w:rsid w:val="00785E8E"/>
    <w:rsid w:val="00786D17"/>
    <w:rsid w:val="00790A36"/>
    <w:rsid w:val="00795C04"/>
    <w:rsid w:val="007A0780"/>
    <w:rsid w:val="007A0B87"/>
    <w:rsid w:val="007A44E6"/>
    <w:rsid w:val="007A5ED7"/>
    <w:rsid w:val="007A673B"/>
    <w:rsid w:val="007A6A88"/>
    <w:rsid w:val="007A6F3C"/>
    <w:rsid w:val="007A7CF3"/>
    <w:rsid w:val="007B0B6E"/>
    <w:rsid w:val="007B3150"/>
    <w:rsid w:val="007B31DD"/>
    <w:rsid w:val="007B37E3"/>
    <w:rsid w:val="007B38C4"/>
    <w:rsid w:val="007B45E2"/>
    <w:rsid w:val="007C1CB1"/>
    <w:rsid w:val="007C2359"/>
    <w:rsid w:val="007C46E5"/>
    <w:rsid w:val="007D2A3B"/>
    <w:rsid w:val="007D3621"/>
    <w:rsid w:val="007D398A"/>
    <w:rsid w:val="007D3FDC"/>
    <w:rsid w:val="007D4954"/>
    <w:rsid w:val="007D4AD5"/>
    <w:rsid w:val="007D583D"/>
    <w:rsid w:val="007D6E1B"/>
    <w:rsid w:val="007E19FB"/>
    <w:rsid w:val="007E78C6"/>
    <w:rsid w:val="007E7C03"/>
    <w:rsid w:val="007E7C4C"/>
    <w:rsid w:val="007F3F4C"/>
    <w:rsid w:val="00802BC3"/>
    <w:rsid w:val="00803314"/>
    <w:rsid w:val="008073AD"/>
    <w:rsid w:val="00813182"/>
    <w:rsid w:val="00815485"/>
    <w:rsid w:val="008179B2"/>
    <w:rsid w:val="00820A57"/>
    <w:rsid w:val="008255CE"/>
    <w:rsid w:val="00827BE7"/>
    <w:rsid w:val="008316E7"/>
    <w:rsid w:val="00831C7C"/>
    <w:rsid w:val="00831DEA"/>
    <w:rsid w:val="00832634"/>
    <w:rsid w:val="00835457"/>
    <w:rsid w:val="0083617A"/>
    <w:rsid w:val="0084140A"/>
    <w:rsid w:val="008417F1"/>
    <w:rsid w:val="00843E46"/>
    <w:rsid w:val="00844FD6"/>
    <w:rsid w:val="00862D05"/>
    <w:rsid w:val="00864C97"/>
    <w:rsid w:val="00885309"/>
    <w:rsid w:val="00886B03"/>
    <w:rsid w:val="008907E1"/>
    <w:rsid w:val="00890B19"/>
    <w:rsid w:val="008972F5"/>
    <w:rsid w:val="008B1FBB"/>
    <w:rsid w:val="008B25AE"/>
    <w:rsid w:val="008B3167"/>
    <w:rsid w:val="008B4E14"/>
    <w:rsid w:val="008B7260"/>
    <w:rsid w:val="008B7AB2"/>
    <w:rsid w:val="008C2420"/>
    <w:rsid w:val="008C65BC"/>
    <w:rsid w:val="008C7D8B"/>
    <w:rsid w:val="008D1624"/>
    <w:rsid w:val="008D1BE8"/>
    <w:rsid w:val="008D7ECE"/>
    <w:rsid w:val="008E13C5"/>
    <w:rsid w:val="008E3D9D"/>
    <w:rsid w:val="008F063C"/>
    <w:rsid w:val="008F471A"/>
    <w:rsid w:val="00901435"/>
    <w:rsid w:val="00904685"/>
    <w:rsid w:val="00907394"/>
    <w:rsid w:val="00911A12"/>
    <w:rsid w:val="00915330"/>
    <w:rsid w:val="0092034A"/>
    <w:rsid w:val="0092114C"/>
    <w:rsid w:val="009224BD"/>
    <w:rsid w:val="00924491"/>
    <w:rsid w:val="009253AB"/>
    <w:rsid w:val="00926657"/>
    <w:rsid w:val="00927A51"/>
    <w:rsid w:val="00935C41"/>
    <w:rsid w:val="00935E90"/>
    <w:rsid w:val="00937417"/>
    <w:rsid w:val="00937B6F"/>
    <w:rsid w:val="009406B6"/>
    <w:rsid w:val="00941D82"/>
    <w:rsid w:val="0095293F"/>
    <w:rsid w:val="0095338C"/>
    <w:rsid w:val="009579E4"/>
    <w:rsid w:val="00957CEA"/>
    <w:rsid w:val="009611F1"/>
    <w:rsid w:val="009640D2"/>
    <w:rsid w:val="00966CE6"/>
    <w:rsid w:val="00975236"/>
    <w:rsid w:val="009768C5"/>
    <w:rsid w:val="00981B2F"/>
    <w:rsid w:val="00984EDE"/>
    <w:rsid w:val="00985B6A"/>
    <w:rsid w:val="0098723B"/>
    <w:rsid w:val="00991079"/>
    <w:rsid w:val="009933CC"/>
    <w:rsid w:val="00996DF7"/>
    <w:rsid w:val="009A1771"/>
    <w:rsid w:val="009A2C15"/>
    <w:rsid w:val="009A512A"/>
    <w:rsid w:val="009A53E6"/>
    <w:rsid w:val="009A5AFB"/>
    <w:rsid w:val="009A6034"/>
    <w:rsid w:val="009B0A77"/>
    <w:rsid w:val="009B3835"/>
    <w:rsid w:val="009B6624"/>
    <w:rsid w:val="009B7FD7"/>
    <w:rsid w:val="009C1C5D"/>
    <w:rsid w:val="009C6065"/>
    <w:rsid w:val="009C78CD"/>
    <w:rsid w:val="009C7C4E"/>
    <w:rsid w:val="009D02C3"/>
    <w:rsid w:val="009D1155"/>
    <w:rsid w:val="009D1647"/>
    <w:rsid w:val="009D49FD"/>
    <w:rsid w:val="009D4C62"/>
    <w:rsid w:val="009E027C"/>
    <w:rsid w:val="009E12BD"/>
    <w:rsid w:val="009E2420"/>
    <w:rsid w:val="009E49C3"/>
    <w:rsid w:val="009E6C97"/>
    <w:rsid w:val="009F1231"/>
    <w:rsid w:val="009F325A"/>
    <w:rsid w:val="009F42FF"/>
    <w:rsid w:val="009F5EE3"/>
    <w:rsid w:val="00A03342"/>
    <w:rsid w:val="00A04DE3"/>
    <w:rsid w:val="00A0752D"/>
    <w:rsid w:val="00A11B23"/>
    <w:rsid w:val="00A2218F"/>
    <w:rsid w:val="00A24364"/>
    <w:rsid w:val="00A2455E"/>
    <w:rsid w:val="00A24960"/>
    <w:rsid w:val="00A2524A"/>
    <w:rsid w:val="00A252EF"/>
    <w:rsid w:val="00A27FDE"/>
    <w:rsid w:val="00A3048C"/>
    <w:rsid w:val="00A31963"/>
    <w:rsid w:val="00A321DD"/>
    <w:rsid w:val="00A32933"/>
    <w:rsid w:val="00A3300E"/>
    <w:rsid w:val="00A356FF"/>
    <w:rsid w:val="00A40A48"/>
    <w:rsid w:val="00A43EF7"/>
    <w:rsid w:val="00A4676B"/>
    <w:rsid w:val="00A50927"/>
    <w:rsid w:val="00A54009"/>
    <w:rsid w:val="00A544D3"/>
    <w:rsid w:val="00A570FD"/>
    <w:rsid w:val="00A600EE"/>
    <w:rsid w:val="00A71CE6"/>
    <w:rsid w:val="00A76590"/>
    <w:rsid w:val="00A81AAF"/>
    <w:rsid w:val="00A81DF0"/>
    <w:rsid w:val="00A8751F"/>
    <w:rsid w:val="00AA144A"/>
    <w:rsid w:val="00AA5085"/>
    <w:rsid w:val="00AA6ED1"/>
    <w:rsid w:val="00AB5D26"/>
    <w:rsid w:val="00AC0577"/>
    <w:rsid w:val="00AC3377"/>
    <w:rsid w:val="00AC3F24"/>
    <w:rsid w:val="00AC66A4"/>
    <w:rsid w:val="00AC66C8"/>
    <w:rsid w:val="00AD18DD"/>
    <w:rsid w:val="00AD214D"/>
    <w:rsid w:val="00AD63C4"/>
    <w:rsid w:val="00AD66E3"/>
    <w:rsid w:val="00AD6C0E"/>
    <w:rsid w:val="00AD7706"/>
    <w:rsid w:val="00AE07A1"/>
    <w:rsid w:val="00AE1E1F"/>
    <w:rsid w:val="00AE1F9A"/>
    <w:rsid w:val="00AE4849"/>
    <w:rsid w:val="00AE7BE5"/>
    <w:rsid w:val="00AF2B9F"/>
    <w:rsid w:val="00AF57E9"/>
    <w:rsid w:val="00B02E56"/>
    <w:rsid w:val="00B072DA"/>
    <w:rsid w:val="00B12EC2"/>
    <w:rsid w:val="00B154BE"/>
    <w:rsid w:val="00B21CC6"/>
    <w:rsid w:val="00B24CDE"/>
    <w:rsid w:val="00B251AD"/>
    <w:rsid w:val="00B25850"/>
    <w:rsid w:val="00B36A2F"/>
    <w:rsid w:val="00B41ADC"/>
    <w:rsid w:val="00B4296B"/>
    <w:rsid w:val="00B4336D"/>
    <w:rsid w:val="00B437D0"/>
    <w:rsid w:val="00B446E9"/>
    <w:rsid w:val="00B45D82"/>
    <w:rsid w:val="00B461EE"/>
    <w:rsid w:val="00B46E59"/>
    <w:rsid w:val="00B50A69"/>
    <w:rsid w:val="00B61400"/>
    <w:rsid w:val="00B6152C"/>
    <w:rsid w:val="00B62C2D"/>
    <w:rsid w:val="00B65606"/>
    <w:rsid w:val="00B7254C"/>
    <w:rsid w:val="00B74488"/>
    <w:rsid w:val="00B74604"/>
    <w:rsid w:val="00B87AA0"/>
    <w:rsid w:val="00B90546"/>
    <w:rsid w:val="00B91DFE"/>
    <w:rsid w:val="00B93408"/>
    <w:rsid w:val="00B96A0B"/>
    <w:rsid w:val="00BA2AFC"/>
    <w:rsid w:val="00BB1199"/>
    <w:rsid w:val="00BB1736"/>
    <w:rsid w:val="00BB34DB"/>
    <w:rsid w:val="00BB406A"/>
    <w:rsid w:val="00BB548A"/>
    <w:rsid w:val="00BB5D63"/>
    <w:rsid w:val="00BC0C61"/>
    <w:rsid w:val="00BC18CC"/>
    <w:rsid w:val="00BC26FE"/>
    <w:rsid w:val="00BC3CD1"/>
    <w:rsid w:val="00BC4ACC"/>
    <w:rsid w:val="00BC4F69"/>
    <w:rsid w:val="00BC64F7"/>
    <w:rsid w:val="00BD1E70"/>
    <w:rsid w:val="00BD3E1A"/>
    <w:rsid w:val="00BD4672"/>
    <w:rsid w:val="00BD5384"/>
    <w:rsid w:val="00BE149E"/>
    <w:rsid w:val="00BE1FD8"/>
    <w:rsid w:val="00BE3468"/>
    <w:rsid w:val="00BE4B57"/>
    <w:rsid w:val="00BE51A0"/>
    <w:rsid w:val="00BE56D8"/>
    <w:rsid w:val="00BF2611"/>
    <w:rsid w:val="00BF3AB9"/>
    <w:rsid w:val="00BF4A5D"/>
    <w:rsid w:val="00BF5DEE"/>
    <w:rsid w:val="00BF7633"/>
    <w:rsid w:val="00C01118"/>
    <w:rsid w:val="00C02235"/>
    <w:rsid w:val="00C055B2"/>
    <w:rsid w:val="00C113DF"/>
    <w:rsid w:val="00C20BE6"/>
    <w:rsid w:val="00C21998"/>
    <w:rsid w:val="00C2591B"/>
    <w:rsid w:val="00C25FF5"/>
    <w:rsid w:val="00C3149D"/>
    <w:rsid w:val="00C31CB9"/>
    <w:rsid w:val="00C3240D"/>
    <w:rsid w:val="00C35C1E"/>
    <w:rsid w:val="00C35DFD"/>
    <w:rsid w:val="00C4621C"/>
    <w:rsid w:val="00C47548"/>
    <w:rsid w:val="00C512F9"/>
    <w:rsid w:val="00C5195C"/>
    <w:rsid w:val="00C519BB"/>
    <w:rsid w:val="00C53259"/>
    <w:rsid w:val="00C536A3"/>
    <w:rsid w:val="00C5534A"/>
    <w:rsid w:val="00C55F4E"/>
    <w:rsid w:val="00C61D05"/>
    <w:rsid w:val="00C64FDB"/>
    <w:rsid w:val="00C65336"/>
    <w:rsid w:val="00C66330"/>
    <w:rsid w:val="00C67718"/>
    <w:rsid w:val="00C73DBA"/>
    <w:rsid w:val="00C763C5"/>
    <w:rsid w:val="00C76F39"/>
    <w:rsid w:val="00C81FE5"/>
    <w:rsid w:val="00C821DC"/>
    <w:rsid w:val="00C86F15"/>
    <w:rsid w:val="00C873F8"/>
    <w:rsid w:val="00C9153A"/>
    <w:rsid w:val="00C92941"/>
    <w:rsid w:val="00C97539"/>
    <w:rsid w:val="00CA11C2"/>
    <w:rsid w:val="00CA4E27"/>
    <w:rsid w:val="00CA6FB3"/>
    <w:rsid w:val="00CA71EA"/>
    <w:rsid w:val="00CA7E38"/>
    <w:rsid w:val="00CB2ECA"/>
    <w:rsid w:val="00CB30CD"/>
    <w:rsid w:val="00CB330B"/>
    <w:rsid w:val="00CB351B"/>
    <w:rsid w:val="00CB6017"/>
    <w:rsid w:val="00CB6542"/>
    <w:rsid w:val="00CB685A"/>
    <w:rsid w:val="00CB7081"/>
    <w:rsid w:val="00CB74F2"/>
    <w:rsid w:val="00CC2763"/>
    <w:rsid w:val="00CC3375"/>
    <w:rsid w:val="00CC3891"/>
    <w:rsid w:val="00CC3B35"/>
    <w:rsid w:val="00CC3CDF"/>
    <w:rsid w:val="00CD1A02"/>
    <w:rsid w:val="00CD2809"/>
    <w:rsid w:val="00CD391E"/>
    <w:rsid w:val="00CD4D79"/>
    <w:rsid w:val="00CD7A07"/>
    <w:rsid w:val="00CE01E5"/>
    <w:rsid w:val="00CE2616"/>
    <w:rsid w:val="00CE3FA0"/>
    <w:rsid w:val="00CE54E2"/>
    <w:rsid w:val="00CE61EB"/>
    <w:rsid w:val="00CE6505"/>
    <w:rsid w:val="00CE7B13"/>
    <w:rsid w:val="00CF0B22"/>
    <w:rsid w:val="00CF3336"/>
    <w:rsid w:val="00CF33B8"/>
    <w:rsid w:val="00CF460A"/>
    <w:rsid w:val="00CF6121"/>
    <w:rsid w:val="00CF66D8"/>
    <w:rsid w:val="00CF6A81"/>
    <w:rsid w:val="00CF6F89"/>
    <w:rsid w:val="00D00568"/>
    <w:rsid w:val="00D0099C"/>
    <w:rsid w:val="00D01631"/>
    <w:rsid w:val="00D031BF"/>
    <w:rsid w:val="00D0483F"/>
    <w:rsid w:val="00D0761A"/>
    <w:rsid w:val="00D1042C"/>
    <w:rsid w:val="00D114D9"/>
    <w:rsid w:val="00D15224"/>
    <w:rsid w:val="00D152A2"/>
    <w:rsid w:val="00D157D5"/>
    <w:rsid w:val="00D2059B"/>
    <w:rsid w:val="00D235C2"/>
    <w:rsid w:val="00D3283F"/>
    <w:rsid w:val="00D35DE3"/>
    <w:rsid w:val="00D36104"/>
    <w:rsid w:val="00D42961"/>
    <w:rsid w:val="00D44AA6"/>
    <w:rsid w:val="00D47B20"/>
    <w:rsid w:val="00D53D67"/>
    <w:rsid w:val="00D56412"/>
    <w:rsid w:val="00D62866"/>
    <w:rsid w:val="00D749F7"/>
    <w:rsid w:val="00D74F06"/>
    <w:rsid w:val="00D81D22"/>
    <w:rsid w:val="00D860FF"/>
    <w:rsid w:val="00D86FB2"/>
    <w:rsid w:val="00D922EE"/>
    <w:rsid w:val="00D92A2B"/>
    <w:rsid w:val="00D92B9B"/>
    <w:rsid w:val="00DA1633"/>
    <w:rsid w:val="00DA2AF7"/>
    <w:rsid w:val="00DA4B84"/>
    <w:rsid w:val="00DA792D"/>
    <w:rsid w:val="00DB0BBB"/>
    <w:rsid w:val="00DB0EC6"/>
    <w:rsid w:val="00DB6019"/>
    <w:rsid w:val="00DB7EB7"/>
    <w:rsid w:val="00DC0BCB"/>
    <w:rsid w:val="00DC29C8"/>
    <w:rsid w:val="00DC3025"/>
    <w:rsid w:val="00DC3F1A"/>
    <w:rsid w:val="00DC4A93"/>
    <w:rsid w:val="00DC6CD5"/>
    <w:rsid w:val="00DC7E55"/>
    <w:rsid w:val="00DD0C23"/>
    <w:rsid w:val="00DD5FE5"/>
    <w:rsid w:val="00DD6A5D"/>
    <w:rsid w:val="00DD7445"/>
    <w:rsid w:val="00DE6E5A"/>
    <w:rsid w:val="00DE7C9D"/>
    <w:rsid w:val="00DF09ED"/>
    <w:rsid w:val="00DF383E"/>
    <w:rsid w:val="00DF4040"/>
    <w:rsid w:val="00DF7941"/>
    <w:rsid w:val="00E00382"/>
    <w:rsid w:val="00E019AB"/>
    <w:rsid w:val="00E02865"/>
    <w:rsid w:val="00E045BF"/>
    <w:rsid w:val="00E11679"/>
    <w:rsid w:val="00E13FD5"/>
    <w:rsid w:val="00E1402B"/>
    <w:rsid w:val="00E15368"/>
    <w:rsid w:val="00E20457"/>
    <w:rsid w:val="00E20ED7"/>
    <w:rsid w:val="00E210A2"/>
    <w:rsid w:val="00E21BC0"/>
    <w:rsid w:val="00E2667C"/>
    <w:rsid w:val="00E30637"/>
    <w:rsid w:val="00E32019"/>
    <w:rsid w:val="00E32346"/>
    <w:rsid w:val="00E3288C"/>
    <w:rsid w:val="00E32A6C"/>
    <w:rsid w:val="00E342C7"/>
    <w:rsid w:val="00E3521D"/>
    <w:rsid w:val="00E37859"/>
    <w:rsid w:val="00E41700"/>
    <w:rsid w:val="00E41C03"/>
    <w:rsid w:val="00E43D51"/>
    <w:rsid w:val="00E44E85"/>
    <w:rsid w:val="00E47E43"/>
    <w:rsid w:val="00E52509"/>
    <w:rsid w:val="00E52A43"/>
    <w:rsid w:val="00E555A2"/>
    <w:rsid w:val="00E56662"/>
    <w:rsid w:val="00E63355"/>
    <w:rsid w:val="00E64336"/>
    <w:rsid w:val="00E67980"/>
    <w:rsid w:val="00E7310E"/>
    <w:rsid w:val="00E74DC0"/>
    <w:rsid w:val="00E802DC"/>
    <w:rsid w:val="00E84D4E"/>
    <w:rsid w:val="00E91204"/>
    <w:rsid w:val="00E96499"/>
    <w:rsid w:val="00EA3E8E"/>
    <w:rsid w:val="00EA6327"/>
    <w:rsid w:val="00EA73DE"/>
    <w:rsid w:val="00EB04AA"/>
    <w:rsid w:val="00EB6E3E"/>
    <w:rsid w:val="00EB79A8"/>
    <w:rsid w:val="00EC0740"/>
    <w:rsid w:val="00EC2026"/>
    <w:rsid w:val="00EC54C8"/>
    <w:rsid w:val="00EC6AD8"/>
    <w:rsid w:val="00EC75F5"/>
    <w:rsid w:val="00ED0B77"/>
    <w:rsid w:val="00ED1E30"/>
    <w:rsid w:val="00ED4703"/>
    <w:rsid w:val="00ED54B0"/>
    <w:rsid w:val="00ED6A82"/>
    <w:rsid w:val="00ED7C66"/>
    <w:rsid w:val="00EE102C"/>
    <w:rsid w:val="00EE14B3"/>
    <w:rsid w:val="00EE20C4"/>
    <w:rsid w:val="00EE34DE"/>
    <w:rsid w:val="00EE47CF"/>
    <w:rsid w:val="00EE72CA"/>
    <w:rsid w:val="00EF4872"/>
    <w:rsid w:val="00EF580C"/>
    <w:rsid w:val="00EF78EE"/>
    <w:rsid w:val="00EF78FE"/>
    <w:rsid w:val="00EF7F1F"/>
    <w:rsid w:val="00F01A47"/>
    <w:rsid w:val="00F0444E"/>
    <w:rsid w:val="00F05FF1"/>
    <w:rsid w:val="00F0688B"/>
    <w:rsid w:val="00F07064"/>
    <w:rsid w:val="00F14E10"/>
    <w:rsid w:val="00F15086"/>
    <w:rsid w:val="00F177F9"/>
    <w:rsid w:val="00F17B1D"/>
    <w:rsid w:val="00F21EAF"/>
    <w:rsid w:val="00F2213F"/>
    <w:rsid w:val="00F277AB"/>
    <w:rsid w:val="00F31FCA"/>
    <w:rsid w:val="00F327EC"/>
    <w:rsid w:val="00F331AA"/>
    <w:rsid w:val="00F3355B"/>
    <w:rsid w:val="00F375A6"/>
    <w:rsid w:val="00F37B08"/>
    <w:rsid w:val="00F37B5A"/>
    <w:rsid w:val="00F401ED"/>
    <w:rsid w:val="00F40E8F"/>
    <w:rsid w:val="00F41A5C"/>
    <w:rsid w:val="00F43E67"/>
    <w:rsid w:val="00F4757B"/>
    <w:rsid w:val="00F52863"/>
    <w:rsid w:val="00F542EE"/>
    <w:rsid w:val="00F54D73"/>
    <w:rsid w:val="00F61804"/>
    <w:rsid w:val="00F630C9"/>
    <w:rsid w:val="00F70AED"/>
    <w:rsid w:val="00F713A3"/>
    <w:rsid w:val="00F719F6"/>
    <w:rsid w:val="00F71DA5"/>
    <w:rsid w:val="00F74D4E"/>
    <w:rsid w:val="00F75090"/>
    <w:rsid w:val="00F7584D"/>
    <w:rsid w:val="00F8114E"/>
    <w:rsid w:val="00F813CD"/>
    <w:rsid w:val="00F82776"/>
    <w:rsid w:val="00F8572E"/>
    <w:rsid w:val="00F87937"/>
    <w:rsid w:val="00F94D0E"/>
    <w:rsid w:val="00F95173"/>
    <w:rsid w:val="00FA020A"/>
    <w:rsid w:val="00FA7095"/>
    <w:rsid w:val="00FA7C16"/>
    <w:rsid w:val="00FC0400"/>
    <w:rsid w:val="00FC3FA9"/>
    <w:rsid w:val="00FC5F08"/>
    <w:rsid w:val="00FC60A8"/>
    <w:rsid w:val="00FD1CA4"/>
    <w:rsid w:val="00FD43A2"/>
    <w:rsid w:val="00FD5A31"/>
    <w:rsid w:val="00FD5DF4"/>
    <w:rsid w:val="00FE07FD"/>
    <w:rsid w:val="00FE31A4"/>
    <w:rsid w:val="00FE53C9"/>
    <w:rsid w:val="00FE5870"/>
    <w:rsid w:val="00FE6307"/>
    <w:rsid w:val="00FF0006"/>
    <w:rsid w:val="00FF100E"/>
    <w:rsid w:val="00FF7879"/>
    <w:rsid w:val="00FF7E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1BC0"/>
  </w:style>
  <w:style w:type="paragraph" w:styleId="Nadpis1">
    <w:name w:val="heading 1"/>
    <w:basedOn w:val="Normln"/>
    <w:next w:val="Normln"/>
    <w:link w:val="Nadpis1Char"/>
    <w:uiPriority w:val="9"/>
    <w:qFormat/>
    <w:rsid w:val="00DA4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20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22316"/>
    <w:pPr>
      <w:keepNext/>
      <w:keepLines/>
      <w:spacing w:after="0" w:line="240" w:lineRule="auto"/>
      <w:jc w:val="center"/>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076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0761A"/>
    <w:rPr>
      <w:sz w:val="20"/>
      <w:szCs w:val="20"/>
    </w:rPr>
  </w:style>
  <w:style w:type="character" w:styleId="Znakapoznpodarou">
    <w:name w:val="footnote reference"/>
    <w:basedOn w:val="Standardnpsmoodstavce"/>
    <w:uiPriority w:val="99"/>
    <w:semiHidden/>
    <w:unhideWhenUsed/>
    <w:rsid w:val="00D0761A"/>
    <w:rPr>
      <w:vertAlign w:val="superscript"/>
    </w:rPr>
  </w:style>
  <w:style w:type="table" w:styleId="Mkatabulky">
    <w:name w:val="Table Grid"/>
    <w:basedOn w:val="Normlntabulka"/>
    <w:uiPriority w:val="59"/>
    <w:rsid w:val="00116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76590"/>
    <w:pPr>
      <w:ind w:left="720"/>
      <w:contextualSpacing/>
    </w:pPr>
  </w:style>
  <w:style w:type="paragraph" w:styleId="Textbubliny">
    <w:name w:val="Balloon Text"/>
    <w:basedOn w:val="Normln"/>
    <w:link w:val="TextbublinyChar"/>
    <w:uiPriority w:val="99"/>
    <w:semiHidden/>
    <w:unhideWhenUsed/>
    <w:rsid w:val="002612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BB"/>
    <w:rPr>
      <w:rFonts w:ascii="Tahoma" w:hAnsi="Tahoma" w:cs="Tahoma"/>
      <w:sz w:val="16"/>
      <w:szCs w:val="16"/>
    </w:rPr>
  </w:style>
  <w:style w:type="character" w:styleId="Hypertextovodkaz">
    <w:name w:val="Hyperlink"/>
    <w:basedOn w:val="Standardnpsmoodstavce"/>
    <w:uiPriority w:val="99"/>
    <w:unhideWhenUsed/>
    <w:rsid w:val="00FA020A"/>
    <w:rPr>
      <w:color w:val="0000FF" w:themeColor="hyperlink"/>
      <w:u w:val="single"/>
    </w:rPr>
  </w:style>
  <w:style w:type="paragraph" w:styleId="Zhlav">
    <w:name w:val="header"/>
    <w:basedOn w:val="Normln"/>
    <w:link w:val="ZhlavChar"/>
    <w:uiPriority w:val="99"/>
    <w:unhideWhenUsed/>
    <w:rsid w:val="000915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154A"/>
  </w:style>
  <w:style w:type="paragraph" w:styleId="Zpat">
    <w:name w:val="footer"/>
    <w:basedOn w:val="Normln"/>
    <w:link w:val="ZpatChar"/>
    <w:uiPriority w:val="99"/>
    <w:unhideWhenUsed/>
    <w:rsid w:val="0009154A"/>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54A"/>
  </w:style>
  <w:style w:type="character" w:styleId="Odkaznakoment">
    <w:name w:val="annotation reference"/>
    <w:basedOn w:val="Standardnpsmoodstavce"/>
    <w:uiPriority w:val="99"/>
    <w:semiHidden/>
    <w:unhideWhenUsed/>
    <w:rsid w:val="0043430B"/>
    <w:rPr>
      <w:sz w:val="16"/>
      <w:szCs w:val="16"/>
    </w:rPr>
  </w:style>
  <w:style w:type="paragraph" w:styleId="Textkomente">
    <w:name w:val="annotation text"/>
    <w:basedOn w:val="Normln"/>
    <w:link w:val="TextkomenteChar"/>
    <w:uiPriority w:val="99"/>
    <w:semiHidden/>
    <w:unhideWhenUsed/>
    <w:rsid w:val="0043430B"/>
    <w:pPr>
      <w:spacing w:line="240" w:lineRule="auto"/>
    </w:pPr>
    <w:rPr>
      <w:sz w:val="20"/>
      <w:szCs w:val="20"/>
    </w:rPr>
  </w:style>
  <w:style w:type="character" w:customStyle="1" w:styleId="TextkomenteChar">
    <w:name w:val="Text komentáře Char"/>
    <w:basedOn w:val="Standardnpsmoodstavce"/>
    <w:link w:val="Textkomente"/>
    <w:uiPriority w:val="99"/>
    <w:semiHidden/>
    <w:rsid w:val="0043430B"/>
    <w:rPr>
      <w:sz w:val="20"/>
      <w:szCs w:val="20"/>
    </w:rPr>
  </w:style>
  <w:style w:type="paragraph" w:styleId="Pedmtkomente">
    <w:name w:val="annotation subject"/>
    <w:basedOn w:val="Textkomente"/>
    <w:next w:val="Textkomente"/>
    <w:link w:val="PedmtkomenteChar"/>
    <w:uiPriority w:val="99"/>
    <w:semiHidden/>
    <w:unhideWhenUsed/>
    <w:rsid w:val="000644CB"/>
    <w:rPr>
      <w:b/>
      <w:bCs/>
    </w:rPr>
  </w:style>
  <w:style w:type="character" w:customStyle="1" w:styleId="PedmtkomenteChar">
    <w:name w:val="Předmět komentáře Char"/>
    <w:basedOn w:val="TextkomenteChar"/>
    <w:link w:val="Pedmtkomente"/>
    <w:uiPriority w:val="99"/>
    <w:semiHidden/>
    <w:rsid w:val="000644CB"/>
    <w:rPr>
      <w:b/>
      <w:bCs/>
      <w:sz w:val="20"/>
      <w:szCs w:val="20"/>
    </w:rPr>
  </w:style>
  <w:style w:type="character" w:customStyle="1" w:styleId="Nadpis1Char">
    <w:name w:val="Nadpis 1 Char"/>
    <w:basedOn w:val="Standardnpsmoodstavce"/>
    <w:link w:val="Nadpis1"/>
    <w:uiPriority w:val="9"/>
    <w:rsid w:val="00DA4B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A4B84"/>
    <w:pPr>
      <w:outlineLvl w:val="9"/>
    </w:pPr>
    <w:rPr>
      <w:lang w:eastAsia="cs-CZ"/>
    </w:rPr>
  </w:style>
  <w:style w:type="character" w:customStyle="1" w:styleId="Nadpis2Char">
    <w:name w:val="Nadpis 2 Char"/>
    <w:basedOn w:val="Standardnpsmoodstavce"/>
    <w:link w:val="Nadpis2"/>
    <w:uiPriority w:val="9"/>
    <w:rsid w:val="001203D0"/>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04283C"/>
    <w:pPr>
      <w:tabs>
        <w:tab w:val="left" w:pos="660"/>
        <w:tab w:val="right" w:leader="dot" w:pos="9062"/>
      </w:tabs>
      <w:spacing w:after="100"/>
    </w:pPr>
  </w:style>
  <w:style w:type="paragraph" w:styleId="Obsah2">
    <w:name w:val="toc 2"/>
    <w:basedOn w:val="Normln"/>
    <w:next w:val="Normln"/>
    <w:autoRedefine/>
    <w:uiPriority w:val="39"/>
    <w:unhideWhenUsed/>
    <w:rsid w:val="001203D0"/>
    <w:pPr>
      <w:spacing w:after="100"/>
      <w:ind w:left="220"/>
    </w:pPr>
  </w:style>
  <w:style w:type="character" w:customStyle="1" w:styleId="Nadpis3Char">
    <w:name w:val="Nadpis 3 Char"/>
    <w:basedOn w:val="Standardnpsmoodstavce"/>
    <w:link w:val="Nadpis3"/>
    <w:uiPriority w:val="9"/>
    <w:rsid w:val="00522316"/>
    <w:rPr>
      <w:rFonts w:eastAsiaTheme="majorEastAsia" w:cstheme="majorBidi"/>
      <w:b/>
      <w:bCs/>
      <w:sz w:val="24"/>
    </w:rPr>
  </w:style>
  <w:style w:type="paragraph" w:styleId="Obsah3">
    <w:name w:val="toc 3"/>
    <w:basedOn w:val="Normln"/>
    <w:next w:val="Normln"/>
    <w:autoRedefine/>
    <w:uiPriority w:val="39"/>
    <w:unhideWhenUsed/>
    <w:rsid w:val="00522316"/>
    <w:pPr>
      <w:spacing w:after="100"/>
      <w:ind w:left="440"/>
    </w:pPr>
  </w:style>
  <w:style w:type="character" w:styleId="Sledovanodkaz">
    <w:name w:val="FollowedHyperlink"/>
    <w:basedOn w:val="Standardnpsmoodstavce"/>
    <w:uiPriority w:val="99"/>
    <w:semiHidden/>
    <w:unhideWhenUsed/>
    <w:rsid w:val="00262612"/>
    <w:rPr>
      <w:color w:val="800080" w:themeColor="followedHyperlink"/>
      <w:u w:val="single"/>
    </w:rPr>
  </w:style>
  <w:style w:type="paragraph" w:styleId="Revize">
    <w:name w:val="Revision"/>
    <w:hidden/>
    <w:uiPriority w:val="99"/>
    <w:semiHidden/>
    <w:rsid w:val="003B66EE"/>
    <w:pPr>
      <w:spacing w:after="0" w:line="240" w:lineRule="auto"/>
    </w:pPr>
  </w:style>
  <w:style w:type="paragraph" w:customStyle="1" w:styleId="CM13">
    <w:name w:val="CM1+3"/>
    <w:basedOn w:val="Normln"/>
    <w:next w:val="Normln"/>
    <w:uiPriority w:val="99"/>
    <w:rsid w:val="00B50A69"/>
    <w:pPr>
      <w:autoSpaceDE w:val="0"/>
      <w:autoSpaceDN w:val="0"/>
      <w:adjustRightInd w:val="0"/>
      <w:spacing w:after="0" w:line="240" w:lineRule="auto"/>
    </w:pPr>
    <w:rPr>
      <w:rFonts w:ascii="EUAlbertina" w:hAnsi="EUAlbertina"/>
      <w:sz w:val="24"/>
      <w:szCs w:val="24"/>
    </w:rPr>
  </w:style>
  <w:style w:type="paragraph" w:customStyle="1" w:styleId="CM33">
    <w:name w:val="CM3+3"/>
    <w:basedOn w:val="Normln"/>
    <w:next w:val="Normln"/>
    <w:uiPriority w:val="99"/>
    <w:rsid w:val="00B50A69"/>
    <w:pPr>
      <w:autoSpaceDE w:val="0"/>
      <w:autoSpaceDN w:val="0"/>
      <w:adjustRightInd w:val="0"/>
      <w:spacing w:after="0" w:line="240" w:lineRule="auto"/>
    </w:pPr>
    <w:rPr>
      <w:rFonts w:ascii="EUAlbertina" w:hAnsi="EUAlbertina"/>
      <w:sz w:val="24"/>
      <w:szCs w:val="24"/>
    </w:rPr>
  </w:style>
  <w:style w:type="paragraph" w:styleId="Nzev">
    <w:name w:val="Title"/>
    <w:basedOn w:val="Normln"/>
    <w:next w:val="Normln"/>
    <w:link w:val="NzevChar"/>
    <w:uiPriority w:val="10"/>
    <w:qFormat/>
    <w:rsid w:val="0069033A"/>
    <w:pPr>
      <w:numPr>
        <w:numId w:val="7"/>
      </w:num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42"/>
      <w:szCs w:val="52"/>
    </w:rPr>
  </w:style>
  <w:style w:type="character" w:customStyle="1" w:styleId="NzevChar">
    <w:name w:val="Název Char"/>
    <w:basedOn w:val="Standardnpsmoodstavce"/>
    <w:link w:val="Nzev"/>
    <w:uiPriority w:val="10"/>
    <w:rsid w:val="0069033A"/>
    <w:rPr>
      <w:rFonts w:asciiTheme="majorHAnsi" w:eastAsiaTheme="majorEastAsia" w:hAnsiTheme="majorHAnsi" w:cstheme="majorBidi"/>
      <w:color w:val="17365D" w:themeColor="text2" w:themeShade="BF"/>
      <w:spacing w:val="5"/>
      <w:kern w:val="28"/>
      <w:sz w:val="42"/>
      <w:szCs w:val="52"/>
    </w:rPr>
  </w:style>
  <w:style w:type="paragraph" w:styleId="Obsah4">
    <w:name w:val="toc 4"/>
    <w:basedOn w:val="Normln"/>
    <w:next w:val="Normln"/>
    <w:autoRedefine/>
    <w:uiPriority w:val="39"/>
    <w:unhideWhenUsed/>
    <w:rsid w:val="000C4058"/>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A4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20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22316"/>
    <w:pPr>
      <w:keepNext/>
      <w:keepLines/>
      <w:spacing w:after="0" w:line="240" w:lineRule="auto"/>
      <w:jc w:val="center"/>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076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0761A"/>
    <w:rPr>
      <w:sz w:val="20"/>
      <w:szCs w:val="20"/>
    </w:rPr>
  </w:style>
  <w:style w:type="character" w:styleId="Znakapoznpodarou">
    <w:name w:val="footnote reference"/>
    <w:basedOn w:val="Standardnpsmoodstavce"/>
    <w:uiPriority w:val="99"/>
    <w:semiHidden/>
    <w:unhideWhenUsed/>
    <w:rsid w:val="00D0761A"/>
    <w:rPr>
      <w:vertAlign w:val="superscript"/>
    </w:rPr>
  </w:style>
  <w:style w:type="table" w:styleId="Mkatabulky">
    <w:name w:val="Table Grid"/>
    <w:basedOn w:val="Normlntabulka"/>
    <w:uiPriority w:val="59"/>
    <w:rsid w:val="0011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76590"/>
    <w:pPr>
      <w:ind w:left="720"/>
      <w:contextualSpacing/>
    </w:pPr>
  </w:style>
  <w:style w:type="paragraph" w:styleId="Textbubliny">
    <w:name w:val="Balloon Text"/>
    <w:basedOn w:val="Normln"/>
    <w:link w:val="TextbublinyChar"/>
    <w:uiPriority w:val="99"/>
    <w:semiHidden/>
    <w:unhideWhenUsed/>
    <w:rsid w:val="002612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BB"/>
    <w:rPr>
      <w:rFonts w:ascii="Tahoma" w:hAnsi="Tahoma" w:cs="Tahoma"/>
      <w:sz w:val="16"/>
      <w:szCs w:val="16"/>
    </w:rPr>
  </w:style>
  <w:style w:type="character" w:styleId="Hypertextovodkaz">
    <w:name w:val="Hyperlink"/>
    <w:basedOn w:val="Standardnpsmoodstavce"/>
    <w:uiPriority w:val="99"/>
    <w:unhideWhenUsed/>
    <w:rsid w:val="00FA020A"/>
    <w:rPr>
      <w:color w:val="0000FF" w:themeColor="hyperlink"/>
      <w:u w:val="single"/>
    </w:rPr>
  </w:style>
  <w:style w:type="paragraph" w:styleId="Zhlav">
    <w:name w:val="header"/>
    <w:basedOn w:val="Normln"/>
    <w:link w:val="ZhlavChar"/>
    <w:uiPriority w:val="99"/>
    <w:unhideWhenUsed/>
    <w:rsid w:val="000915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154A"/>
  </w:style>
  <w:style w:type="paragraph" w:styleId="Zpat">
    <w:name w:val="footer"/>
    <w:basedOn w:val="Normln"/>
    <w:link w:val="ZpatChar"/>
    <w:uiPriority w:val="99"/>
    <w:unhideWhenUsed/>
    <w:rsid w:val="0009154A"/>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54A"/>
  </w:style>
  <w:style w:type="character" w:styleId="Odkaznakoment">
    <w:name w:val="annotation reference"/>
    <w:basedOn w:val="Standardnpsmoodstavce"/>
    <w:uiPriority w:val="99"/>
    <w:semiHidden/>
    <w:unhideWhenUsed/>
    <w:rsid w:val="0043430B"/>
    <w:rPr>
      <w:sz w:val="16"/>
      <w:szCs w:val="16"/>
    </w:rPr>
  </w:style>
  <w:style w:type="paragraph" w:styleId="Textkomente">
    <w:name w:val="annotation text"/>
    <w:basedOn w:val="Normln"/>
    <w:link w:val="TextkomenteChar"/>
    <w:uiPriority w:val="99"/>
    <w:semiHidden/>
    <w:unhideWhenUsed/>
    <w:rsid w:val="0043430B"/>
    <w:pPr>
      <w:spacing w:line="240" w:lineRule="auto"/>
    </w:pPr>
    <w:rPr>
      <w:sz w:val="20"/>
      <w:szCs w:val="20"/>
    </w:rPr>
  </w:style>
  <w:style w:type="character" w:customStyle="1" w:styleId="TextkomenteChar">
    <w:name w:val="Text komentáře Char"/>
    <w:basedOn w:val="Standardnpsmoodstavce"/>
    <w:link w:val="Textkomente"/>
    <w:uiPriority w:val="99"/>
    <w:semiHidden/>
    <w:rsid w:val="0043430B"/>
    <w:rPr>
      <w:sz w:val="20"/>
      <w:szCs w:val="20"/>
    </w:rPr>
  </w:style>
  <w:style w:type="paragraph" w:styleId="Pedmtkomente">
    <w:name w:val="annotation subject"/>
    <w:basedOn w:val="Textkomente"/>
    <w:next w:val="Textkomente"/>
    <w:link w:val="PedmtkomenteChar"/>
    <w:uiPriority w:val="99"/>
    <w:semiHidden/>
    <w:unhideWhenUsed/>
    <w:rsid w:val="000644CB"/>
    <w:rPr>
      <w:b/>
      <w:bCs/>
    </w:rPr>
  </w:style>
  <w:style w:type="character" w:customStyle="1" w:styleId="PedmtkomenteChar">
    <w:name w:val="Předmět komentáře Char"/>
    <w:basedOn w:val="TextkomenteChar"/>
    <w:link w:val="Pedmtkomente"/>
    <w:uiPriority w:val="99"/>
    <w:semiHidden/>
    <w:rsid w:val="000644CB"/>
    <w:rPr>
      <w:b/>
      <w:bCs/>
      <w:sz w:val="20"/>
      <w:szCs w:val="20"/>
    </w:rPr>
  </w:style>
  <w:style w:type="character" w:customStyle="1" w:styleId="Nadpis1Char">
    <w:name w:val="Nadpis 1 Char"/>
    <w:basedOn w:val="Standardnpsmoodstavce"/>
    <w:link w:val="Nadpis1"/>
    <w:uiPriority w:val="9"/>
    <w:rsid w:val="00DA4B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A4B84"/>
    <w:pPr>
      <w:outlineLvl w:val="9"/>
    </w:pPr>
    <w:rPr>
      <w:lang w:eastAsia="cs-CZ"/>
    </w:rPr>
  </w:style>
  <w:style w:type="character" w:customStyle="1" w:styleId="Nadpis2Char">
    <w:name w:val="Nadpis 2 Char"/>
    <w:basedOn w:val="Standardnpsmoodstavce"/>
    <w:link w:val="Nadpis2"/>
    <w:uiPriority w:val="9"/>
    <w:rsid w:val="001203D0"/>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04283C"/>
    <w:pPr>
      <w:tabs>
        <w:tab w:val="left" w:pos="660"/>
        <w:tab w:val="right" w:leader="dot" w:pos="9062"/>
      </w:tabs>
      <w:spacing w:after="100"/>
    </w:pPr>
  </w:style>
  <w:style w:type="paragraph" w:styleId="Obsah2">
    <w:name w:val="toc 2"/>
    <w:basedOn w:val="Normln"/>
    <w:next w:val="Normln"/>
    <w:autoRedefine/>
    <w:uiPriority w:val="39"/>
    <w:unhideWhenUsed/>
    <w:rsid w:val="001203D0"/>
    <w:pPr>
      <w:spacing w:after="100"/>
      <w:ind w:left="220"/>
    </w:pPr>
  </w:style>
  <w:style w:type="character" w:customStyle="1" w:styleId="Nadpis3Char">
    <w:name w:val="Nadpis 3 Char"/>
    <w:basedOn w:val="Standardnpsmoodstavce"/>
    <w:link w:val="Nadpis3"/>
    <w:uiPriority w:val="9"/>
    <w:rsid w:val="00522316"/>
    <w:rPr>
      <w:rFonts w:eastAsiaTheme="majorEastAsia" w:cstheme="majorBidi"/>
      <w:b/>
      <w:bCs/>
      <w:sz w:val="24"/>
    </w:rPr>
  </w:style>
  <w:style w:type="paragraph" w:styleId="Obsah3">
    <w:name w:val="toc 3"/>
    <w:basedOn w:val="Normln"/>
    <w:next w:val="Normln"/>
    <w:autoRedefine/>
    <w:uiPriority w:val="39"/>
    <w:unhideWhenUsed/>
    <w:rsid w:val="00522316"/>
    <w:pPr>
      <w:spacing w:after="100"/>
      <w:ind w:left="440"/>
    </w:pPr>
  </w:style>
  <w:style w:type="character" w:styleId="Sledovanodkaz">
    <w:name w:val="FollowedHyperlink"/>
    <w:basedOn w:val="Standardnpsmoodstavce"/>
    <w:uiPriority w:val="99"/>
    <w:semiHidden/>
    <w:unhideWhenUsed/>
    <w:rsid w:val="00262612"/>
    <w:rPr>
      <w:color w:val="800080" w:themeColor="followedHyperlink"/>
      <w:u w:val="single"/>
    </w:rPr>
  </w:style>
  <w:style w:type="paragraph" w:styleId="Revize">
    <w:name w:val="Revision"/>
    <w:hidden/>
    <w:uiPriority w:val="99"/>
    <w:semiHidden/>
    <w:rsid w:val="003B66EE"/>
    <w:pPr>
      <w:spacing w:after="0" w:line="240" w:lineRule="auto"/>
    </w:pPr>
  </w:style>
  <w:style w:type="paragraph" w:customStyle="1" w:styleId="CM13">
    <w:name w:val="CM1+3"/>
    <w:basedOn w:val="Normln"/>
    <w:next w:val="Normln"/>
    <w:uiPriority w:val="99"/>
    <w:rsid w:val="00B50A69"/>
    <w:pPr>
      <w:autoSpaceDE w:val="0"/>
      <w:autoSpaceDN w:val="0"/>
      <w:adjustRightInd w:val="0"/>
      <w:spacing w:after="0" w:line="240" w:lineRule="auto"/>
    </w:pPr>
    <w:rPr>
      <w:rFonts w:ascii="EUAlbertina" w:hAnsi="EUAlbertina"/>
      <w:sz w:val="24"/>
      <w:szCs w:val="24"/>
    </w:rPr>
  </w:style>
  <w:style w:type="paragraph" w:customStyle="1" w:styleId="CM33">
    <w:name w:val="CM3+3"/>
    <w:basedOn w:val="Normln"/>
    <w:next w:val="Normln"/>
    <w:uiPriority w:val="99"/>
    <w:rsid w:val="00B50A69"/>
    <w:pPr>
      <w:autoSpaceDE w:val="0"/>
      <w:autoSpaceDN w:val="0"/>
      <w:adjustRightInd w:val="0"/>
      <w:spacing w:after="0" w:line="240" w:lineRule="auto"/>
    </w:pPr>
    <w:rPr>
      <w:rFonts w:ascii="EUAlbertina" w:hAnsi="EUAlbertina"/>
      <w:sz w:val="24"/>
      <w:szCs w:val="24"/>
    </w:rPr>
  </w:style>
  <w:style w:type="paragraph" w:styleId="Nzev">
    <w:name w:val="Title"/>
    <w:basedOn w:val="Normln"/>
    <w:next w:val="Normln"/>
    <w:link w:val="NzevChar"/>
    <w:uiPriority w:val="10"/>
    <w:qFormat/>
    <w:rsid w:val="0069033A"/>
    <w:pPr>
      <w:numPr>
        <w:numId w:val="7"/>
      </w:num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42"/>
      <w:szCs w:val="52"/>
    </w:rPr>
  </w:style>
  <w:style w:type="character" w:customStyle="1" w:styleId="NzevChar">
    <w:name w:val="Název Char"/>
    <w:basedOn w:val="Standardnpsmoodstavce"/>
    <w:link w:val="Nzev"/>
    <w:uiPriority w:val="10"/>
    <w:rsid w:val="0069033A"/>
    <w:rPr>
      <w:rFonts w:asciiTheme="majorHAnsi" w:eastAsiaTheme="majorEastAsia" w:hAnsiTheme="majorHAnsi" w:cstheme="majorBidi"/>
      <w:color w:val="17365D" w:themeColor="text2" w:themeShade="BF"/>
      <w:spacing w:val="5"/>
      <w:kern w:val="28"/>
      <w:sz w:val="42"/>
      <w:szCs w:val="52"/>
    </w:rPr>
  </w:style>
  <w:style w:type="paragraph" w:styleId="Obsah4">
    <w:name w:val="toc 4"/>
    <w:basedOn w:val="Normln"/>
    <w:next w:val="Normln"/>
    <w:autoRedefine/>
    <w:uiPriority w:val="39"/>
    <w:unhideWhenUsed/>
    <w:rsid w:val="000C4058"/>
    <w:pPr>
      <w:spacing w:after="100"/>
      <w:ind w:left="660"/>
    </w:pPr>
  </w:style>
</w:styles>
</file>

<file path=word/webSettings.xml><?xml version="1.0" encoding="utf-8"?>
<w:webSettings xmlns:r="http://schemas.openxmlformats.org/officeDocument/2006/relationships" xmlns:w="http://schemas.openxmlformats.org/wordprocessingml/2006/main">
  <w:divs>
    <w:div w:id="299843117">
      <w:bodyDiv w:val="1"/>
      <w:marLeft w:val="0"/>
      <w:marRight w:val="0"/>
      <w:marTop w:val="0"/>
      <w:marBottom w:val="0"/>
      <w:divBdr>
        <w:top w:val="none" w:sz="0" w:space="0" w:color="auto"/>
        <w:left w:val="none" w:sz="0" w:space="0" w:color="auto"/>
        <w:bottom w:val="none" w:sz="0" w:space="0" w:color="auto"/>
        <w:right w:val="none" w:sz="0" w:space="0" w:color="auto"/>
      </w:divBdr>
    </w:div>
    <w:div w:id="673190844">
      <w:bodyDiv w:val="1"/>
      <w:marLeft w:val="0"/>
      <w:marRight w:val="0"/>
      <w:marTop w:val="0"/>
      <w:marBottom w:val="0"/>
      <w:divBdr>
        <w:top w:val="none" w:sz="0" w:space="0" w:color="auto"/>
        <w:left w:val="none" w:sz="0" w:space="0" w:color="auto"/>
        <w:bottom w:val="none" w:sz="0" w:space="0" w:color="auto"/>
        <w:right w:val="none" w:sz="0" w:space="0" w:color="auto"/>
      </w:divBdr>
    </w:div>
    <w:div w:id="872882924">
      <w:bodyDiv w:val="1"/>
      <w:marLeft w:val="0"/>
      <w:marRight w:val="0"/>
      <w:marTop w:val="0"/>
      <w:marBottom w:val="0"/>
      <w:divBdr>
        <w:top w:val="none" w:sz="0" w:space="0" w:color="auto"/>
        <w:left w:val="none" w:sz="0" w:space="0" w:color="auto"/>
        <w:bottom w:val="none" w:sz="0" w:space="0" w:color="auto"/>
        <w:right w:val="none" w:sz="0" w:space="0" w:color="auto"/>
      </w:divBdr>
    </w:div>
    <w:div w:id="1981111290">
      <w:bodyDiv w:val="1"/>
      <w:marLeft w:val="0"/>
      <w:marRight w:val="0"/>
      <w:marTop w:val="0"/>
      <w:marBottom w:val="0"/>
      <w:divBdr>
        <w:top w:val="none" w:sz="0" w:space="0" w:color="auto"/>
        <w:left w:val="none" w:sz="0" w:space="0" w:color="auto"/>
        <w:bottom w:val="none" w:sz="0" w:space="0" w:color="auto"/>
        <w:right w:val="none" w:sz="0" w:space="0" w:color="auto"/>
      </w:divBdr>
    </w:div>
    <w:div w:id="2122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mfcr.cz/cs/verejny-sektor/rozpoctove-ramce-statisticke-informace/verejny-sektor/sektor-vladnich-institu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czso.cz/csu/res/registr_ekonomickych_subjektu"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r.cz/assets/cs/media/Ucetnictvi_Metodika_2014-12-18_Caste-dotazy-a-doplneni-metodiky-k-casti-M.xl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5.emf"/><Relationship Id="rId10" Type="http://schemas.openxmlformats.org/officeDocument/2006/relationships/hyperlink" Target="http://www.mfcr.cz/assets/cs/media/Ucetnictvi_Metodika_2014-02-19_Metodicky-pokyn-k-priloze-c5-cast-M-vyhl-410-2009.pdf"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image" Target="media/image4.emf"/><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products-manuals-and-guidelines/-/KS-GQ-14-010" TargetMode="External"/><Relationship Id="rId2" Type="http://schemas.openxmlformats.org/officeDocument/2006/relationships/hyperlink" Target="https://www.czso.cz/csu/res/registr_ekonomickych_subjektu" TargetMode="External"/><Relationship Id="rId1" Type="http://schemas.openxmlformats.org/officeDocument/2006/relationships/hyperlink" Target="http://www.mfcr.cz/cs/verejny-sektor/rozpoctove-ramce-statisticke-informace/verejny-sektor/verejne-spolecnosti" TargetMode="External"/><Relationship Id="rId4" Type="http://schemas.openxmlformats.org/officeDocument/2006/relationships/hyperlink" Target="http://www.mfcr.cz/cs/verejny-sektor/rozpoctove-ramce-statisticke-informace/podminene-zavazky-a-dalsi-udaje/zavazky-z-ppp/2014/metodicky-popis-mimorozvahova-ppp-1706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90DF0-79BC-4BE7-B6F6-58061D433191}" type="doc">
      <dgm:prSet loTypeId="urn:microsoft.com/office/officeart/2005/8/layout/process2" loCatId="process" qsTypeId="urn:microsoft.com/office/officeart/2005/8/quickstyle/simple4" qsCatId="simple" csTypeId="urn:microsoft.com/office/officeart/2005/8/colors/accent1_2" csCatId="accent1" phldr="1"/>
      <dgm:spPr/>
    </dgm:pt>
    <dgm:pt modelId="{BA76F47F-0E29-4BC8-9E33-293B6CCEE955}">
      <dgm:prSet phldrT="[Text]" custT="1"/>
      <dgm:spPr/>
      <dgm:t>
        <a:bodyPr/>
        <a:lstStyle/>
        <a:p>
          <a:pPr algn="ctr"/>
          <a:r>
            <a:rPr lang="cs-CZ" sz="1200" dirty="0"/>
            <a:t>součet počátečních stavů (minulé účetní období netto) příslušných položek rozvahy</a:t>
          </a:r>
        </a:p>
      </dgm:t>
    </dgm:pt>
    <dgm:pt modelId="{B051856F-4CE1-4F76-858C-42A42946DFD2}" type="parTrans" cxnId="{6F78C521-1AC6-40B6-8C56-4CABDC752556}">
      <dgm:prSet/>
      <dgm:spPr/>
      <dgm:t>
        <a:bodyPr/>
        <a:lstStyle/>
        <a:p>
          <a:endParaRPr lang="cs-CZ"/>
        </a:p>
      </dgm:t>
    </dgm:pt>
    <dgm:pt modelId="{0F1EE363-899D-4D9D-B012-38F33C6E1276}" type="sibTrans" cxnId="{6F78C521-1AC6-40B6-8C56-4CABDC752556}">
      <dgm:prSet custT="1"/>
      <dgm:spPr/>
      <dgm:t>
        <a:bodyPr/>
        <a:lstStyle/>
        <a:p>
          <a:r>
            <a:rPr lang="cs-CZ" sz="1800" b="1" dirty="0"/>
            <a:t>+</a:t>
          </a:r>
        </a:p>
      </dgm:t>
    </dgm:pt>
    <dgm:pt modelId="{9734B160-3374-4F8E-9141-B5E228A2DF57}">
      <dgm:prSet phldrT="[Text]" custT="1"/>
      <dgm:spPr/>
      <dgm:t>
        <a:bodyPr/>
        <a:lstStyle/>
        <a:p>
          <a:r>
            <a:rPr lang="cs-CZ" sz="1200" dirty="0"/>
            <a:t>řádek E. Čistá změna oběživa a depozit </a:t>
          </a:r>
          <a:r>
            <a:rPr lang="cs-CZ" sz="1200" dirty="0">
              <a:solidFill>
                <a:schemeClr val="bg1"/>
              </a:solidFill>
            </a:rPr>
            <a:t>výkazu</a:t>
          </a:r>
        </a:p>
      </dgm:t>
    </dgm:pt>
    <dgm:pt modelId="{F3877904-C12D-4190-8D10-8BC2E81321C1}" type="parTrans" cxnId="{229886AA-D784-4049-813F-9542BE54D034}">
      <dgm:prSet/>
      <dgm:spPr/>
      <dgm:t>
        <a:bodyPr/>
        <a:lstStyle/>
        <a:p>
          <a:endParaRPr lang="cs-CZ"/>
        </a:p>
      </dgm:t>
    </dgm:pt>
    <dgm:pt modelId="{62AA45AF-5969-41DA-A1AA-248056ED44B5}" type="sibTrans" cxnId="{229886AA-D784-4049-813F-9542BE54D034}">
      <dgm:prSet custT="1"/>
      <dgm:spPr/>
      <dgm:t>
        <a:bodyPr/>
        <a:lstStyle/>
        <a:p>
          <a:r>
            <a:rPr lang="cs-CZ" sz="1800" b="1" dirty="0"/>
            <a:t>=</a:t>
          </a:r>
        </a:p>
      </dgm:t>
    </dgm:pt>
    <dgm:pt modelId="{ECB28EEF-D348-478B-A77A-E1275437CBB1}">
      <dgm:prSet phldrT="[Text]" custT="1"/>
      <dgm:spPr/>
      <dgm:t>
        <a:bodyPr/>
        <a:lstStyle/>
        <a:p>
          <a:r>
            <a:rPr lang="cs-CZ" sz="1200" dirty="0"/>
            <a:t>součet konečných stavů (běžné účetní období netto) příslušných položek rozvahy</a:t>
          </a:r>
        </a:p>
      </dgm:t>
    </dgm:pt>
    <dgm:pt modelId="{716996AE-C94E-4F51-9E06-5E3D5EC0D411}" type="parTrans" cxnId="{8EF5F9E5-A64F-4291-AE55-DE29982D90F2}">
      <dgm:prSet/>
      <dgm:spPr/>
      <dgm:t>
        <a:bodyPr/>
        <a:lstStyle/>
        <a:p>
          <a:endParaRPr lang="cs-CZ"/>
        </a:p>
      </dgm:t>
    </dgm:pt>
    <dgm:pt modelId="{35F6ECA2-1436-41C6-86A2-7B726D0E26DD}" type="sibTrans" cxnId="{8EF5F9E5-A64F-4291-AE55-DE29982D90F2}">
      <dgm:prSet/>
      <dgm:spPr/>
      <dgm:t>
        <a:bodyPr/>
        <a:lstStyle/>
        <a:p>
          <a:endParaRPr lang="cs-CZ"/>
        </a:p>
      </dgm:t>
    </dgm:pt>
    <dgm:pt modelId="{622B3B5D-A1E1-41AB-A08D-97A86C6FDE0D}" type="pres">
      <dgm:prSet presAssocID="{EA290DF0-79BC-4BE7-B6F6-58061D433191}" presName="linearFlow" presStyleCnt="0">
        <dgm:presLayoutVars>
          <dgm:resizeHandles val="exact"/>
        </dgm:presLayoutVars>
      </dgm:prSet>
      <dgm:spPr/>
    </dgm:pt>
    <dgm:pt modelId="{871B934B-97DC-4880-98BC-E8648B8251F0}" type="pres">
      <dgm:prSet presAssocID="{BA76F47F-0E29-4BC8-9E33-293B6CCEE955}" presName="node" presStyleLbl="node1" presStyleIdx="0" presStyleCnt="3" custScaleX="187754" custScaleY="28628" custLinFactNeighborX="262" custLinFactNeighborY="-296">
        <dgm:presLayoutVars>
          <dgm:bulletEnabled val="1"/>
        </dgm:presLayoutVars>
      </dgm:prSet>
      <dgm:spPr/>
      <dgm:t>
        <a:bodyPr/>
        <a:lstStyle/>
        <a:p>
          <a:endParaRPr lang="cs-CZ"/>
        </a:p>
      </dgm:t>
    </dgm:pt>
    <dgm:pt modelId="{CD187AFD-A9A7-420E-A3EB-51B57C259732}" type="pres">
      <dgm:prSet presAssocID="{0F1EE363-899D-4D9D-B012-38F33C6E1276}" presName="sibTrans" presStyleLbl="sibTrans2D1" presStyleIdx="0" presStyleCnt="2" custScaleX="77217"/>
      <dgm:spPr/>
      <dgm:t>
        <a:bodyPr/>
        <a:lstStyle/>
        <a:p>
          <a:endParaRPr lang="cs-CZ"/>
        </a:p>
      </dgm:t>
    </dgm:pt>
    <dgm:pt modelId="{7C54222E-568D-4278-866A-58CD90B1874F}" type="pres">
      <dgm:prSet presAssocID="{0F1EE363-899D-4D9D-B012-38F33C6E1276}" presName="connectorText" presStyleLbl="sibTrans2D1" presStyleIdx="0" presStyleCnt="2"/>
      <dgm:spPr/>
      <dgm:t>
        <a:bodyPr/>
        <a:lstStyle/>
        <a:p>
          <a:endParaRPr lang="cs-CZ"/>
        </a:p>
      </dgm:t>
    </dgm:pt>
    <dgm:pt modelId="{31615643-0373-470F-904D-24E16C5559FB}" type="pres">
      <dgm:prSet presAssocID="{9734B160-3374-4F8E-9141-B5E228A2DF57}" presName="node" presStyleLbl="node1" presStyleIdx="1" presStyleCnt="3" custScaleX="186797" custScaleY="30352">
        <dgm:presLayoutVars>
          <dgm:bulletEnabled val="1"/>
        </dgm:presLayoutVars>
      </dgm:prSet>
      <dgm:spPr/>
      <dgm:t>
        <a:bodyPr/>
        <a:lstStyle/>
        <a:p>
          <a:endParaRPr lang="cs-CZ"/>
        </a:p>
      </dgm:t>
    </dgm:pt>
    <dgm:pt modelId="{4305839F-B976-45C4-9113-9CE376B54975}" type="pres">
      <dgm:prSet presAssocID="{62AA45AF-5969-41DA-A1AA-248056ED44B5}" presName="sibTrans" presStyleLbl="sibTrans2D1" presStyleIdx="1" presStyleCnt="2" custScaleX="72931"/>
      <dgm:spPr/>
      <dgm:t>
        <a:bodyPr/>
        <a:lstStyle/>
        <a:p>
          <a:endParaRPr lang="cs-CZ"/>
        </a:p>
      </dgm:t>
    </dgm:pt>
    <dgm:pt modelId="{7E441403-6F68-497A-8E8E-95746E2327E6}" type="pres">
      <dgm:prSet presAssocID="{62AA45AF-5969-41DA-A1AA-248056ED44B5}" presName="connectorText" presStyleLbl="sibTrans2D1" presStyleIdx="1" presStyleCnt="2"/>
      <dgm:spPr/>
      <dgm:t>
        <a:bodyPr/>
        <a:lstStyle/>
        <a:p>
          <a:endParaRPr lang="cs-CZ"/>
        </a:p>
      </dgm:t>
    </dgm:pt>
    <dgm:pt modelId="{626B2EB9-B9AB-4AB3-B858-9E4F221C67D3}" type="pres">
      <dgm:prSet presAssocID="{ECB28EEF-D348-478B-A77A-E1275437CBB1}" presName="node" presStyleLbl="node1" presStyleIdx="2" presStyleCnt="3" custScaleX="186797" custScaleY="31599">
        <dgm:presLayoutVars>
          <dgm:bulletEnabled val="1"/>
        </dgm:presLayoutVars>
      </dgm:prSet>
      <dgm:spPr/>
      <dgm:t>
        <a:bodyPr/>
        <a:lstStyle/>
        <a:p>
          <a:endParaRPr lang="cs-CZ"/>
        </a:p>
      </dgm:t>
    </dgm:pt>
  </dgm:ptLst>
  <dgm:cxnLst>
    <dgm:cxn modelId="{8EF5F9E5-A64F-4291-AE55-DE29982D90F2}" srcId="{EA290DF0-79BC-4BE7-B6F6-58061D433191}" destId="{ECB28EEF-D348-478B-A77A-E1275437CBB1}" srcOrd="2" destOrd="0" parTransId="{716996AE-C94E-4F51-9E06-5E3D5EC0D411}" sibTransId="{35F6ECA2-1436-41C6-86A2-7B726D0E26DD}"/>
    <dgm:cxn modelId="{229886AA-D784-4049-813F-9542BE54D034}" srcId="{EA290DF0-79BC-4BE7-B6F6-58061D433191}" destId="{9734B160-3374-4F8E-9141-B5E228A2DF57}" srcOrd="1" destOrd="0" parTransId="{F3877904-C12D-4190-8D10-8BC2E81321C1}" sibTransId="{62AA45AF-5969-41DA-A1AA-248056ED44B5}"/>
    <dgm:cxn modelId="{776917AC-91A6-4541-8BE2-8A86A7AB1E3C}" type="presOf" srcId="{EA290DF0-79BC-4BE7-B6F6-58061D433191}" destId="{622B3B5D-A1E1-41AB-A08D-97A86C6FDE0D}" srcOrd="0" destOrd="0" presId="urn:microsoft.com/office/officeart/2005/8/layout/process2"/>
    <dgm:cxn modelId="{6F78C521-1AC6-40B6-8C56-4CABDC752556}" srcId="{EA290DF0-79BC-4BE7-B6F6-58061D433191}" destId="{BA76F47F-0E29-4BC8-9E33-293B6CCEE955}" srcOrd="0" destOrd="0" parTransId="{B051856F-4CE1-4F76-858C-42A42946DFD2}" sibTransId="{0F1EE363-899D-4D9D-B012-38F33C6E1276}"/>
    <dgm:cxn modelId="{5797B15F-2F52-42EC-8EF8-CA86BC662903}" type="presOf" srcId="{9734B160-3374-4F8E-9141-B5E228A2DF57}" destId="{31615643-0373-470F-904D-24E16C5559FB}" srcOrd="0" destOrd="0" presId="urn:microsoft.com/office/officeart/2005/8/layout/process2"/>
    <dgm:cxn modelId="{4C91CB5C-C8B4-4F08-8E35-9743BACBB4CA}" type="presOf" srcId="{62AA45AF-5969-41DA-A1AA-248056ED44B5}" destId="{7E441403-6F68-497A-8E8E-95746E2327E6}" srcOrd="1" destOrd="0" presId="urn:microsoft.com/office/officeart/2005/8/layout/process2"/>
    <dgm:cxn modelId="{E06411BD-1C3D-4069-81F6-70394E86A2EE}" type="presOf" srcId="{0F1EE363-899D-4D9D-B012-38F33C6E1276}" destId="{CD187AFD-A9A7-420E-A3EB-51B57C259732}" srcOrd="0" destOrd="0" presId="urn:microsoft.com/office/officeart/2005/8/layout/process2"/>
    <dgm:cxn modelId="{1C5A23A1-9F38-40DE-94F3-9A5BF3EF497E}" type="presOf" srcId="{0F1EE363-899D-4D9D-B012-38F33C6E1276}" destId="{7C54222E-568D-4278-866A-58CD90B1874F}" srcOrd="1" destOrd="0" presId="urn:microsoft.com/office/officeart/2005/8/layout/process2"/>
    <dgm:cxn modelId="{DFC1762E-A5F7-4EAA-8FEA-795B45CF4511}" type="presOf" srcId="{ECB28EEF-D348-478B-A77A-E1275437CBB1}" destId="{626B2EB9-B9AB-4AB3-B858-9E4F221C67D3}" srcOrd="0" destOrd="0" presId="urn:microsoft.com/office/officeart/2005/8/layout/process2"/>
    <dgm:cxn modelId="{28954E0A-D19B-4FE7-95DC-0A101DC851B3}" type="presOf" srcId="{BA76F47F-0E29-4BC8-9E33-293B6CCEE955}" destId="{871B934B-97DC-4880-98BC-E8648B8251F0}" srcOrd="0" destOrd="0" presId="urn:microsoft.com/office/officeart/2005/8/layout/process2"/>
    <dgm:cxn modelId="{77427491-2E5F-41BB-9110-B96C9C82EE9C}" type="presOf" srcId="{62AA45AF-5969-41DA-A1AA-248056ED44B5}" destId="{4305839F-B976-45C4-9113-9CE376B54975}" srcOrd="0" destOrd="0" presId="urn:microsoft.com/office/officeart/2005/8/layout/process2"/>
    <dgm:cxn modelId="{7D027DED-4A57-4108-8E16-7985D33DF4B7}" type="presParOf" srcId="{622B3B5D-A1E1-41AB-A08D-97A86C6FDE0D}" destId="{871B934B-97DC-4880-98BC-E8648B8251F0}" srcOrd="0" destOrd="0" presId="urn:microsoft.com/office/officeart/2005/8/layout/process2"/>
    <dgm:cxn modelId="{7F68E9B1-70DD-4BF5-879C-3C3E90021B02}" type="presParOf" srcId="{622B3B5D-A1E1-41AB-A08D-97A86C6FDE0D}" destId="{CD187AFD-A9A7-420E-A3EB-51B57C259732}" srcOrd="1" destOrd="0" presId="urn:microsoft.com/office/officeart/2005/8/layout/process2"/>
    <dgm:cxn modelId="{79FE3BF3-F0B1-4E46-887A-F348522ED0E7}" type="presParOf" srcId="{CD187AFD-A9A7-420E-A3EB-51B57C259732}" destId="{7C54222E-568D-4278-866A-58CD90B1874F}" srcOrd="0" destOrd="0" presId="urn:microsoft.com/office/officeart/2005/8/layout/process2"/>
    <dgm:cxn modelId="{4039F92F-6561-490F-B3B3-CA29265D5126}" type="presParOf" srcId="{622B3B5D-A1E1-41AB-A08D-97A86C6FDE0D}" destId="{31615643-0373-470F-904D-24E16C5559FB}" srcOrd="2" destOrd="0" presId="urn:microsoft.com/office/officeart/2005/8/layout/process2"/>
    <dgm:cxn modelId="{C9310B67-CEB0-4EB3-8C1A-2F190C300EE8}" type="presParOf" srcId="{622B3B5D-A1E1-41AB-A08D-97A86C6FDE0D}" destId="{4305839F-B976-45C4-9113-9CE376B54975}" srcOrd="3" destOrd="0" presId="urn:microsoft.com/office/officeart/2005/8/layout/process2"/>
    <dgm:cxn modelId="{AE76749F-1F7C-4158-9124-5AF7AA7D98B6}" type="presParOf" srcId="{4305839F-B976-45C4-9113-9CE376B54975}" destId="{7E441403-6F68-497A-8E8E-95746E2327E6}" srcOrd="0" destOrd="0" presId="urn:microsoft.com/office/officeart/2005/8/layout/process2"/>
    <dgm:cxn modelId="{BB02BAFB-CD59-40F6-BB8F-F0C28C7CA4DC}" type="presParOf" srcId="{622B3B5D-A1E1-41AB-A08D-97A86C6FDE0D}" destId="{626B2EB9-B9AB-4AB3-B858-9E4F221C67D3}" srcOrd="4" destOrd="0" presId="urn:microsoft.com/office/officeart/2005/8/layout/process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1B934B-97DC-4880-98BC-E8648B8251F0}">
      <dsp:nvSpPr>
        <dsp:cNvPr id="0" name=""/>
        <dsp:cNvSpPr/>
      </dsp:nvSpPr>
      <dsp:spPr>
        <a:xfrm>
          <a:off x="0" y="2"/>
          <a:ext cx="5610225" cy="3142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dirty="0"/>
            <a:t>součet počátečních stavů (minulé účetní období netto) příslušných položek rozvahy</a:t>
          </a:r>
        </a:p>
      </dsp:txBody>
      <dsp:txXfrm>
        <a:off x="0" y="2"/>
        <a:ext cx="5610225" cy="314288"/>
      </dsp:txXfrm>
    </dsp:sp>
    <dsp:sp modelId="{CD187AFD-A9A7-420E-A3EB-51B57C259732}">
      <dsp:nvSpPr>
        <dsp:cNvPr id="0" name=""/>
        <dsp:cNvSpPr/>
      </dsp:nvSpPr>
      <dsp:spPr>
        <a:xfrm rot="5400000">
          <a:off x="2645695" y="342549"/>
          <a:ext cx="318834" cy="494026"/>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cs-CZ" sz="1800" b="1" kern="1200" dirty="0"/>
            <a:t>+</a:t>
          </a:r>
        </a:p>
      </dsp:txBody>
      <dsp:txXfrm rot="5400000">
        <a:off x="2645695" y="342549"/>
        <a:ext cx="318834" cy="494026"/>
      </dsp:txXfrm>
    </dsp:sp>
    <dsp:sp modelId="{31615643-0373-470F-904D-24E16C5559FB}">
      <dsp:nvSpPr>
        <dsp:cNvPr id="0" name=""/>
        <dsp:cNvSpPr/>
      </dsp:nvSpPr>
      <dsp:spPr>
        <a:xfrm>
          <a:off x="14297" y="864833"/>
          <a:ext cx="5581629" cy="33321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dirty="0"/>
            <a:t>řádek E. Čistá změna oběživa a depozit </a:t>
          </a:r>
          <a:r>
            <a:rPr lang="cs-CZ" sz="1200" kern="1200" dirty="0">
              <a:solidFill>
                <a:schemeClr val="bg1"/>
              </a:solidFill>
            </a:rPr>
            <a:t>výkazu</a:t>
          </a:r>
        </a:p>
      </dsp:txBody>
      <dsp:txXfrm>
        <a:off x="14297" y="864833"/>
        <a:ext cx="5581629" cy="333215"/>
      </dsp:txXfrm>
    </dsp:sp>
    <dsp:sp modelId="{4305839F-B976-45C4-9113-9CE376B54975}">
      <dsp:nvSpPr>
        <dsp:cNvPr id="0" name=""/>
        <dsp:cNvSpPr/>
      </dsp:nvSpPr>
      <dsp:spPr>
        <a:xfrm rot="5400000">
          <a:off x="2654988" y="1225495"/>
          <a:ext cx="300248" cy="494026"/>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cs-CZ" sz="1800" b="1" kern="1200" dirty="0"/>
            <a:t>=</a:t>
          </a:r>
        </a:p>
      </dsp:txBody>
      <dsp:txXfrm rot="5400000">
        <a:off x="2654988" y="1225495"/>
        <a:ext cx="300248" cy="494026"/>
      </dsp:txXfrm>
    </dsp:sp>
    <dsp:sp modelId="{626B2EB9-B9AB-4AB3-B858-9E4F221C67D3}">
      <dsp:nvSpPr>
        <dsp:cNvPr id="0" name=""/>
        <dsp:cNvSpPr/>
      </dsp:nvSpPr>
      <dsp:spPr>
        <a:xfrm>
          <a:off x="14297" y="1746967"/>
          <a:ext cx="5581629" cy="3469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dirty="0"/>
            <a:t>součet konečných stavů (běžné účetní období netto) příslušných položek rozvahy</a:t>
          </a:r>
        </a:p>
      </dsp:txBody>
      <dsp:txXfrm>
        <a:off x="14297" y="1746967"/>
        <a:ext cx="5581629" cy="3469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1CBC-1F16-4D7C-A911-7D2278CA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10074</Words>
  <Characters>59439</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Pospíchal Zbyšek Ing.</dc:creator>
  <cp:lastModifiedBy>01372</cp:lastModifiedBy>
  <cp:revision>2</cp:revision>
  <cp:lastPrinted>2017-02-15T10:44:00Z</cp:lastPrinted>
  <dcterms:created xsi:type="dcterms:W3CDTF">2017-06-14T07:09:00Z</dcterms:created>
  <dcterms:modified xsi:type="dcterms:W3CDTF">2017-06-14T07:09:00Z</dcterms:modified>
</cp:coreProperties>
</file>