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070D0">
      <w:pPr>
        <w:jc w:val="both"/>
      </w:pPr>
      <w:r>
        <w:rPr>
          <w:b/>
          <w:bCs/>
          <w:u w:val="single"/>
        </w:rPr>
        <w:t>Konzultační činnost Fakultní nemocnice Olomouc   7.-8. prosince 2017</w:t>
      </w:r>
    </w:p>
    <w:p w:rsidR="00000000" w:rsidRDefault="008070D0">
      <w:pPr>
        <w:jc w:val="both"/>
        <w:rPr>
          <w:b/>
          <w:bCs/>
          <w:u w:val="single"/>
        </w:rPr>
      </w:pPr>
    </w:p>
    <w:p w:rsidR="00000000" w:rsidRDefault="008070D0">
      <w:pPr>
        <w:jc w:val="both"/>
        <w:rPr>
          <w:b/>
          <w:bCs/>
          <w:u w:val="single"/>
        </w:rPr>
      </w:pPr>
    </w:p>
    <w:p w:rsidR="00000000" w:rsidRDefault="008070D0">
      <w:pPr>
        <w:jc w:val="both"/>
      </w:pPr>
      <w:r>
        <w:rPr>
          <w:b/>
          <w:bCs/>
        </w:rPr>
        <w:t>1. Účtování dotace na zvýšení platů sester</w:t>
      </w:r>
    </w:p>
    <w:p w:rsidR="00000000" w:rsidRDefault="008070D0">
      <w:pPr>
        <w:jc w:val="both"/>
      </w:pPr>
    </w:p>
    <w:p w:rsidR="00000000" w:rsidRDefault="008070D0">
      <w:pPr>
        <w:jc w:val="both"/>
      </w:pPr>
      <w:r>
        <w:t>Vzhledem k rozhodnutí ministerstva zdravotnictví o nevypořádávání příspěvku na provoz (pro státní organizace se nejedná o dotaci, ale o nezúč</w:t>
      </w:r>
      <w:r>
        <w:t xml:space="preserve">továvaný příspěvek na provoz) doporučujeme tento příspěvek na provoz rozúčtovat na příslušné kliniky do výnosů podle přepočteného stavu sester, kterých se tento příspěvek na provoz týkal. </w:t>
      </w:r>
    </w:p>
    <w:p w:rsidR="00000000" w:rsidRDefault="008070D0">
      <w:pPr>
        <w:jc w:val="both"/>
      </w:pPr>
    </w:p>
    <w:p w:rsidR="00000000" w:rsidRDefault="008070D0">
      <w:pPr>
        <w:jc w:val="both"/>
      </w:pPr>
    </w:p>
    <w:p w:rsidR="00000000" w:rsidRDefault="008070D0">
      <w:pPr>
        <w:jc w:val="both"/>
      </w:pPr>
    </w:p>
    <w:p w:rsidR="00000000" w:rsidRDefault="008070D0">
      <w:pPr>
        <w:jc w:val="both"/>
      </w:pPr>
      <w:r>
        <w:rPr>
          <w:b/>
          <w:bCs/>
        </w:rPr>
        <w:t xml:space="preserve">2. </w:t>
      </w:r>
      <w:r>
        <w:rPr>
          <w:b/>
          <w:bCs/>
        </w:rPr>
        <w:t xml:space="preserve">SOTIO a.s. </w:t>
      </w:r>
    </w:p>
    <w:p w:rsidR="00000000" w:rsidRDefault="008070D0">
      <w:pPr>
        <w:jc w:val="both"/>
      </w:pPr>
    </w:p>
    <w:p w:rsidR="00000000" w:rsidRDefault="008070D0">
      <w:pPr>
        <w:jc w:val="both"/>
      </w:pPr>
      <w:r>
        <w:t>Na základě požadavku zpracuje Ing. Charvát samos</w:t>
      </w:r>
      <w:r>
        <w:t>tatné stanovisko k problematice daně z přidané hodnoty v případě prodeje plazmy z leukaferézy společnosti SOTIO a.s. pro účely výzkumu a vývoje nových léčiv touto biotechnologickou společností.</w:t>
      </w:r>
    </w:p>
    <w:p w:rsidR="00000000" w:rsidRDefault="008070D0">
      <w:pPr>
        <w:jc w:val="both"/>
      </w:pPr>
    </w:p>
    <w:p w:rsidR="00000000" w:rsidRDefault="008070D0">
      <w:pPr>
        <w:jc w:val="both"/>
      </w:pPr>
    </w:p>
    <w:p w:rsidR="00000000" w:rsidRDefault="008070D0">
      <w:pPr>
        <w:tabs>
          <w:tab w:val="left" w:pos="2730"/>
        </w:tabs>
        <w:jc w:val="both"/>
      </w:pPr>
      <w:r>
        <w:rPr>
          <w:b/>
          <w:bCs/>
        </w:rPr>
        <w:t>3. Dohoda s Pepsi – mailová komunikace</w:t>
      </w:r>
    </w:p>
    <w:p w:rsidR="00000000" w:rsidRDefault="008070D0">
      <w:pPr>
        <w:tabs>
          <w:tab w:val="left" w:pos="2730"/>
        </w:tabs>
        <w:jc w:val="both"/>
      </w:pPr>
    </w:p>
    <w:p w:rsidR="00000000" w:rsidRDefault="008070D0">
      <w:pPr>
        <w:tabs>
          <w:tab w:val="left" w:pos="2730"/>
        </w:tabs>
        <w:jc w:val="both"/>
      </w:pPr>
      <w:r>
        <w:t>Jde o případ, kdy sp</w:t>
      </w:r>
      <w:r>
        <w:t>olečnost Pepsi Cola by měla zájem dodávat pro dárce krve své nápoje, ale za podmínky smluvní kompenzace prováděním reklamy na jejich výrobky. Podle našeho názoru tento postup není pro fakultní nemocnici možný, neboť společnost si celý postup představuje ja</w:t>
      </w:r>
      <w:r>
        <w:t>ko dodávku zboží do fakultní nemocnice s protiplněním tou reklamou. Fakultní nemocnice má ale občerstvení pro dárce krve zajištěno jiným způsobem, a pokud by byla mezi Pepsi Colou a nemocnicí uzavřena darovací smlouva, nesmí potom společnost požadovat prot</w:t>
      </w:r>
      <w:r>
        <w:t>iplnění. Proto nedoporučujeme v této podobě smlouvu uzavřít.</w:t>
      </w:r>
    </w:p>
    <w:p w:rsidR="00000000" w:rsidRDefault="008070D0">
      <w:pPr>
        <w:tabs>
          <w:tab w:val="left" w:pos="2730"/>
        </w:tabs>
        <w:jc w:val="both"/>
      </w:pPr>
    </w:p>
    <w:p w:rsidR="00000000" w:rsidRDefault="008070D0">
      <w:pPr>
        <w:tabs>
          <w:tab w:val="left" w:pos="2730"/>
        </w:tabs>
        <w:jc w:val="both"/>
      </w:pPr>
    </w:p>
    <w:p w:rsidR="00000000" w:rsidRDefault="008070D0">
      <w:pPr>
        <w:jc w:val="both"/>
      </w:pPr>
      <w:r>
        <w:rPr>
          <w:b/>
          <w:bCs/>
        </w:rPr>
        <w:t>4. Smlouva na nájem části střechy pro Vodafon</w:t>
      </w:r>
    </w:p>
    <w:p w:rsidR="00000000" w:rsidRDefault="008070D0">
      <w:pPr>
        <w:jc w:val="both"/>
      </w:pPr>
    </w:p>
    <w:p w:rsidR="00000000" w:rsidRDefault="008070D0">
      <w:pPr>
        <w:jc w:val="both"/>
      </w:pPr>
      <w:r>
        <w:t>Smlouva je uzavřena na pronájem 69 m2 plochy bez daně za rok s tím, že 1/12 je měsíční sazba nájmu. Vzhledem k tomu, že smlouva je uzavřena výslov</w:t>
      </w:r>
      <w:r>
        <w:t>ně na pronájem plochy, je akceptovatelné osvobození od DPH podle § 56a zákona o DPH, i když striktnější výklad ministerstva financí mluví spíše než o pronájmu o „poskytnutí práva“ umístění anténního systému.</w:t>
      </w:r>
    </w:p>
    <w:p w:rsidR="00000000" w:rsidRDefault="008070D0">
      <w:pPr>
        <w:jc w:val="both"/>
      </w:pPr>
    </w:p>
    <w:p w:rsidR="00000000" w:rsidRDefault="008070D0">
      <w:pPr>
        <w:jc w:val="both"/>
        <w:rPr>
          <w:b/>
          <w:bCs/>
        </w:rPr>
      </w:pPr>
    </w:p>
    <w:p w:rsidR="00000000" w:rsidRDefault="008070D0">
      <w:pPr>
        <w:jc w:val="both"/>
      </w:pPr>
      <w:r>
        <w:rPr>
          <w:b/>
          <w:bCs/>
        </w:rPr>
        <w:t>5. Smlouva o předání majetku státu FN</w:t>
      </w:r>
    </w:p>
    <w:p w:rsidR="00000000" w:rsidRDefault="008070D0">
      <w:pPr>
        <w:jc w:val="both"/>
      </w:pPr>
    </w:p>
    <w:p w:rsidR="00000000" w:rsidRDefault="008070D0">
      <w:pPr>
        <w:jc w:val="both"/>
      </w:pPr>
      <w:r>
        <w:t>Jedná s</w:t>
      </w:r>
      <w:r>
        <w:t xml:space="preserve">e o převzetí dalších pozemků a staveb, které původně od ministerstva obrany převzal Úřad práce, a ten nyní převádí právo hospodaření k majetku státu na Fakultní nemocnici Olomouc. </w:t>
      </w:r>
    </w:p>
    <w:p w:rsidR="00000000" w:rsidRDefault="008070D0">
      <w:pPr>
        <w:jc w:val="both"/>
      </w:pPr>
    </w:p>
    <w:p w:rsidR="00000000" w:rsidRDefault="008070D0">
      <w:pPr>
        <w:jc w:val="both"/>
      </w:pPr>
      <w:r>
        <w:t>Fakultní nemocnice Olomouc převzala do užívání od Úřadu práce pozemky a st</w:t>
      </w:r>
      <w:r>
        <w:t xml:space="preserve">avby k září 2017. </w:t>
      </w:r>
    </w:p>
    <w:p w:rsidR="00000000" w:rsidRDefault="008070D0">
      <w:pPr>
        <w:jc w:val="both"/>
      </w:pPr>
    </w:p>
    <w:p w:rsidR="00000000" w:rsidRDefault="008070D0">
      <w:pPr>
        <w:jc w:val="both"/>
      </w:pPr>
      <w:r>
        <w:t>Do zápisu z inventarizační komise z listopadu 2017 bude konstatováno, že v rámci prověrky smlouvy o bezúplatném převodu hospodaření převodu hospodaření k majetku státu od Úřadu práce ČR bylo zjištěno, že předávající strana deklarovala j</w:t>
      </w:r>
      <w:r>
        <w:t>ako pozemek (pod jedním inventárním číslem) i položky, které jsou ve skutečnosti stavbami (inž. sítě + komunikace) a mají být tedy vedeny a odepisovány na účtu 021 stavby. Vzhledem k tomu, že z důvodu sestavování PAP je nutno prvotně zaúčtovat toto bezúpla</w:t>
      </w:r>
      <w:r>
        <w:t xml:space="preserve">tné převzetí na účet 031 pozemky, zajistí příslušný odborný pracovník do konce roku 2017 přeúčtování na správné majetkové účty a vytvoření samostatných karet. Z hlediska </w:t>
      </w:r>
      <w:r>
        <w:lastRenderedPageBreak/>
        <w:t>účtování doporučujeme účtovat jako inventarizační rozdíly.</w:t>
      </w:r>
    </w:p>
    <w:p w:rsidR="00000000" w:rsidRDefault="008070D0">
      <w:pPr>
        <w:jc w:val="both"/>
      </w:pPr>
    </w:p>
    <w:p w:rsidR="00000000" w:rsidRDefault="008070D0">
      <w:pPr>
        <w:jc w:val="both"/>
      </w:pPr>
      <w:r>
        <w:t>Účetní odpisy doporučujeme</w:t>
      </w:r>
      <w:r>
        <w:t xml:space="preserve"> nastavit na zbytkovou dob odepisování 5 let, což je doba předpokládaná do dokončení demolice. Doporučujeme majetek daňově neodepisovat, jelikož neslouží k zajištění příjmů. Daňová zůstatková cena se uplatní při vyřazení. Jelikož není žádný podklad, že by </w:t>
      </w:r>
      <w:r>
        <w:t>došlo v minulosti k daňovému odepisování, bude se jednat o celou pořizovací cenu.</w:t>
      </w:r>
    </w:p>
    <w:p w:rsidR="00000000" w:rsidRDefault="008070D0">
      <w:pPr>
        <w:jc w:val="both"/>
      </w:pPr>
      <w:r>
        <w:t>Toto se netýká plynovodu, který se plánuje využít, a jehož odpisy se stanoví samostatně.</w:t>
      </w:r>
    </w:p>
    <w:p w:rsidR="00000000" w:rsidRDefault="008070D0">
      <w:pPr>
        <w:jc w:val="both"/>
      </w:pPr>
    </w:p>
    <w:p w:rsidR="00000000" w:rsidRDefault="008070D0">
      <w:pPr>
        <w:jc w:val="both"/>
        <w:rPr>
          <w:b/>
          <w:bCs/>
        </w:rPr>
      </w:pPr>
    </w:p>
    <w:p w:rsidR="00000000" w:rsidRDefault="008070D0">
      <w:pPr>
        <w:jc w:val="both"/>
      </w:pPr>
      <w:r>
        <w:rPr>
          <w:b/>
          <w:bCs/>
        </w:rPr>
        <w:t>6. Přehled příjmů a výdajů</w:t>
      </w:r>
    </w:p>
    <w:p w:rsidR="00000000" w:rsidRDefault="008070D0">
      <w:pPr>
        <w:jc w:val="both"/>
      </w:pPr>
    </w:p>
    <w:p w:rsidR="00000000" w:rsidRDefault="008070D0">
      <w:pPr>
        <w:jc w:val="both"/>
      </w:pPr>
    </w:p>
    <w:p w:rsidR="00000000" w:rsidRDefault="008070D0">
      <w:pPr>
        <w:jc w:val="both"/>
      </w:pPr>
      <w:r>
        <w:t>Vzhledem k nesrovnalosti mezi provozními výdaji a výda</w:t>
      </w:r>
      <w:r>
        <w:t>ji na pořízení nefinančních aktiv (dlouhodobého majetku) doplňuji původní informace o metodice vyplňování Přehledu příjmů a výdajů o stanovisko odboru 37 Ministerstva financí k mému dotazu v této záležitosti.</w:t>
      </w:r>
    </w:p>
    <w:p w:rsidR="00000000" w:rsidRDefault="008070D0">
      <w:pPr>
        <w:jc w:val="both"/>
      </w:pPr>
      <w:r>
        <w:rPr>
          <w:rFonts w:eastAsia="Times New Roman" w:cs="Times New Roman"/>
        </w:rPr>
        <w:t xml:space="preserve"> </w:t>
      </w:r>
    </w:p>
    <w:p w:rsidR="00000000" w:rsidRDefault="008070D0">
      <w:pPr>
        <w:pStyle w:val="Pedformtovantext"/>
        <w:jc w:val="both"/>
      </w:pPr>
      <w:r>
        <w:rPr>
          <w:rFonts w:ascii="Times New Roman" w:hAnsi="Times New Roman" w:cs="Times New Roman"/>
          <w:b/>
          <w:bCs/>
          <w:i/>
          <w:iCs/>
          <w:sz w:val="24"/>
          <w:szCs w:val="24"/>
        </w:rPr>
        <w:t>Vážený pane inženýre,</w:t>
      </w:r>
    </w:p>
    <w:p w:rsidR="00000000" w:rsidRDefault="008070D0">
      <w:pPr>
        <w:pStyle w:val="Pedformtovantext"/>
        <w:rPr>
          <w:rFonts w:ascii="Times New Roman" w:hAnsi="Times New Roman" w:cs="Times New Roman"/>
          <w:b/>
          <w:bCs/>
          <w:i/>
          <w:iCs/>
          <w:sz w:val="24"/>
          <w:szCs w:val="24"/>
        </w:rPr>
      </w:pPr>
    </w:p>
    <w:p w:rsidR="00000000" w:rsidRDefault="008070D0">
      <w:pPr>
        <w:pStyle w:val="Pedformtovantext"/>
        <w:spacing w:after="283"/>
      </w:pPr>
      <w:r>
        <w:rPr>
          <w:rFonts w:ascii="Times New Roman" w:hAnsi="Times New Roman" w:cs="Times New Roman"/>
          <w:b/>
          <w:bCs/>
          <w:i/>
          <w:iCs/>
          <w:sz w:val="24"/>
          <w:szCs w:val="24"/>
        </w:rPr>
        <w:t>reaguji na Váš metodic</w:t>
      </w:r>
      <w:r>
        <w:rPr>
          <w:rFonts w:ascii="Times New Roman" w:hAnsi="Times New Roman" w:cs="Times New Roman"/>
          <w:b/>
          <w:bCs/>
          <w:i/>
          <w:iCs/>
          <w:sz w:val="24"/>
          <w:szCs w:val="24"/>
        </w:rPr>
        <w:t>ký dotaz ohledně zaznamenání DPH v případě režimu přenesené daňové povinnosti u státních příspěvkových organizací, jejichž činnost je od DPH osvobozena. Je pravdou, že takovýto případ metodický pokyn neřeší. Ten obecně konstatuje, že daň odváděná finančním</w:t>
      </w:r>
      <w:r>
        <w:rPr>
          <w:rFonts w:ascii="Times New Roman" w:hAnsi="Times New Roman" w:cs="Times New Roman"/>
          <w:b/>
          <w:bCs/>
          <w:i/>
          <w:iCs/>
          <w:sz w:val="24"/>
          <w:szCs w:val="24"/>
        </w:rPr>
        <w:t>u úřadu na základě daňového přiznání k DPH má být zaznamenána na položce A.2.XIV.3. Transfery jinde nezařazené – běžné. Režim přenesené daňové povinnosti je však specifický případ, kdy – jak označení napovídá – je daňová povinnost přenesena z prodávajícího</w:t>
      </w:r>
      <w:r>
        <w:rPr>
          <w:rFonts w:ascii="Times New Roman" w:hAnsi="Times New Roman" w:cs="Times New Roman"/>
          <w:b/>
          <w:bCs/>
          <w:i/>
          <w:iCs/>
          <w:sz w:val="24"/>
          <w:szCs w:val="24"/>
        </w:rPr>
        <w:t xml:space="preserve"> na kupujícího. Ten vypočte a odvede DPH místo prodávajícího. Z pohledu statistického zachycení by však nebylo korektní, aby daňový režim ovlivňoval hodnotu pořízeného majetku zaznamenanou v části B.1. výkazu peněžních příjmů a výdajů, tj. zda bude vykázán</w:t>
      </w:r>
      <w:r>
        <w:rPr>
          <w:rFonts w:ascii="Times New Roman" w:hAnsi="Times New Roman" w:cs="Times New Roman"/>
          <w:b/>
          <w:bCs/>
          <w:i/>
          <w:iCs/>
          <w:sz w:val="24"/>
          <w:szCs w:val="24"/>
        </w:rPr>
        <w:t xml:space="preserve"> včetně DPH nebo bez DPH. Z tohoto důvodu bude metodicky správnější uvést tuto daň jako součást pořizovací ceny majetku na položce B.1.III. Ostatní nákupy dlouhodobého hmotného a nehmotného majetku než na položku A.2.XIV.3. Transfery jinde nezařazené – běž</w:t>
      </w:r>
      <w:r>
        <w:rPr>
          <w:rFonts w:ascii="Times New Roman" w:hAnsi="Times New Roman" w:cs="Times New Roman"/>
          <w:b/>
          <w:bCs/>
          <w:i/>
          <w:iCs/>
          <w:sz w:val="24"/>
          <w:szCs w:val="24"/>
        </w:rPr>
        <w:t>né.</w:t>
      </w:r>
    </w:p>
    <w:p w:rsidR="00000000" w:rsidRDefault="008070D0">
      <w:pPr>
        <w:jc w:val="both"/>
      </w:pPr>
      <w:r>
        <w:t>Pokud se pak jedná o druhou spornou záležitost, tedy zařazování výdajů na pořízení DDHM do výdajů v části B.1.III, pak na základě další komunikace s odborem 37 Ministerstva financí bylo dohodnuto, i když to není podpořeno písemnou odpovědí, že v případ</w:t>
      </w:r>
      <w:r>
        <w:t>ě, pokud by nebylo možno dosáhnout relevantních údajů o skutečných výdajích na pořízení DDHM (součást souhrnnějších faktur za dodávky i spotřebního materiálu a podobně, vedení skladových zásob DDHM s pozdějším vydáváním do spotřeby, různé termíny vydání do</w:t>
      </w:r>
      <w:r>
        <w:t xml:space="preserve"> spotřeby a splatnosti faktur) bude, i v návaznosti na to, že kategorie DDHM jako taková je pouze u vybraných účetních jednotek, tedy státních příspěvkových organizací, tolerováno zatřídění výdajů na pořízení DDHM do provozních výdajů části A.2VIII.3.</w:t>
      </w:r>
    </w:p>
    <w:p w:rsidR="00000000" w:rsidRDefault="008070D0">
      <w:pPr>
        <w:jc w:val="both"/>
      </w:pPr>
    </w:p>
    <w:p w:rsidR="00000000" w:rsidRDefault="008070D0">
      <w:pPr>
        <w:jc w:val="both"/>
      </w:pPr>
    </w:p>
    <w:p w:rsidR="00000000" w:rsidRDefault="008070D0">
      <w:pPr>
        <w:jc w:val="both"/>
      </w:pPr>
    </w:p>
    <w:p w:rsidR="00000000" w:rsidRDefault="008070D0">
      <w:pPr>
        <w:jc w:val="both"/>
      </w:pPr>
    </w:p>
    <w:p w:rsidR="00000000" w:rsidRDefault="008070D0">
      <w:pPr>
        <w:jc w:val="both"/>
      </w:pPr>
    </w:p>
    <w:p w:rsidR="00000000" w:rsidRDefault="008070D0">
      <w:pPr>
        <w:jc w:val="both"/>
      </w:pPr>
    </w:p>
    <w:p w:rsidR="00000000" w:rsidRDefault="008070D0">
      <w:pPr>
        <w:jc w:val="both"/>
      </w:pPr>
      <w:r>
        <w:rPr>
          <w:rFonts w:eastAsia="Times New Roman" w:cs="Times New Roman"/>
        </w:rPr>
        <w:t xml:space="preserve">                                                                                                 </w:t>
      </w:r>
      <w:r>
        <w:t>Ing. Zdeněk  Charvát</w:t>
      </w:r>
    </w:p>
    <w:p w:rsidR="008070D0" w:rsidRDefault="008070D0">
      <w:pPr>
        <w:jc w:val="both"/>
      </w:pPr>
      <w:r>
        <w:rPr>
          <w:rFonts w:eastAsia="Times New Roman" w:cs="Times New Roman"/>
        </w:rPr>
        <w:t xml:space="preserve">                                                                                                   </w:t>
      </w:r>
      <w:r>
        <w:t>CGB-Consult,s.r.o.</w:t>
      </w:r>
    </w:p>
    <w:sectPr w:rsidR="008070D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iberation Mono">
    <w:altName w:val="Courier New"/>
    <w:charset w:val="EE"/>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5971"/>
    <w:rsid w:val="008070D0"/>
    <w:rsid w:val="00EE63F9"/>
    <w:rsid w:val="00FC597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Tahoma"/>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customStyle="1" w:styleId="Pedformtovantext">
    <w:name w:val="Předformátovaný text"/>
    <w:basedOn w:val="Normln"/>
    <w:rPr>
      <w:rFonts w:ascii="Liberation Mono" w:eastAsia="NSimSun"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4801</Characters>
  <Application>Microsoft Office Word</Application>
  <DocSecurity>0</DocSecurity>
  <Lines>40</Lines>
  <Paragraphs>11</Paragraphs>
  <ScaleCrop>false</ScaleCrop>
  <Company>FNOL</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Charvát</dc:creator>
  <cp:lastModifiedBy>01372</cp:lastModifiedBy>
  <cp:revision>2</cp:revision>
  <cp:lastPrinted>2018-02-11T06:40:00Z</cp:lastPrinted>
  <dcterms:created xsi:type="dcterms:W3CDTF">2018-04-26T04:53:00Z</dcterms:created>
  <dcterms:modified xsi:type="dcterms:W3CDTF">2018-04-26T04:53:00Z</dcterms:modified>
</cp:coreProperties>
</file>