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EAD">
      <w:pPr>
        <w:jc w:val="both"/>
      </w:pPr>
      <w:r>
        <w:rPr>
          <w:b/>
          <w:bCs/>
          <w:u w:val="single"/>
        </w:rPr>
        <w:t>Konzultační činnost Fakultní nemocnice Olomouc   13.-14. srpna 2018</w:t>
      </w:r>
    </w:p>
    <w:p w:rsidR="00000000" w:rsidRDefault="00654EAD">
      <w:pPr>
        <w:jc w:val="both"/>
        <w:rPr>
          <w:b/>
          <w:bCs/>
          <w:u w:val="single"/>
        </w:rPr>
      </w:pPr>
    </w:p>
    <w:p w:rsidR="00000000" w:rsidRDefault="00654EAD">
      <w:pPr>
        <w:jc w:val="both"/>
        <w:rPr>
          <w:b/>
          <w:bCs/>
          <w:u w:val="single"/>
        </w:rPr>
      </w:pPr>
    </w:p>
    <w:p w:rsidR="00000000" w:rsidRDefault="00654EAD">
      <w:pPr>
        <w:jc w:val="both"/>
      </w:pPr>
      <w:r>
        <w:rPr>
          <w:b/>
          <w:bCs/>
        </w:rPr>
        <w:t>1. Účtování o prodeji DM se zůstatkovou cenou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V případě, pokud se prodává dlouhodobý majetek, který má ještě zůstatkovou cenu, tedy není plně odepsán, musí se po realizaci prodeje proúč</w:t>
      </w:r>
      <w:r>
        <w:t>tovat zůstatková cena jako snížení jmění organizace na straně Má dáti účtu 401 a současně jako zdroj fondu reprodukce majetku na straně dal účtu 416. V případě, pokud je zůstatková cena nižší, než výnos z prodeje tohoto majetku, pak ještě musí být fond rep</w:t>
      </w:r>
      <w:r>
        <w:t>rodukce majetku do výše výnosu z prodeje doplněn zaúčtováním tvorby fondu v nákladech zápisem Má dáti 548 – Tvorba fondů a dal 416 – Fond reprodukce majetku. Pokud by ale zůstatková cena byla vyšší než výnos z prodeje, pak bude zápis tvorby v nákladech min</w:t>
      </w:r>
      <w:r>
        <w:t xml:space="preserve">usový.  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2. Technické zhodnocení DM – účetně a daňově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Účetně rozhoduje překročení limitu, to znamená částky 40 000 Kč, u jednotlivé akce, podle ČÚS č. 710, ale daňově hodnota u jednotlivého majetku za kalendářní rok podle zákona o daních z příjmů. Proto</w:t>
      </w:r>
      <w:r>
        <w:t xml:space="preserve"> v případě, kdy hodnota jedné akce je nižší než 40 000 Kč, a je předpoklad, že na stejném majetku může být do konce roku provedeno ještě další „malé“ technické zhodnocení, doporučujeme účtovat jako náklady nedaňové. Pokud se týká sledování v rámci evidence</w:t>
      </w:r>
      <w:r>
        <w:t xml:space="preserve"> majetku, pak program používaný jako majetkový modul musí umět tento postup, tedy zvyšování daňové vstupní ceny bez navyšování účetní hodnoty majetku, protože tento postup je daný právními předpisy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tabs>
          <w:tab w:val="left" w:pos="2730"/>
        </w:tabs>
        <w:jc w:val="both"/>
      </w:pPr>
      <w:r>
        <w:rPr>
          <w:b/>
          <w:bCs/>
        </w:rPr>
        <w:t>3. Znalečné fakturované soudu</w:t>
      </w:r>
    </w:p>
    <w:p w:rsidR="00000000" w:rsidRDefault="00654EAD">
      <w:pPr>
        <w:tabs>
          <w:tab w:val="left" w:pos="2730"/>
        </w:tabs>
        <w:jc w:val="both"/>
      </w:pPr>
    </w:p>
    <w:p w:rsidR="00000000" w:rsidRDefault="00654EAD">
      <w:pPr>
        <w:tabs>
          <w:tab w:val="left" w:pos="2730"/>
        </w:tabs>
        <w:jc w:val="both"/>
      </w:pPr>
      <w:r>
        <w:t>Fakturuje se po vydání sd</w:t>
      </w:r>
      <w:r>
        <w:t xml:space="preserve">ělení soudu, že znalečné bude proplaceno, faktura by tedy měla být soudu posílána, ale upomínky by být neměly, jelikož platba bude uskutečněna až po rozhodnutí soudu o proplacení, což je další právní úkon soudu. </w:t>
      </w:r>
    </w:p>
    <w:p w:rsidR="00000000" w:rsidRDefault="00654EAD">
      <w:pPr>
        <w:tabs>
          <w:tab w:val="left" w:pos="2730"/>
        </w:tabs>
        <w:jc w:val="both"/>
      </w:pPr>
    </w:p>
    <w:p w:rsidR="00000000" w:rsidRDefault="00654EAD">
      <w:pPr>
        <w:tabs>
          <w:tab w:val="left" w:pos="2730"/>
        </w:tabs>
        <w:jc w:val="both"/>
      </w:pPr>
    </w:p>
    <w:p w:rsidR="00000000" w:rsidRDefault="00654EAD">
      <w:pPr>
        <w:jc w:val="both"/>
      </w:pPr>
      <w:r>
        <w:rPr>
          <w:b/>
          <w:bCs/>
        </w:rPr>
        <w:t>4. Úhrada nákladů za odeslání zásilky - D</w:t>
      </w:r>
      <w:r>
        <w:rPr>
          <w:b/>
          <w:bCs/>
        </w:rPr>
        <w:t>PH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Podle našeho názoru by při fakturaci, jejíž součástí jsou i náklady spojené s odesláním zásilky, tedy zejména balné a poštovné, měla být u těchto dvou položek uplatněna základní sazba daně, protože i když poštovné je obecně osvobozeno od DPH, platí tot</w:t>
      </w:r>
      <w:r>
        <w:t>o osvobození pouze pro držitele poštovní licence, což fakultní nemocnice není.Pokud by fakultní nemocnice přistoupila na požadavek některých veřejných institucí (sociální zabezpečení, soudy) na neuplatnění DPH u poštovného, pak by záleželo na posouzení fin</w:t>
      </w:r>
      <w:r>
        <w:t>ančními úřady, zda toto ponechání osvobození od DPH je nebo není porušením zákona. Rozhodnutí finančního úřadu ale nelze v tomto případě předjímat.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5. Lékárna – fakturace na samoplátce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Jde o případy, kdy z různých důvodů dochází k odmítnutí proplacení l</w:t>
      </w:r>
      <w:r>
        <w:t>éků zdravotní pojišťovnou, a následně je fakturováno fyzické osobě, které byl lék vydán. Fakturováno by mělo být s druhou sníženou sazbou, tedy 10% DPH jako na léky, protože se stejnou sazbou musel být vystaven i opravný daňový doklad na snížení faktury za</w:t>
      </w:r>
      <w:r>
        <w:t xml:space="preserve"> léky vůči zdravotní pojišťovně.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lastRenderedPageBreak/>
        <w:t>6. Vnitřní projekty institucionální podpory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Podle našeho názoru, pokud to neodporuje podmínkám poskytnutých dotačních prostředků institucionální podpory, lze proplácet i jízdné u cest, které mají k projektům, na které j</w:t>
      </w:r>
      <w:r>
        <w:t>e institucionální podpora určena, přímý vztah.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7. Rozpis zařazení vybavení do stavby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 xml:space="preserve">Jedná se o případ, kdy je pořizováno projekční zařízení. Podle našeho názoru </w:t>
      </w:r>
      <w:r>
        <w:t xml:space="preserve">plátno a </w:t>
      </w:r>
      <w:r>
        <w:t xml:space="preserve">vlastní </w:t>
      </w:r>
      <w:r>
        <w:t>projektor by měl</w:t>
      </w:r>
      <w:r>
        <w:t>y</w:t>
      </w:r>
      <w:r>
        <w:t xml:space="preserve"> být </w:t>
      </w:r>
      <w:r>
        <w:t xml:space="preserve">zařazeny jako </w:t>
      </w:r>
      <w:r>
        <w:t>samostatn</w:t>
      </w:r>
      <w:r>
        <w:t>é věci, zbývající položky pak</w:t>
      </w:r>
      <w:r>
        <w:t xml:space="preserve"> jako součást stavby.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 xml:space="preserve">Pokud se jedná o zaúčtování zařazení pořizované nemovité věci – budovy nebo stavby, pak </w:t>
      </w:r>
      <w:r>
        <w:t xml:space="preserve">zařazení na </w:t>
      </w:r>
      <w:r>
        <w:t xml:space="preserve">účet </w:t>
      </w:r>
      <w:r>
        <w:t xml:space="preserve">021 </w:t>
      </w:r>
      <w:r>
        <w:t xml:space="preserve">a současně tím i zahájení odepisování bude </w:t>
      </w:r>
      <w:r>
        <w:t>na základě povolení ke zkušebnímu provozu.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8. Budoucí školení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 xml:space="preserve">Bylo dohodnuto, </w:t>
      </w:r>
      <w:r>
        <w:t>že při příští pracovní návštěvě se bude realizovat proškolení k problematice dlouhodobého majetku, a to zejména s ohledem na jeho pořizování, obnovu, technické zhodnocení, a stanovení odpovědnosti za rozhodování, zda jde o technické zhodnocení majetku nebo</w:t>
      </w:r>
      <w:r>
        <w:t xml:space="preserve"> jeho opravu.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9. Příspěvek na provoz lékárenské pohotovosti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Vzhledem k tomu, že se jedná o finanční prostředky, poskytované z veřejných rozpočtů a že jde v podstatě o částečné krytí nákladů na veřejnou službu, pak se jedná o formu dotace, a není tedy př</w:t>
      </w:r>
      <w:r>
        <w:t>edmětem DPH.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10. Bourací práce na Tabulovém vrchu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 xml:space="preserve">Vzhledem k tomu, že podle dostupných informací není dosud rozhodnuto o dalším postupu fakultní nemocnice, je nutno </w:t>
      </w:r>
      <w:r>
        <w:t xml:space="preserve">demolici stávajících objektů v prostoru pevnůstky Tabulový vrch </w:t>
      </w:r>
      <w:r>
        <w:t>považovat za běžný provo</w:t>
      </w:r>
      <w:r>
        <w:t>zní náklad.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11. Nájmy a ubytování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Podle našeho názoru jsou obě tyto činnosti součástí hlavní činnosti fakultní nemocnice, neboť se jedná o povinnost zajistit co nejefektivnější využití majetku státu. Z pohledu zřizovací listiny pak nejsou přímo vyjmenov</w:t>
      </w:r>
      <w:r>
        <w:t>ány, ale patgří do dalších činností, souvisejících se zajištěním hlavní činnosti a provozu fakultní nemocnice.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rPr>
          <w:b/>
          <w:bCs/>
        </w:rPr>
        <w:t>12. Konference</w:t>
      </w:r>
    </w:p>
    <w:p w:rsidR="00000000" w:rsidRDefault="00654EAD">
      <w:pPr>
        <w:jc w:val="both"/>
      </w:pPr>
    </w:p>
    <w:p w:rsidR="00000000" w:rsidRDefault="00654EAD">
      <w:pPr>
        <w:jc w:val="both"/>
      </w:pPr>
      <w:r>
        <w:t>Fakultní nemocnice má zájem organizovat sama některé odborné akce (konference, kongresy na odborná lékařská témata). S přihlédn</w:t>
      </w:r>
      <w:r>
        <w:t xml:space="preserve">utím k této skutečnosti je třeba zajistit, aby bylo zaručeno finanční krytí celé akce vždy z účastnických poplatků, případně z příjmů za reklamu od sponzorů </w:t>
      </w:r>
      <w:r>
        <w:lastRenderedPageBreak/>
        <w:t>akce, případně přijatých peněžních darů, určených cíleně na příslušnou akci. S ohledem na to by měl</w:t>
      </w:r>
      <w:r>
        <w:t>y být sestavovány i „kongresové balíčky“, tedy rozsah poskytovaných služeb v průběhu akce, včetně kalkulace cen jednotlivých položek.</w:t>
      </w: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</w:p>
    <w:p w:rsidR="00000000" w:rsidRDefault="00654EAD">
      <w:pPr>
        <w:jc w:val="both"/>
      </w:pPr>
      <w:r>
        <w:t xml:space="preserve">                                                                                               Ing. Zdeněk  C</w:t>
      </w:r>
      <w:r>
        <w:t>harvát</w:t>
      </w:r>
    </w:p>
    <w:p w:rsidR="00654EAD" w:rsidRDefault="00654EAD">
      <w:pPr>
        <w:jc w:val="both"/>
      </w:pPr>
      <w:r>
        <w:t xml:space="preserve">                                                                                                 CGB-Consult,s.r.o.</w:t>
      </w:r>
    </w:p>
    <w:sectPr w:rsidR="00654E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663"/>
    <w:rsid w:val="00654EAD"/>
    <w:rsid w:val="008A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4703</Characters>
  <Application>Microsoft Office Word</Application>
  <DocSecurity>0</DocSecurity>
  <Lines>39</Lines>
  <Paragraphs>10</Paragraphs>
  <ScaleCrop>false</ScaleCrop>
  <Company>FNOL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Charvát</dc:creator>
  <cp:lastModifiedBy>01372</cp:lastModifiedBy>
  <cp:revision>2</cp:revision>
  <cp:lastPrinted>1601-01-01T00:00:00Z</cp:lastPrinted>
  <dcterms:created xsi:type="dcterms:W3CDTF">2018-10-11T08:08:00Z</dcterms:created>
  <dcterms:modified xsi:type="dcterms:W3CDTF">2018-10-11T08:08:00Z</dcterms:modified>
</cp:coreProperties>
</file>