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D1" w:rsidRDefault="001414D0">
      <w:pPr>
        <w:jc w:val="both"/>
      </w:pPr>
      <w:r>
        <w:rPr>
          <w:b/>
          <w:bCs/>
          <w:u w:val="single"/>
        </w:rPr>
        <w:t>Konzultační činnost Fakultní nemocnice Olomouc   10.-11. června 2019</w:t>
      </w:r>
    </w:p>
    <w:p w:rsidR="009223D1" w:rsidRDefault="009223D1">
      <w:pPr>
        <w:jc w:val="both"/>
        <w:rPr>
          <w:b/>
          <w:bCs/>
          <w:u w:val="single"/>
        </w:rPr>
      </w:pPr>
    </w:p>
    <w:p w:rsidR="009223D1" w:rsidRDefault="009223D1">
      <w:pPr>
        <w:jc w:val="both"/>
        <w:rPr>
          <w:b/>
          <w:bCs/>
          <w:u w:val="single"/>
        </w:rPr>
      </w:pPr>
    </w:p>
    <w:p w:rsidR="009223D1" w:rsidRDefault="001414D0">
      <w:pPr>
        <w:jc w:val="both"/>
      </w:pPr>
      <w:r>
        <w:rPr>
          <w:b/>
          <w:bCs/>
        </w:rPr>
        <w:t>1. Zvyšování a prohlubování kvalifikace</w:t>
      </w:r>
    </w:p>
    <w:p w:rsidR="009223D1" w:rsidRDefault="009223D1">
      <w:pPr>
        <w:jc w:val="both"/>
      </w:pPr>
    </w:p>
    <w:p w:rsidR="009223D1" w:rsidRDefault="001414D0">
      <w:pPr>
        <w:jc w:val="both"/>
      </w:pPr>
      <w:r>
        <w:t xml:space="preserve">Pokud se jedná o proplácení náhrad při zvyšování kvalifikace – na straně zaměstnance se nedaní pouze v případě, pokud náklady hradí přímo zaměstnavatel. Ze strany zaměstnavatele se pak jedná o nedaňové náklady, které doporučujeme </w:t>
      </w:r>
      <w:r>
        <w:t>účtovat na účet 528 – osta</w:t>
      </w:r>
      <w:r>
        <w:t xml:space="preserve">tní sociální náklady. V případě, pokud jsou náhrady propláceny zaměstnanci v hotovosti, musí se u zaměstnance zdanit daní z příjmu ze závislé činnosti. </w:t>
      </w:r>
    </w:p>
    <w:p w:rsidR="009223D1" w:rsidRDefault="009223D1">
      <w:pPr>
        <w:jc w:val="both"/>
      </w:pPr>
    </w:p>
    <w:p w:rsidR="009223D1" w:rsidRDefault="009223D1">
      <w:pPr>
        <w:jc w:val="both"/>
      </w:pPr>
    </w:p>
    <w:p w:rsidR="009223D1" w:rsidRDefault="001414D0">
      <w:pPr>
        <w:jc w:val="both"/>
      </w:pPr>
      <w:r>
        <w:rPr>
          <w:b/>
          <w:bCs/>
        </w:rPr>
        <w:t>2. Dar – zdravotnický materiál</w:t>
      </w:r>
    </w:p>
    <w:p w:rsidR="009223D1" w:rsidRDefault="009223D1">
      <w:pPr>
        <w:jc w:val="both"/>
      </w:pPr>
    </w:p>
    <w:p w:rsidR="009223D1" w:rsidRDefault="001414D0">
      <w:pPr>
        <w:jc w:val="both"/>
      </w:pPr>
      <w:r>
        <w:t>Jedná se o darovací smlouvu na věcné dary – infuzní pumpy po 18 tisíc</w:t>
      </w:r>
      <w:r>
        <w:t xml:space="preserve">ích eur za kus. Jde o SZM, který se používá výhradně pro jednoho pacienta. Zaúčtování bude provedeno na sklad proti účtu výnosů 649, a následně </w:t>
      </w:r>
      <w:r>
        <w:t>výdej do spotřeby na účet 501, analytika SZM.</w:t>
      </w:r>
    </w:p>
    <w:p w:rsidR="009223D1" w:rsidRDefault="009223D1">
      <w:pPr>
        <w:jc w:val="both"/>
      </w:pPr>
    </w:p>
    <w:p w:rsidR="009223D1" w:rsidRDefault="009223D1">
      <w:pPr>
        <w:jc w:val="both"/>
      </w:pPr>
    </w:p>
    <w:p w:rsidR="009223D1" w:rsidRDefault="001414D0">
      <w:pPr>
        <w:tabs>
          <w:tab w:val="left" w:pos="2730"/>
        </w:tabs>
        <w:jc w:val="both"/>
      </w:pPr>
      <w:r>
        <w:rPr>
          <w:b/>
          <w:bCs/>
        </w:rPr>
        <w:t>3. DPPO</w:t>
      </w:r>
    </w:p>
    <w:p w:rsidR="009223D1" w:rsidRDefault="009223D1">
      <w:pPr>
        <w:tabs>
          <w:tab w:val="left" w:pos="2730"/>
        </w:tabs>
        <w:jc w:val="both"/>
      </w:pPr>
    </w:p>
    <w:p w:rsidR="009223D1" w:rsidRDefault="001414D0">
      <w:pPr>
        <w:tabs>
          <w:tab w:val="left" w:pos="2730"/>
        </w:tabs>
        <w:jc w:val="both"/>
      </w:pPr>
      <w:r>
        <w:t>V rámci konzultace byl projednán způsob sestavení daňov</w:t>
      </w:r>
      <w:r>
        <w:t>ého přiznání k dani z příjmu právnických osob, zejména ve vztahu k výpočtu některých připočitatelných a odpočitatelných položek k základu daně a způsobu propočtu slev na dani z titulu zaměstnávání zdravotně znevýhodněných osob.</w:t>
      </w:r>
    </w:p>
    <w:p w:rsidR="009223D1" w:rsidRDefault="009223D1">
      <w:pPr>
        <w:tabs>
          <w:tab w:val="left" w:pos="2730"/>
        </w:tabs>
        <w:jc w:val="both"/>
      </w:pPr>
    </w:p>
    <w:p w:rsidR="009223D1" w:rsidRDefault="009223D1">
      <w:pPr>
        <w:tabs>
          <w:tab w:val="left" w:pos="2730"/>
        </w:tabs>
        <w:jc w:val="both"/>
      </w:pPr>
    </w:p>
    <w:p w:rsidR="009223D1" w:rsidRDefault="001414D0">
      <w:pPr>
        <w:jc w:val="both"/>
      </w:pPr>
      <w:r>
        <w:rPr>
          <w:b/>
          <w:bCs/>
        </w:rPr>
        <w:t>4. Revize ceníku - DPH</w:t>
      </w:r>
    </w:p>
    <w:p w:rsidR="009223D1" w:rsidRDefault="009223D1">
      <w:pPr>
        <w:jc w:val="both"/>
      </w:pPr>
    </w:p>
    <w:p w:rsidR="009223D1" w:rsidRDefault="001414D0">
      <w:pPr>
        <w:jc w:val="both"/>
      </w:pPr>
      <w:r>
        <w:t>Do</w:t>
      </w:r>
      <w:r>
        <w:t>šlo k doplnění spiroergonometrie o vyšetření krve – samotná spiroergonometrie je v ceníku jako osvobozená podle § 58, podle našeho názoru by ale měly být oba výkony se sníženou sazbou, jedná  se o vyšetření například pro účely sportovní a podobně. Pokud se</w:t>
      </w:r>
      <w:r>
        <w:t xml:space="preserve"> jedná o rozdělení na výkony osvobozené, zdaněné základní a nebo sníženou sazbou, pak primárním hodnocením je to, zda jde o výkon posouditelný podle zákona o DPH jako osvobozený podle § 58, a dále pak, zda výkony indikoval lékař či je jiný požadavek (žádos</w:t>
      </w:r>
      <w:r>
        <w:t>t pacienta například z estetických důvodů).</w:t>
      </w:r>
    </w:p>
    <w:p w:rsidR="009223D1" w:rsidRDefault="009223D1">
      <w:pPr>
        <w:jc w:val="both"/>
      </w:pPr>
    </w:p>
    <w:p w:rsidR="009223D1" w:rsidRDefault="009223D1">
      <w:pPr>
        <w:jc w:val="both"/>
      </w:pPr>
    </w:p>
    <w:p w:rsidR="009223D1" w:rsidRDefault="001414D0">
      <w:pPr>
        <w:jc w:val="both"/>
      </w:pPr>
      <w:r>
        <w:rPr>
          <w:b/>
          <w:bCs/>
        </w:rPr>
        <w:t>5. Dvojí účtování - dotace</w:t>
      </w:r>
    </w:p>
    <w:p w:rsidR="009223D1" w:rsidRDefault="009223D1">
      <w:pPr>
        <w:jc w:val="both"/>
      </w:pPr>
    </w:p>
    <w:p w:rsidR="009223D1" w:rsidRDefault="001414D0">
      <w:pPr>
        <w:jc w:val="both"/>
      </w:pPr>
      <w:r>
        <w:t>Podle našeho názoru nelze předjímat rozhodnutí ministerstva vzhledem k tomu, že došlo k zastavení projektu, které bylo podle našeho názoru na základě vyšší moci, tedy obecného rozhod</w:t>
      </w:r>
      <w:r>
        <w:t>nutí o zastavení poskytování dotací v rámci úsporných balíčků.</w:t>
      </w:r>
    </w:p>
    <w:p w:rsidR="009223D1" w:rsidRDefault="009223D1">
      <w:pPr>
        <w:jc w:val="both"/>
      </w:pPr>
    </w:p>
    <w:p w:rsidR="009223D1" w:rsidRDefault="009223D1">
      <w:pPr>
        <w:jc w:val="both"/>
      </w:pPr>
    </w:p>
    <w:p w:rsidR="009223D1" w:rsidRDefault="001414D0">
      <w:pPr>
        <w:jc w:val="both"/>
      </w:pPr>
      <w:r>
        <w:rPr>
          <w:b/>
          <w:bCs/>
        </w:rPr>
        <w:t>6. Vystavení penalizační faktury</w:t>
      </w:r>
    </w:p>
    <w:p w:rsidR="009223D1" w:rsidRDefault="009223D1">
      <w:pPr>
        <w:jc w:val="both"/>
      </w:pPr>
    </w:p>
    <w:p w:rsidR="009223D1" w:rsidRDefault="001414D0">
      <w:pPr>
        <w:jc w:val="both"/>
      </w:pPr>
      <w:r>
        <w:t>Jedná se o smlouvu se slovenskou firmou, mělo by se tedy vycházet z ceny bez daně z přidané hodnoty.</w:t>
      </w:r>
    </w:p>
    <w:p w:rsidR="009223D1" w:rsidRDefault="009223D1">
      <w:pPr>
        <w:jc w:val="both"/>
      </w:pPr>
    </w:p>
    <w:p w:rsidR="009223D1" w:rsidRDefault="009223D1">
      <w:pPr>
        <w:jc w:val="both"/>
      </w:pPr>
    </w:p>
    <w:p w:rsidR="009223D1" w:rsidRDefault="001414D0">
      <w:pPr>
        <w:jc w:val="both"/>
        <w:rPr>
          <w:b/>
          <w:bCs/>
        </w:rPr>
      </w:pPr>
      <w:r>
        <w:rPr>
          <w:b/>
          <w:bCs/>
        </w:rPr>
        <w:t>7. Faktura na zeleň u vjezdu Hněvotínská</w:t>
      </w:r>
    </w:p>
    <w:p w:rsidR="009223D1" w:rsidRDefault="009223D1">
      <w:pPr>
        <w:jc w:val="both"/>
      </w:pPr>
    </w:p>
    <w:p w:rsidR="009223D1" w:rsidRDefault="001414D0">
      <w:pPr>
        <w:jc w:val="both"/>
      </w:pPr>
      <w:r>
        <w:t xml:space="preserve">Podle </w:t>
      </w:r>
      <w:r>
        <w:t xml:space="preserve">smlouvy mezi Fakultní nemocnicí Olomouc a městem Olomouc je cena za náhradní výsadbu, </w:t>
      </w:r>
      <w:r>
        <w:lastRenderedPageBreak/>
        <w:t>kterou realizovalo město, ale povinnou hradit byla fakultní nemocnice, určena na 115 tisíc Kč bez DPH, ale faktura byla vystavena na 115 tisíc Kč včetně DPH. Podle návrhu</w:t>
      </w:r>
      <w:r>
        <w:t xml:space="preserve"> daňového poradce města lze upravit fakturu na textaci podle §36 odstavec 13 zákona o DPH, tedy jako přefakturaci s neuplatněním nároku na odpočet DPH.</w:t>
      </w:r>
    </w:p>
    <w:p w:rsidR="009223D1" w:rsidRDefault="009223D1">
      <w:pPr>
        <w:jc w:val="both"/>
      </w:pPr>
    </w:p>
    <w:p w:rsidR="009223D1" w:rsidRDefault="009223D1">
      <w:pPr>
        <w:jc w:val="both"/>
      </w:pPr>
    </w:p>
    <w:p w:rsidR="009223D1" w:rsidRDefault="001414D0">
      <w:pPr>
        <w:jc w:val="both"/>
        <w:rPr>
          <w:b/>
          <w:bCs/>
        </w:rPr>
      </w:pPr>
      <w:r>
        <w:rPr>
          <w:b/>
          <w:bCs/>
        </w:rPr>
        <w:t>8. Opravný daňový doklad – Bayer – k minulému zápisu</w:t>
      </w:r>
    </w:p>
    <w:p w:rsidR="009223D1" w:rsidRDefault="009223D1">
      <w:pPr>
        <w:jc w:val="both"/>
      </w:pPr>
    </w:p>
    <w:p w:rsidR="009223D1" w:rsidRDefault="001414D0">
      <w:pPr>
        <w:jc w:val="both"/>
      </w:pPr>
      <w:r>
        <w:t>Pokud bude uvedeno číslo vyrozumění jako číslo d</w:t>
      </w:r>
      <w:r>
        <w:t>okladu, není problém z pohledu kontrolního hlášení.</w:t>
      </w:r>
    </w:p>
    <w:p w:rsidR="009223D1" w:rsidRDefault="009223D1">
      <w:pPr>
        <w:jc w:val="both"/>
      </w:pPr>
    </w:p>
    <w:p w:rsidR="009223D1" w:rsidRDefault="009223D1">
      <w:pPr>
        <w:jc w:val="both"/>
      </w:pPr>
    </w:p>
    <w:p w:rsidR="009223D1" w:rsidRDefault="001414D0">
      <w:pPr>
        <w:jc w:val="both"/>
        <w:rPr>
          <w:b/>
          <w:bCs/>
        </w:rPr>
      </w:pPr>
      <w:r>
        <w:rPr>
          <w:b/>
          <w:bCs/>
        </w:rPr>
        <w:t>9. Znalecké posudky k soudům</w:t>
      </w:r>
    </w:p>
    <w:p w:rsidR="009223D1" w:rsidRDefault="009223D1">
      <w:pPr>
        <w:jc w:val="both"/>
      </w:pPr>
    </w:p>
    <w:p w:rsidR="009223D1" w:rsidRDefault="001414D0">
      <w:pPr>
        <w:jc w:val="both"/>
      </w:pPr>
      <w:r>
        <w:t>přefakturace vyžádaného nákladu pro posudek, uvádět pouze v celé částce s odkazem na paragraf přefakturace</w:t>
      </w:r>
    </w:p>
    <w:p w:rsidR="009223D1" w:rsidRDefault="009223D1">
      <w:pPr>
        <w:jc w:val="both"/>
      </w:pPr>
    </w:p>
    <w:p w:rsidR="009223D1" w:rsidRDefault="009223D1">
      <w:pPr>
        <w:jc w:val="both"/>
      </w:pPr>
    </w:p>
    <w:p w:rsidR="009223D1" w:rsidRDefault="001414D0">
      <w:pPr>
        <w:jc w:val="both"/>
      </w:pPr>
      <w:r>
        <w:rPr>
          <w:b/>
          <w:bCs/>
        </w:rPr>
        <w:t>10. Opravné daňové doklady - DUZP</w:t>
      </w:r>
    </w:p>
    <w:p w:rsidR="009223D1" w:rsidRDefault="009223D1">
      <w:pPr>
        <w:jc w:val="both"/>
      </w:pPr>
    </w:p>
    <w:p w:rsidR="009223D1" w:rsidRDefault="001414D0">
      <w:pPr>
        <w:jc w:val="both"/>
      </w:pPr>
      <w:r>
        <w:t>V případě bonusů jde o přípa</w:t>
      </w:r>
      <w:r>
        <w:t>d, kdy na opravném daňovém dokladu dokladu je datum duben 2019, doklad sám přišel až v měsíci květnu. Jedná se o zvýšení daňové povinnosti odvodu DPH, neboť jde o snížení nároku na odpočet daně na vstupu na ř. 41 daňového přiznání, a současně minusovou čás</w:t>
      </w:r>
      <w:r>
        <w:t>tkou na oddílu B.2 kontrolního hlášení. Po prověření doporučujeme, aby byl doklad zahrnut do až do květnového přiznání k DPH i kontrolního hlášení.</w:t>
      </w:r>
    </w:p>
    <w:p w:rsidR="009223D1" w:rsidRDefault="009223D1">
      <w:pPr>
        <w:jc w:val="both"/>
      </w:pPr>
    </w:p>
    <w:p w:rsidR="009223D1" w:rsidRDefault="001414D0">
      <w:pPr>
        <w:jc w:val="both"/>
      </w:pPr>
      <w:r>
        <w:t>Oprava základu daně jako samostatné zdanitelné plnění se uvede v daňovém přiznání za zdaňovací období, ve k</w:t>
      </w:r>
      <w:r>
        <w:t xml:space="preserve">terém se tato oprava považuje za uskutečněnou. </w:t>
      </w:r>
      <w:r>
        <w:rPr>
          <w:b/>
          <w:bCs/>
        </w:rPr>
        <w:t>Pokud je snižován základ daně a plátce má povinnost vystavit opravný daňový doklad, oprava základu daně jako samostatné zdanitelné plnění se uvede v daňovém přiznání za zdaňovací období, ve kterém plátce vynal</w:t>
      </w:r>
      <w:r>
        <w:rPr>
          <w:b/>
          <w:bCs/>
        </w:rPr>
        <w:t xml:space="preserve">ožil úsilí, které po něm lze rozumně požadovat, k tomu, aby se tento daňový doklad dostal do dispozice příjemce plnění. </w:t>
      </w:r>
    </w:p>
    <w:p w:rsidR="009223D1" w:rsidRDefault="009223D1">
      <w:pPr>
        <w:jc w:val="both"/>
      </w:pPr>
    </w:p>
    <w:p w:rsidR="009223D1" w:rsidRDefault="001414D0">
      <w:pPr>
        <w:jc w:val="both"/>
      </w:pPr>
      <w:r>
        <w:t>Jestliže sice na opravném daňovém dokladu je uvedeno DUZP 30.4.2019, ale doklad sám  byl vystaven až v květnu 2019, pak by dle zvýrazn</w:t>
      </w:r>
      <w:r>
        <w:t>ěného textu zdaňovacím obdobím, ve kterém plátce vynaložil úsilí, měl být chápán až květen 2019.</w:t>
      </w:r>
    </w:p>
    <w:p w:rsidR="009223D1" w:rsidRDefault="001414D0">
      <w:pPr>
        <w:jc w:val="both"/>
      </w:pPr>
      <w:r>
        <w:rPr>
          <w:b/>
          <w:bCs/>
          <w:color w:val="C9211E"/>
          <w:sz w:val="28"/>
          <w:szCs w:val="28"/>
        </w:rPr>
        <w:t xml:space="preserve"> </w:t>
      </w:r>
    </w:p>
    <w:p w:rsidR="009223D1" w:rsidRDefault="009223D1">
      <w:pPr>
        <w:jc w:val="both"/>
      </w:pPr>
    </w:p>
    <w:p w:rsidR="009223D1" w:rsidRDefault="001414D0">
      <w:pPr>
        <w:jc w:val="both"/>
        <w:rPr>
          <w:b/>
          <w:bCs/>
        </w:rPr>
      </w:pPr>
      <w:r>
        <w:rPr>
          <w:b/>
          <w:bCs/>
        </w:rPr>
        <w:t>11. Fakturace operace na robotu Da Vinci</w:t>
      </w:r>
    </w:p>
    <w:p w:rsidR="009223D1" w:rsidRDefault="009223D1">
      <w:pPr>
        <w:jc w:val="both"/>
      </w:pPr>
    </w:p>
    <w:p w:rsidR="009223D1" w:rsidRDefault="001414D0">
      <w:pPr>
        <w:jc w:val="both"/>
      </w:pPr>
      <w:r>
        <w:t xml:space="preserve">Jedná se o fakturaci do jiného členského státu EU. V tomto případě je místo plnění podle § 9 zákona o DPH, tedy přenesení do místa sídla osoby povinné k dani. </w:t>
      </w:r>
    </w:p>
    <w:p w:rsidR="009223D1" w:rsidRDefault="009223D1">
      <w:pPr>
        <w:jc w:val="both"/>
      </w:pPr>
    </w:p>
    <w:p w:rsidR="009223D1" w:rsidRDefault="009223D1">
      <w:pPr>
        <w:jc w:val="both"/>
      </w:pPr>
    </w:p>
    <w:p w:rsidR="009223D1" w:rsidRDefault="001414D0">
      <w:pPr>
        <w:jc w:val="both"/>
        <w:rPr>
          <w:b/>
          <w:bCs/>
        </w:rPr>
      </w:pPr>
      <w:r>
        <w:rPr>
          <w:b/>
          <w:bCs/>
        </w:rPr>
        <w:t>12. Členský příspěvek organizacím</w:t>
      </w:r>
    </w:p>
    <w:p w:rsidR="009223D1" w:rsidRDefault="009223D1">
      <w:pPr>
        <w:jc w:val="both"/>
      </w:pPr>
    </w:p>
    <w:p w:rsidR="009223D1" w:rsidRDefault="001414D0">
      <w:pPr>
        <w:jc w:val="both"/>
      </w:pPr>
      <w:r>
        <w:t>Z pohledu daně z přidané hodnoty není předmětem daně, neb o</w:t>
      </w:r>
      <w:r>
        <w:t>ť se nejedná o ekonomickou činnost v pojetí zákona o DPH.</w:t>
      </w:r>
    </w:p>
    <w:p w:rsidR="009223D1" w:rsidRDefault="009223D1">
      <w:pPr>
        <w:jc w:val="both"/>
      </w:pPr>
    </w:p>
    <w:p w:rsidR="009223D1" w:rsidRDefault="009223D1">
      <w:pPr>
        <w:jc w:val="both"/>
      </w:pPr>
    </w:p>
    <w:p w:rsidR="009223D1" w:rsidRDefault="001414D0">
      <w:pPr>
        <w:jc w:val="both"/>
      </w:pPr>
      <w:r>
        <w:rPr>
          <w:b/>
          <w:bCs/>
        </w:rPr>
        <w:t>13. Služby spojené s nájmem - DPH</w:t>
      </w:r>
    </w:p>
    <w:p w:rsidR="009223D1" w:rsidRDefault="009223D1">
      <w:pPr>
        <w:jc w:val="both"/>
      </w:pPr>
    </w:p>
    <w:p w:rsidR="009223D1" w:rsidRDefault="001414D0">
      <w:pPr>
        <w:jc w:val="both"/>
      </w:pPr>
      <w:r>
        <w:lastRenderedPageBreak/>
        <w:t>FN pronajímá byt zaměstnanci – nájemné je osvobozeno, služby by měly býz normálně zdaňovány s plným nárokem na odpočet</w:t>
      </w:r>
    </w:p>
    <w:p w:rsidR="009223D1" w:rsidRDefault="009223D1">
      <w:pPr>
        <w:jc w:val="both"/>
      </w:pPr>
    </w:p>
    <w:p w:rsidR="009223D1" w:rsidRDefault="009223D1">
      <w:pPr>
        <w:jc w:val="both"/>
      </w:pPr>
    </w:p>
    <w:p w:rsidR="009223D1" w:rsidRDefault="001414D0">
      <w:pPr>
        <w:jc w:val="both"/>
      </w:pPr>
      <w:r>
        <w:rPr>
          <w:b/>
          <w:bCs/>
        </w:rPr>
        <w:t>14. Nepřiznaná dotace – sankce za poruše</w:t>
      </w:r>
      <w:r>
        <w:rPr>
          <w:b/>
          <w:bCs/>
        </w:rPr>
        <w:t>ní rozpočtové kázně</w:t>
      </w:r>
    </w:p>
    <w:p w:rsidR="009223D1" w:rsidRDefault="009223D1">
      <w:pPr>
        <w:jc w:val="both"/>
      </w:pPr>
    </w:p>
    <w:p w:rsidR="009223D1" w:rsidRDefault="001414D0">
      <w:pPr>
        <w:jc w:val="both"/>
      </w:pPr>
      <w:r>
        <w:t>Jedná se o případ z minulých let, kdy dotace nebyla v určité dané výši vůbec přiznána, ale přišlo rozhodnutí o porušení rozpočtové kázně. Na základě tohoto rozhodnutí omylem fakultní nemocnice zaúčtovala toto „porušení rozpočtové kázně</w:t>
      </w:r>
      <w:r>
        <w:t>“ na účet ostatní pokuty a penále, i když dotace nebyla vůbec čerpána. Oprava byla provedena podle našeho názoru v souladu s postupy účtování v roce 2019 snížením neuhrazeného závazku a současně i snížením nákladů na účtu 542 – Ostatní pokuty a penále.</w:t>
      </w:r>
    </w:p>
    <w:p w:rsidR="009223D1" w:rsidRDefault="009223D1">
      <w:pPr>
        <w:jc w:val="both"/>
      </w:pPr>
    </w:p>
    <w:p w:rsidR="009223D1" w:rsidRDefault="009223D1">
      <w:pPr>
        <w:jc w:val="both"/>
      </w:pPr>
    </w:p>
    <w:p w:rsidR="009223D1" w:rsidRDefault="001414D0">
      <w:pPr>
        <w:jc w:val="both"/>
      </w:pPr>
      <w:r>
        <w:rPr>
          <w:b/>
          <w:bCs/>
        </w:rPr>
        <w:t>1</w:t>
      </w:r>
      <w:r>
        <w:rPr>
          <w:b/>
          <w:bCs/>
        </w:rPr>
        <w:t>5. Účetní a daňové odpisy vyřazeného majetku</w:t>
      </w:r>
    </w:p>
    <w:p w:rsidR="009223D1" w:rsidRDefault="009223D1">
      <w:pPr>
        <w:jc w:val="both"/>
      </w:pPr>
    </w:p>
    <w:p w:rsidR="009223D1" w:rsidRDefault="001414D0">
      <w:pPr>
        <w:jc w:val="both"/>
      </w:pPr>
      <w:r>
        <w:t>Při vyřazení v průběhu roku se uplatní ½ ročního daňového odpisu, a dále se uplatňuje pro účely daně z příjmu daňová zůstatková hodnota vyřazeného majetku,</w:t>
      </w:r>
    </w:p>
    <w:p w:rsidR="009223D1" w:rsidRDefault="001414D0">
      <w:pPr>
        <w:jc w:val="both"/>
      </w:pPr>
      <w:r>
        <w:t xml:space="preserve">Při převodu nepotřebného majetku pro Úřad pro </w:t>
      </w:r>
      <w:r>
        <w:t>zastupování státu ve věcech majetkových se k okamžiku rozhodnutí o předání a zpracování podkladů pro ÚZSVM musí zastavit účetní odepisování.</w:t>
      </w:r>
    </w:p>
    <w:p w:rsidR="009223D1" w:rsidRDefault="001414D0">
      <w:pPr>
        <w:jc w:val="both"/>
      </w:pPr>
      <w:r>
        <w:t>V případě směny, kdy se z pohledu účetního i daňového jedná o nákup a prodej, vzniká nutnost přecenění na reálnou h</w:t>
      </w:r>
      <w:r>
        <w:t>odnotu a zdanění daní z příjmu. Pokud tato transakce v běžném roce  neproběhne, je možno uplatnit celý daňový odpis příslušného majetku.</w:t>
      </w:r>
    </w:p>
    <w:p w:rsidR="009223D1" w:rsidRDefault="001414D0">
      <w:pPr>
        <w:jc w:val="both"/>
      </w:pPr>
      <w:r>
        <w:t>V případě bezúplatného převodu zubařských křesel střední škole, je nutno prokázat veřejný zájem, případně také vyšší ho</w:t>
      </w:r>
      <w:r>
        <w:t>spodárnost proti jiným způsobům naložení, to zejména znamená, že fakultní nemocnice nebude muset vynakládat finanční prostředky na zajištění ekologické likvidace a podobně.</w:t>
      </w:r>
    </w:p>
    <w:p w:rsidR="009223D1" w:rsidRDefault="009223D1">
      <w:pPr>
        <w:jc w:val="both"/>
      </w:pPr>
    </w:p>
    <w:p w:rsidR="009223D1" w:rsidRDefault="001414D0">
      <w:pPr>
        <w:jc w:val="both"/>
      </w:pPr>
      <w:r>
        <w:t xml:space="preserve"> </w:t>
      </w:r>
    </w:p>
    <w:p w:rsidR="009223D1" w:rsidRDefault="001414D0">
      <w:pPr>
        <w:jc w:val="both"/>
      </w:pPr>
      <w:r>
        <w:rPr>
          <w:b/>
          <w:bCs/>
        </w:rPr>
        <w:t>16. Možnost odpočtu DPH u majetku pro odborné vzdělávání</w:t>
      </w:r>
    </w:p>
    <w:p w:rsidR="009223D1" w:rsidRDefault="009223D1">
      <w:pPr>
        <w:jc w:val="both"/>
      </w:pPr>
    </w:p>
    <w:p w:rsidR="009223D1" w:rsidRDefault="001414D0">
      <w:pPr>
        <w:jc w:val="both"/>
      </w:pPr>
      <w:r>
        <w:t>Po prověření přesného znění příslušného paragrafu v zákoně o daních z příjmů se domníváme, že fakultní nemocnice Olomouc nemá majetek, splňující podmínky pro možnost uplatnění nároku na odpočet.</w:t>
      </w:r>
    </w:p>
    <w:p w:rsidR="009223D1" w:rsidRDefault="009223D1">
      <w:pPr>
        <w:jc w:val="both"/>
      </w:pPr>
    </w:p>
    <w:p w:rsidR="009223D1" w:rsidRDefault="009223D1">
      <w:pPr>
        <w:jc w:val="both"/>
      </w:pPr>
    </w:p>
    <w:p w:rsidR="009223D1" w:rsidRDefault="001414D0">
      <w:pPr>
        <w:jc w:val="both"/>
      </w:pPr>
      <w:r>
        <w:rPr>
          <w:b/>
          <w:bCs/>
        </w:rPr>
        <w:t>17. Pořízení DHM z peněžních darů</w:t>
      </w:r>
    </w:p>
    <w:p w:rsidR="009223D1" w:rsidRDefault="009223D1">
      <w:pPr>
        <w:jc w:val="both"/>
      </w:pPr>
    </w:p>
    <w:p w:rsidR="009223D1" w:rsidRDefault="001414D0">
      <w:pPr>
        <w:jc w:val="both"/>
      </w:pPr>
      <w:r>
        <w:t>Pokud se jedná o možnost</w:t>
      </w:r>
      <w:r>
        <w:t xml:space="preserve">i pořízení dlouhodobého majetku z peněžních darů, pak v případě, pokud jde o dary, které nebyly účelově rovnou určeny na pořízení dlouhodobého majetku, a jsou vedeny na účtě 414 – Rezervní fond z jiných titulů, pak je nutno nejprve požádat zřizovatele, to </w:t>
      </w:r>
      <w:r>
        <w:t>je ministerstvo zdravotnictví, o povolení převodu z tohoto fondu na fond reprodukce majetku. Po pořízení majetku a jeho uhrazení z peněžního daru se pak příslušná část zdrojově převádí nikoliv na účet 401 – Jmění účetní jednotky, ale 403 – Transfery na poř</w:t>
      </w:r>
      <w:r>
        <w:t xml:space="preserve">ízení dlouhodobého majetku. Následně se pak propočítává transferový podíl odpisů a účtuje se na účet 671 – Výnosy z transferů.  </w:t>
      </w:r>
    </w:p>
    <w:p w:rsidR="009223D1" w:rsidRDefault="009223D1">
      <w:pPr>
        <w:jc w:val="both"/>
      </w:pPr>
    </w:p>
    <w:p w:rsidR="009223D1" w:rsidRDefault="009223D1">
      <w:pPr>
        <w:jc w:val="both"/>
      </w:pPr>
    </w:p>
    <w:p w:rsidR="009223D1" w:rsidRDefault="009223D1">
      <w:pPr>
        <w:jc w:val="both"/>
      </w:pPr>
    </w:p>
    <w:p w:rsidR="009223D1" w:rsidRDefault="009223D1">
      <w:pPr>
        <w:jc w:val="both"/>
      </w:pPr>
    </w:p>
    <w:p w:rsidR="009223D1" w:rsidRDefault="001414D0">
      <w:pPr>
        <w:jc w:val="both"/>
      </w:pPr>
      <w:r>
        <w:t xml:space="preserve">                                                                                             Ing. Zdeněk  Charvát</w:t>
      </w:r>
    </w:p>
    <w:p w:rsidR="009223D1" w:rsidRDefault="001414D0">
      <w:pPr>
        <w:jc w:val="both"/>
      </w:pPr>
      <w:r>
        <w:t xml:space="preserve">         </w:t>
      </w:r>
      <w:r>
        <w:t xml:space="preserve">                                                                                      CGB-Consult,s.r.o.</w:t>
      </w:r>
    </w:p>
    <w:sectPr w:rsidR="009223D1" w:rsidSect="009223D1"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FELayout/>
  </w:compat>
  <w:rsids>
    <w:rsidRoot w:val="009223D1"/>
    <w:rsid w:val="001414D0"/>
    <w:rsid w:val="0092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3D1"/>
    <w:pPr>
      <w:widowControl w:val="0"/>
      <w:suppressAutoHyphens/>
    </w:pPr>
    <w:rPr>
      <w:rFonts w:ascii="Times New Roman" w:eastAsia="Lucida Sans Unicode" w:hAnsi="Times New Roman" w:cs="Tahoma"/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9223D1"/>
  </w:style>
  <w:style w:type="character" w:customStyle="1" w:styleId="WW-Absatz-Standardschriftart">
    <w:name w:val="WW-Absatz-Standardschriftart"/>
    <w:qFormat/>
    <w:rsid w:val="009223D1"/>
  </w:style>
  <w:style w:type="character" w:customStyle="1" w:styleId="WW-Absatz-Standardschriftart1">
    <w:name w:val="WW-Absatz-Standardschriftart1"/>
    <w:qFormat/>
    <w:rsid w:val="009223D1"/>
  </w:style>
  <w:style w:type="character" w:customStyle="1" w:styleId="WW-Absatz-Standardschriftart11">
    <w:name w:val="WW-Absatz-Standardschriftart11"/>
    <w:qFormat/>
    <w:rsid w:val="009223D1"/>
  </w:style>
  <w:style w:type="character" w:customStyle="1" w:styleId="WW-Absatz-Standardschriftart111">
    <w:name w:val="WW-Absatz-Standardschriftart111"/>
    <w:qFormat/>
    <w:rsid w:val="009223D1"/>
  </w:style>
  <w:style w:type="character" w:customStyle="1" w:styleId="WW-Absatz-Standardschriftart1111">
    <w:name w:val="WW-Absatz-Standardschriftart1111"/>
    <w:qFormat/>
    <w:rsid w:val="009223D1"/>
  </w:style>
  <w:style w:type="character" w:customStyle="1" w:styleId="WW-Absatz-Standardschriftart11111">
    <w:name w:val="WW-Absatz-Standardschriftart11111"/>
    <w:qFormat/>
    <w:rsid w:val="009223D1"/>
  </w:style>
  <w:style w:type="character" w:customStyle="1" w:styleId="WW-Absatz-Standardschriftart111111">
    <w:name w:val="WW-Absatz-Standardschriftart111111"/>
    <w:qFormat/>
    <w:rsid w:val="009223D1"/>
  </w:style>
  <w:style w:type="character" w:customStyle="1" w:styleId="WW-Absatz-Standardschriftart1111111">
    <w:name w:val="WW-Absatz-Standardschriftart1111111"/>
    <w:qFormat/>
    <w:rsid w:val="009223D1"/>
  </w:style>
  <w:style w:type="character" w:customStyle="1" w:styleId="WW-Absatz-Standardschriftart11111111">
    <w:name w:val="WW-Absatz-Standardschriftart11111111"/>
    <w:qFormat/>
    <w:rsid w:val="009223D1"/>
  </w:style>
  <w:style w:type="character" w:customStyle="1" w:styleId="WW-Absatz-Standardschriftart111111111">
    <w:name w:val="WW-Absatz-Standardschriftart111111111"/>
    <w:qFormat/>
    <w:rsid w:val="009223D1"/>
  </w:style>
  <w:style w:type="character" w:customStyle="1" w:styleId="WW-Absatz-Standardschriftart1111111111">
    <w:name w:val="WW-Absatz-Standardschriftart1111111111"/>
    <w:qFormat/>
    <w:rsid w:val="009223D1"/>
  </w:style>
  <w:style w:type="character" w:customStyle="1" w:styleId="WW-Absatz-Standardschriftart11111111111">
    <w:name w:val="WW-Absatz-Standardschriftart11111111111"/>
    <w:qFormat/>
    <w:rsid w:val="009223D1"/>
  </w:style>
  <w:style w:type="character" w:customStyle="1" w:styleId="WW-Absatz-Standardschriftart111111111111">
    <w:name w:val="WW-Absatz-Standardschriftart111111111111"/>
    <w:qFormat/>
    <w:rsid w:val="009223D1"/>
  </w:style>
  <w:style w:type="character" w:customStyle="1" w:styleId="WW-Absatz-Standardschriftart1111111111111">
    <w:name w:val="WW-Absatz-Standardschriftart1111111111111"/>
    <w:qFormat/>
    <w:rsid w:val="009223D1"/>
  </w:style>
  <w:style w:type="character" w:customStyle="1" w:styleId="WW-Absatz-Standardschriftart11111111111111">
    <w:name w:val="WW-Absatz-Standardschriftart11111111111111"/>
    <w:qFormat/>
    <w:rsid w:val="009223D1"/>
  </w:style>
  <w:style w:type="character" w:customStyle="1" w:styleId="WW-Absatz-Standardschriftart111111111111111">
    <w:name w:val="WW-Absatz-Standardschriftart111111111111111"/>
    <w:qFormat/>
    <w:rsid w:val="009223D1"/>
  </w:style>
  <w:style w:type="character" w:customStyle="1" w:styleId="WW-Absatz-Standardschriftart1111111111111111">
    <w:name w:val="WW-Absatz-Standardschriftart1111111111111111"/>
    <w:qFormat/>
    <w:rsid w:val="009223D1"/>
  </w:style>
  <w:style w:type="character" w:customStyle="1" w:styleId="WW-Absatz-Standardschriftart11111111111111111">
    <w:name w:val="WW-Absatz-Standardschriftart11111111111111111"/>
    <w:qFormat/>
    <w:rsid w:val="009223D1"/>
  </w:style>
  <w:style w:type="character" w:customStyle="1" w:styleId="WW-Absatz-Standardschriftart111111111111111111">
    <w:name w:val="WW-Absatz-Standardschriftart111111111111111111"/>
    <w:qFormat/>
    <w:rsid w:val="009223D1"/>
  </w:style>
  <w:style w:type="character" w:customStyle="1" w:styleId="WW-Absatz-Standardschriftart1111111111111111111">
    <w:name w:val="WW-Absatz-Standardschriftart1111111111111111111"/>
    <w:qFormat/>
    <w:rsid w:val="009223D1"/>
  </w:style>
  <w:style w:type="character" w:customStyle="1" w:styleId="WW-Absatz-Standardschriftart11111111111111111111">
    <w:name w:val="WW-Absatz-Standardschriftart11111111111111111111"/>
    <w:qFormat/>
    <w:rsid w:val="009223D1"/>
  </w:style>
  <w:style w:type="character" w:customStyle="1" w:styleId="WW-Absatz-Standardschriftart111111111111111111111">
    <w:name w:val="WW-Absatz-Standardschriftart111111111111111111111"/>
    <w:qFormat/>
    <w:rsid w:val="009223D1"/>
  </w:style>
  <w:style w:type="character" w:customStyle="1" w:styleId="WW-Absatz-Standardschriftart1111111111111111111111">
    <w:name w:val="WW-Absatz-Standardschriftart1111111111111111111111"/>
    <w:qFormat/>
    <w:rsid w:val="009223D1"/>
  </w:style>
  <w:style w:type="character" w:customStyle="1" w:styleId="WW-Absatz-Standardschriftart11111111111111111111111">
    <w:name w:val="WW-Absatz-Standardschriftart11111111111111111111111"/>
    <w:qFormat/>
    <w:rsid w:val="009223D1"/>
  </w:style>
  <w:style w:type="character" w:customStyle="1" w:styleId="WW-Absatz-Standardschriftart111111111111111111111111">
    <w:name w:val="WW-Absatz-Standardschriftart111111111111111111111111"/>
    <w:qFormat/>
    <w:rsid w:val="009223D1"/>
  </w:style>
  <w:style w:type="character" w:customStyle="1" w:styleId="WW-Absatz-Standardschriftart1111111111111111111111111">
    <w:name w:val="WW-Absatz-Standardschriftart1111111111111111111111111"/>
    <w:qFormat/>
    <w:rsid w:val="009223D1"/>
  </w:style>
  <w:style w:type="character" w:customStyle="1" w:styleId="WW-Absatz-Standardschriftart11111111111111111111111111">
    <w:name w:val="WW-Absatz-Standardschriftart11111111111111111111111111"/>
    <w:qFormat/>
    <w:rsid w:val="009223D1"/>
  </w:style>
  <w:style w:type="character" w:customStyle="1" w:styleId="WW8Num1z0">
    <w:name w:val="WW8Num1z0"/>
    <w:qFormat/>
    <w:rsid w:val="009223D1"/>
    <w:rPr>
      <w:rFonts w:ascii="Symbol" w:hAnsi="Symbol" w:cs="OpenSymbol;Arial Unicode MS"/>
    </w:rPr>
  </w:style>
  <w:style w:type="character" w:customStyle="1" w:styleId="WW8Num2z0">
    <w:name w:val="WW8Num2z0"/>
    <w:qFormat/>
    <w:rsid w:val="009223D1"/>
    <w:rPr>
      <w:rFonts w:ascii="Symbol" w:hAnsi="Symbol" w:cs="OpenSymbol;Arial Unicode MS"/>
    </w:rPr>
  </w:style>
  <w:style w:type="character" w:customStyle="1" w:styleId="WW-Absatz-Standardschriftart111111111111111111111111111">
    <w:name w:val="WW-Absatz-Standardschriftart111111111111111111111111111"/>
    <w:qFormat/>
    <w:rsid w:val="009223D1"/>
  </w:style>
  <w:style w:type="character" w:customStyle="1" w:styleId="WW-Absatz-Standardschriftart1111111111111111111111111111">
    <w:name w:val="WW-Absatz-Standardschriftart1111111111111111111111111111"/>
    <w:qFormat/>
    <w:rsid w:val="009223D1"/>
  </w:style>
  <w:style w:type="character" w:customStyle="1" w:styleId="WW-Absatz-Standardschriftart11111111111111111111111111111">
    <w:name w:val="WW-Absatz-Standardschriftart11111111111111111111111111111"/>
    <w:qFormat/>
    <w:rsid w:val="009223D1"/>
  </w:style>
  <w:style w:type="character" w:customStyle="1" w:styleId="WW-Absatz-Standardschriftart111111111111111111111111111111">
    <w:name w:val="WW-Absatz-Standardschriftart111111111111111111111111111111"/>
    <w:qFormat/>
    <w:rsid w:val="009223D1"/>
  </w:style>
  <w:style w:type="character" w:customStyle="1" w:styleId="WW-Absatz-Standardschriftart1111111111111111111111111111111">
    <w:name w:val="WW-Absatz-Standardschriftart1111111111111111111111111111111"/>
    <w:qFormat/>
    <w:rsid w:val="009223D1"/>
  </w:style>
  <w:style w:type="character" w:customStyle="1" w:styleId="WW-Absatz-Standardschriftart11111111111111111111111111111111">
    <w:name w:val="WW-Absatz-Standardschriftart11111111111111111111111111111111"/>
    <w:qFormat/>
    <w:rsid w:val="009223D1"/>
  </w:style>
  <w:style w:type="character" w:customStyle="1" w:styleId="WW-Absatz-Standardschriftart111111111111111111111111111111111">
    <w:name w:val="WW-Absatz-Standardschriftart111111111111111111111111111111111"/>
    <w:qFormat/>
    <w:rsid w:val="009223D1"/>
  </w:style>
  <w:style w:type="character" w:customStyle="1" w:styleId="WW-Absatz-Standardschriftart1111111111111111111111111111111111">
    <w:name w:val="WW-Absatz-Standardschriftart1111111111111111111111111111111111"/>
    <w:qFormat/>
    <w:rsid w:val="009223D1"/>
  </w:style>
  <w:style w:type="character" w:customStyle="1" w:styleId="WW-Absatz-Standardschriftart11111111111111111111111111111111111">
    <w:name w:val="WW-Absatz-Standardschriftart11111111111111111111111111111111111"/>
    <w:qFormat/>
    <w:rsid w:val="009223D1"/>
  </w:style>
  <w:style w:type="character" w:customStyle="1" w:styleId="WW-Absatz-Standardschriftart111111111111111111111111111111111111">
    <w:name w:val="WW-Absatz-Standardschriftart111111111111111111111111111111111111"/>
    <w:qFormat/>
    <w:rsid w:val="009223D1"/>
  </w:style>
  <w:style w:type="character" w:customStyle="1" w:styleId="WW-Absatz-Standardschriftart1111111111111111111111111111111111111">
    <w:name w:val="WW-Absatz-Standardschriftart1111111111111111111111111111111111111"/>
    <w:qFormat/>
    <w:rsid w:val="009223D1"/>
  </w:style>
  <w:style w:type="character" w:customStyle="1" w:styleId="WW-Absatz-Standardschriftart11111111111111111111111111111111111111">
    <w:name w:val="WW-Absatz-Standardschriftart11111111111111111111111111111111111111"/>
    <w:qFormat/>
    <w:rsid w:val="009223D1"/>
  </w:style>
  <w:style w:type="character" w:customStyle="1" w:styleId="WW-Absatz-Standardschriftart111111111111111111111111111111111111111">
    <w:name w:val="WW-Absatz-Standardschriftart111111111111111111111111111111111111111"/>
    <w:qFormat/>
    <w:rsid w:val="009223D1"/>
  </w:style>
  <w:style w:type="character" w:customStyle="1" w:styleId="Symbolyproslovn">
    <w:name w:val="Symboly pro číslování"/>
    <w:qFormat/>
    <w:rsid w:val="009223D1"/>
  </w:style>
  <w:style w:type="character" w:customStyle="1" w:styleId="Odrky">
    <w:name w:val="Odrážky"/>
    <w:qFormat/>
    <w:rsid w:val="009223D1"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"/>
    <w:next w:val="Zkladntext"/>
    <w:qFormat/>
    <w:rsid w:val="009223D1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9223D1"/>
    <w:pPr>
      <w:spacing w:after="120"/>
    </w:pPr>
  </w:style>
  <w:style w:type="paragraph" w:styleId="Seznam">
    <w:name w:val="List"/>
    <w:basedOn w:val="Zkladntext"/>
    <w:rsid w:val="009223D1"/>
  </w:style>
  <w:style w:type="paragraph" w:customStyle="1" w:styleId="Caption">
    <w:name w:val="Caption"/>
    <w:basedOn w:val="Normln"/>
    <w:qFormat/>
    <w:rsid w:val="009223D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9223D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6187</Characters>
  <Application>Microsoft Office Word</Application>
  <DocSecurity>0</DocSecurity>
  <Lines>51</Lines>
  <Paragraphs>14</Paragraphs>
  <ScaleCrop>false</ScaleCrop>
  <Company>FNOL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Charvát</dc:creator>
  <cp:lastModifiedBy>01372</cp:lastModifiedBy>
  <cp:revision>2</cp:revision>
  <cp:lastPrinted>1995-11-21T17:41:00Z</cp:lastPrinted>
  <dcterms:created xsi:type="dcterms:W3CDTF">2019-08-12T10:16:00Z</dcterms:created>
  <dcterms:modified xsi:type="dcterms:W3CDTF">2019-08-12T10:16:00Z</dcterms:modified>
  <dc:language>cs-CZ</dc:language>
</cp:coreProperties>
</file>