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70" w:rsidRPr="00C77CBD" w:rsidRDefault="00866770" w:rsidP="00F83B39">
      <w:pPr>
        <w:rPr>
          <w:rFonts w:cs="Arial"/>
          <w:b/>
          <w:noProof w:val="0"/>
          <w:szCs w:val="22"/>
        </w:rPr>
      </w:pPr>
    </w:p>
    <w:p w:rsidR="00866770" w:rsidRPr="00C77CBD" w:rsidRDefault="00866770" w:rsidP="00BC3DD3">
      <w:pPr>
        <w:pStyle w:val="Bezmezer"/>
        <w:rPr>
          <w:rFonts w:cs="Arial"/>
          <w:b/>
          <w:noProof w:val="0"/>
        </w:rPr>
      </w:pPr>
      <w:r w:rsidRPr="00C77CBD">
        <w:rPr>
          <w:b/>
          <w:noProof w:val="0"/>
        </w:rPr>
        <w:t xml:space="preserve">Metodika </w:t>
      </w:r>
      <w:r w:rsidRPr="00C77CBD">
        <w:rPr>
          <w:rFonts w:cs="Arial"/>
          <w:b/>
          <w:noProof w:val="0"/>
        </w:rPr>
        <w:t>pro zpracování Závěrečné zprávy o využití přidělených finančních prostředků vyčleněných ze státního rozpočtu organizacím v přímé řídící působnosti Ministerstva zdravotnictví za účelem zajištění jejich krizové připravenosti</w:t>
      </w:r>
    </w:p>
    <w:p w:rsidR="00866770" w:rsidRPr="00C77CBD" w:rsidRDefault="00866770" w:rsidP="00BC3DD3">
      <w:pPr>
        <w:pStyle w:val="Bezmezer"/>
        <w:rPr>
          <w:rFonts w:cs="Arial"/>
          <w:b/>
          <w:noProof w:val="0"/>
        </w:rPr>
      </w:pPr>
    </w:p>
    <w:p w:rsidR="00866770" w:rsidRPr="00C77CBD" w:rsidRDefault="00866770" w:rsidP="00BC3DD3">
      <w:pPr>
        <w:spacing w:before="120" w:line="280" w:lineRule="exact"/>
        <w:rPr>
          <w:rFonts w:cs="Arial"/>
          <w:noProof w:val="0"/>
          <w:szCs w:val="22"/>
        </w:rPr>
      </w:pPr>
      <w:r w:rsidRPr="00C77CBD">
        <w:rPr>
          <w:rFonts w:cs="Arial"/>
          <w:noProof w:val="0"/>
          <w:szCs w:val="22"/>
        </w:rPr>
        <w:t>Tato metodika stanovuje požadavky na zpracování „Závěrečné zprávy o využití přidělených finančních prostředků vyčleněných ze státního rozpočtu organizacím v přímé řídící působnosti Ministerstva zdravotnictví za účelem zajištění jejich krizové připravenosti“ (dále jen „Zpráva“) v souladu s</w:t>
      </w:r>
      <w:r w:rsidRPr="00C77CBD">
        <w:rPr>
          <w:noProof w:val="0"/>
        </w:rPr>
        <w:t xml:space="preserve"> </w:t>
      </w:r>
      <w:r w:rsidRPr="00C77CBD">
        <w:rPr>
          <w:rFonts w:cs="Arial"/>
          <w:noProof w:val="0"/>
          <w:szCs w:val="22"/>
        </w:rPr>
        <w:t xml:space="preserve">§ 25 odst. a) zákona č. 240/2000 Sb o krizovém řízení a o změně některých zákonů. Příjemce dotace je povinen v souladu s příslušným rozhodnutím o jejím poskytnutí a dalšími podmínkami stanovenými zákonem č. zákon č. 218/2000 Sb., o rozpočtových pravidlech a o změně některých souvisejících zákonů (rozpočtová pravidla), ve znění pozdějších předpisů, tuto Zprávu zpracovat a předložit ji </w:t>
      </w:r>
      <w:r w:rsidRPr="00C77CBD">
        <w:rPr>
          <w:rFonts w:cs="Arial"/>
          <w:iCs/>
          <w:noProof w:val="0"/>
          <w:szCs w:val="22"/>
        </w:rPr>
        <w:t>poskytovateli dotace v uvedeném termínu</w:t>
      </w:r>
      <w:r w:rsidRPr="00C77CBD">
        <w:rPr>
          <w:rFonts w:cs="Arial"/>
          <w:noProof w:val="0"/>
          <w:szCs w:val="22"/>
        </w:rPr>
        <w:t>.</w:t>
      </w:r>
    </w:p>
    <w:p w:rsidR="00866770" w:rsidRPr="00C77CBD" w:rsidRDefault="00866770" w:rsidP="00BC3DD3">
      <w:pPr>
        <w:spacing w:before="120" w:line="280" w:lineRule="exact"/>
        <w:rPr>
          <w:rFonts w:cs="Arial"/>
          <w:noProof w:val="0"/>
          <w:szCs w:val="22"/>
        </w:rPr>
      </w:pPr>
    </w:p>
    <w:p w:rsidR="00866770" w:rsidRPr="00C77CBD" w:rsidRDefault="00866770" w:rsidP="00BC3DD3">
      <w:pPr>
        <w:spacing w:before="120" w:line="280" w:lineRule="exact"/>
        <w:jc w:val="center"/>
        <w:rPr>
          <w:rFonts w:cs="Arial"/>
          <w:b/>
          <w:noProof w:val="0"/>
          <w:szCs w:val="22"/>
        </w:rPr>
      </w:pPr>
      <w:r w:rsidRPr="00C77CBD">
        <w:rPr>
          <w:rFonts w:cs="Arial"/>
          <w:b/>
          <w:noProof w:val="0"/>
          <w:szCs w:val="22"/>
        </w:rPr>
        <w:t>Obsah závěrečné zprávy</w:t>
      </w:r>
      <w:bookmarkStart w:id="0" w:name="_GoBack"/>
      <w:bookmarkEnd w:id="0"/>
    </w:p>
    <w:p w:rsidR="00866770" w:rsidRPr="00C77CBD" w:rsidRDefault="00866770" w:rsidP="00BC3DD3">
      <w:pPr>
        <w:spacing w:before="120" w:line="280" w:lineRule="exact"/>
        <w:ind w:left="-11"/>
        <w:rPr>
          <w:rFonts w:cs="Arial"/>
          <w:noProof w:val="0"/>
          <w:szCs w:val="22"/>
        </w:rPr>
      </w:pPr>
      <w:r w:rsidRPr="00C77CBD">
        <w:rPr>
          <w:rFonts w:cs="Arial"/>
          <w:noProof w:val="0"/>
          <w:szCs w:val="22"/>
        </w:rPr>
        <w:t xml:space="preserve">Závěrečná zpráva je rozdělena na 2 části: </w:t>
      </w:r>
    </w:p>
    <w:p w:rsidR="00866770" w:rsidRPr="00C77CBD" w:rsidRDefault="00866770" w:rsidP="00BC3DD3">
      <w:pPr>
        <w:numPr>
          <w:ilvl w:val="0"/>
          <w:numId w:val="23"/>
        </w:numPr>
        <w:spacing w:before="60" w:line="280" w:lineRule="exact"/>
        <w:ind w:left="346" w:hanging="357"/>
        <w:rPr>
          <w:rFonts w:cs="Arial"/>
          <w:noProof w:val="0"/>
          <w:szCs w:val="22"/>
        </w:rPr>
      </w:pPr>
      <w:r w:rsidRPr="00C77CBD">
        <w:rPr>
          <w:rFonts w:cs="Arial"/>
          <w:noProof w:val="0"/>
          <w:szCs w:val="22"/>
        </w:rPr>
        <w:t>Část A: Vyhodnocení využití finančních prostředků;</w:t>
      </w:r>
    </w:p>
    <w:p w:rsidR="00866770" w:rsidRPr="00C77CBD" w:rsidRDefault="00866770" w:rsidP="00BC3DD3">
      <w:pPr>
        <w:numPr>
          <w:ilvl w:val="0"/>
          <w:numId w:val="23"/>
        </w:numPr>
        <w:spacing w:before="60" w:line="280" w:lineRule="exact"/>
        <w:ind w:left="346" w:hanging="357"/>
        <w:rPr>
          <w:rFonts w:cs="Arial"/>
          <w:noProof w:val="0"/>
          <w:szCs w:val="22"/>
        </w:rPr>
      </w:pPr>
      <w:r w:rsidRPr="00C77CBD">
        <w:rPr>
          <w:rFonts w:cs="Arial"/>
          <w:noProof w:val="0"/>
          <w:szCs w:val="22"/>
        </w:rPr>
        <w:t>Část B: Vyúčtování vynaložených finančních prostředků.</w:t>
      </w:r>
    </w:p>
    <w:p w:rsidR="00866770" w:rsidRPr="00C77CBD" w:rsidRDefault="00866770" w:rsidP="00BC3DD3">
      <w:pPr>
        <w:spacing w:before="120" w:line="280" w:lineRule="exact"/>
        <w:ind w:left="-11"/>
        <w:rPr>
          <w:rFonts w:cs="Arial"/>
          <w:noProof w:val="0"/>
          <w:szCs w:val="22"/>
        </w:rPr>
      </w:pPr>
      <w:r w:rsidRPr="00C77CBD">
        <w:rPr>
          <w:rFonts w:cs="Arial"/>
          <w:noProof w:val="0"/>
          <w:szCs w:val="22"/>
        </w:rPr>
        <w:t>Obě části musí být řádně vyplněny na stanovených formulářích, které jsou uvedeny v příloze této metodiky. Pokud jsou současně se Zprávou zasílány i jiné přílohy (např. kopie účetních dokladů, aj.), musí být zřetelně číselně označeny (na listinné i elektronické formě) a zapsány do tabulky č. 6.</w:t>
      </w:r>
    </w:p>
    <w:p w:rsidR="00866770" w:rsidRPr="00C77CBD" w:rsidRDefault="00866770" w:rsidP="00BC3DD3">
      <w:pPr>
        <w:spacing w:before="120" w:line="280" w:lineRule="exact"/>
        <w:jc w:val="center"/>
        <w:rPr>
          <w:rFonts w:cs="Arial"/>
          <w:b/>
          <w:noProof w:val="0"/>
          <w:szCs w:val="22"/>
        </w:rPr>
      </w:pPr>
      <w:r w:rsidRPr="00C77CBD">
        <w:rPr>
          <w:rFonts w:cs="Arial"/>
          <w:b/>
          <w:noProof w:val="0"/>
          <w:szCs w:val="22"/>
        </w:rPr>
        <w:t>Termín zaslání závěrečné zprávy</w:t>
      </w:r>
    </w:p>
    <w:p w:rsidR="00866770" w:rsidRPr="00C77CBD" w:rsidRDefault="00866770" w:rsidP="00BC3DD3">
      <w:pPr>
        <w:spacing w:before="120" w:line="280" w:lineRule="exact"/>
        <w:ind w:left="-11"/>
        <w:rPr>
          <w:rFonts w:cs="Arial"/>
          <w:noProof w:val="0"/>
          <w:szCs w:val="22"/>
        </w:rPr>
      </w:pPr>
      <w:r w:rsidRPr="00C77CBD">
        <w:rPr>
          <w:rFonts w:cs="Arial"/>
          <w:noProof w:val="0"/>
          <w:szCs w:val="22"/>
        </w:rPr>
        <w:t>Zprávu je nezbytné zaslat v </w:t>
      </w:r>
      <w:r w:rsidRPr="00C77CBD">
        <w:rPr>
          <w:rFonts w:cs="Arial"/>
          <w:b/>
          <w:noProof w:val="0"/>
          <w:szCs w:val="22"/>
        </w:rPr>
        <w:t xml:space="preserve">písemném </w:t>
      </w:r>
      <w:r w:rsidRPr="00C77CBD">
        <w:rPr>
          <w:rFonts w:cs="Arial"/>
          <w:noProof w:val="0"/>
          <w:szCs w:val="22"/>
        </w:rPr>
        <w:t>vyhotovení (originál s razítkem a podpisem statutárního zástupce) i</w:t>
      </w:r>
      <w:r w:rsidRPr="00C77CBD">
        <w:rPr>
          <w:rFonts w:cs="Arial"/>
          <w:b/>
          <w:noProof w:val="0"/>
          <w:szCs w:val="22"/>
        </w:rPr>
        <w:t xml:space="preserve"> v elektronické formě </w:t>
      </w:r>
      <w:r w:rsidRPr="00C77CBD">
        <w:rPr>
          <w:rFonts w:cs="Arial"/>
          <w:noProof w:val="0"/>
          <w:szCs w:val="22"/>
        </w:rPr>
        <w:t xml:space="preserve">(ve formátu MS Word) nejpozději </w:t>
      </w:r>
      <w:r w:rsidRPr="00C77CBD">
        <w:rPr>
          <w:rFonts w:cs="Arial"/>
          <w:b/>
          <w:noProof w:val="0"/>
          <w:szCs w:val="22"/>
        </w:rPr>
        <w:t>do 15. ledna</w:t>
      </w:r>
      <w:r w:rsidRPr="00C77CBD">
        <w:rPr>
          <w:rFonts w:cs="Arial"/>
          <w:noProof w:val="0"/>
          <w:szCs w:val="22"/>
        </w:rPr>
        <w:t xml:space="preserve"> kalendářního roku (datum doručení) následujícího po roce, ve kterém byla dotace poskytnuta, na adresu:</w:t>
      </w:r>
    </w:p>
    <w:p w:rsidR="00866770" w:rsidRPr="00C77CBD" w:rsidRDefault="00866770" w:rsidP="00BC3DD3">
      <w:pPr>
        <w:spacing w:before="120" w:line="280" w:lineRule="exact"/>
        <w:ind w:left="-11"/>
        <w:jc w:val="center"/>
        <w:rPr>
          <w:rFonts w:cs="Arial"/>
          <w:i/>
          <w:noProof w:val="0"/>
          <w:szCs w:val="22"/>
        </w:rPr>
      </w:pPr>
    </w:p>
    <w:p w:rsidR="00866770" w:rsidRPr="00C77CBD" w:rsidRDefault="00866770" w:rsidP="00BC3DD3">
      <w:pPr>
        <w:spacing w:line="280" w:lineRule="exact"/>
        <w:ind w:left="-11"/>
        <w:jc w:val="center"/>
        <w:rPr>
          <w:rFonts w:cs="Arial"/>
          <w:i/>
          <w:noProof w:val="0"/>
          <w:szCs w:val="22"/>
        </w:rPr>
      </w:pPr>
      <w:r w:rsidRPr="00C77CBD">
        <w:rPr>
          <w:rFonts w:cs="Arial"/>
          <w:i/>
          <w:noProof w:val="0"/>
          <w:szCs w:val="22"/>
        </w:rPr>
        <w:t>Ministerstvo zdravotnictví</w:t>
      </w:r>
    </w:p>
    <w:p w:rsidR="00866770" w:rsidRPr="00C77CBD" w:rsidRDefault="00866770" w:rsidP="00BC3DD3">
      <w:pPr>
        <w:spacing w:line="280" w:lineRule="exact"/>
        <w:ind w:left="-11"/>
        <w:jc w:val="center"/>
        <w:rPr>
          <w:rFonts w:cs="Arial"/>
          <w:i/>
          <w:noProof w:val="0"/>
          <w:szCs w:val="22"/>
        </w:rPr>
      </w:pPr>
      <w:r w:rsidRPr="00C77CBD">
        <w:rPr>
          <w:rFonts w:cs="Arial"/>
          <w:i/>
          <w:noProof w:val="0"/>
          <w:szCs w:val="22"/>
        </w:rPr>
        <w:t>Odbor bezpečnosti a krizového řízení</w:t>
      </w:r>
    </w:p>
    <w:p w:rsidR="00866770" w:rsidRPr="00C77CBD" w:rsidRDefault="00866770" w:rsidP="00BC3DD3">
      <w:pPr>
        <w:spacing w:line="280" w:lineRule="exact"/>
        <w:ind w:left="-11"/>
        <w:jc w:val="center"/>
        <w:rPr>
          <w:rFonts w:cs="Arial"/>
          <w:i/>
          <w:noProof w:val="0"/>
          <w:szCs w:val="22"/>
        </w:rPr>
      </w:pPr>
      <w:r w:rsidRPr="00C77CBD">
        <w:rPr>
          <w:rFonts w:cs="Arial"/>
          <w:i/>
          <w:noProof w:val="0"/>
          <w:szCs w:val="22"/>
        </w:rPr>
        <w:t>Palackého nám. 4</w:t>
      </w:r>
    </w:p>
    <w:p w:rsidR="00866770" w:rsidRPr="00C77CBD" w:rsidRDefault="00866770" w:rsidP="00BC3DD3">
      <w:pPr>
        <w:spacing w:line="280" w:lineRule="exact"/>
        <w:ind w:left="-11"/>
        <w:jc w:val="center"/>
        <w:rPr>
          <w:rFonts w:cs="Arial"/>
          <w:i/>
          <w:noProof w:val="0"/>
          <w:szCs w:val="22"/>
        </w:rPr>
      </w:pPr>
      <w:r w:rsidRPr="00C77CBD">
        <w:rPr>
          <w:rFonts w:cs="Arial"/>
          <w:i/>
          <w:noProof w:val="0"/>
          <w:szCs w:val="22"/>
        </w:rPr>
        <w:t>128 01 Praha 2</w:t>
      </w:r>
    </w:p>
    <w:p w:rsidR="00866770" w:rsidRPr="00C77CBD" w:rsidRDefault="00866770" w:rsidP="00BC3DD3">
      <w:pPr>
        <w:spacing w:before="240" w:line="280" w:lineRule="exact"/>
        <w:ind w:left="-11"/>
        <w:jc w:val="center"/>
        <w:rPr>
          <w:rFonts w:cs="Arial"/>
          <w:i/>
          <w:noProof w:val="0"/>
          <w:szCs w:val="22"/>
        </w:rPr>
      </w:pPr>
      <w:r w:rsidRPr="00C77CBD">
        <w:rPr>
          <w:rFonts w:cs="Arial"/>
          <w:i/>
          <w:noProof w:val="0"/>
          <w:szCs w:val="22"/>
        </w:rPr>
        <w:t>e-mail: odborkrp@mzcr.cz</w:t>
      </w:r>
    </w:p>
    <w:p w:rsidR="00866770" w:rsidRPr="00C77CBD" w:rsidRDefault="00866770" w:rsidP="00523CD3">
      <w:pPr>
        <w:pStyle w:val="Bezmezer"/>
        <w:jc w:val="left"/>
        <w:rPr>
          <w:noProof w:val="0"/>
        </w:rPr>
      </w:pPr>
    </w:p>
    <w:sectPr w:rsidR="00866770" w:rsidRPr="00C77CBD" w:rsidSect="00C77C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1286" w:bottom="2268" w:left="1797" w:header="1440" w:footer="7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30" w:rsidRDefault="00411930">
      <w:r>
        <w:separator/>
      </w:r>
    </w:p>
  </w:endnote>
  <w:endnote w:type="continuationSeparator" w:id="0">
    <w:p w:rsidR="00411930" w:rsidRDefault="0041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94" w:rsidRDefault="004112EC" w:rsidP="00936C48">
    <w:pPr>
      <w:pStyle w:val="Zpat"/>
      <w:ind w:left="12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52" type="#_x0000_t75" alt="znak_lev" style="position:absolute;left:0;text-align:left;margin-left:95.55pt;margin-top:773.95pt;width:32.25pt;height:39.75pt;z-index:251655168;visibility:visible;mso-position-horizontal-relative:page;mso-position-vertical-relative:page" o:allowoverlap="f">
          <v:imagedata r:id="rId1" o:title=""/>
          <w10:wrap anchorx="page" anchory="page"/>
        </v:shape>
      </w:pict>
    </w:r>
    <w:r w:rsidR="00F57F94">
      <w:t>Palackého náměstí 4, 128 01 Praha 1</w:t>
    </w:r>
  </w:p>
  <w:p w:rsidR="00F57F94" w:rsidRPr="005F725F" w:rsidRDefault="00F57F94" w:rsidP="00936C48">
    <w:pPr>
      <w:pStyle w:val="Zpat"/>
      <w:ind w:left="1260"/>
    </w:pPr>
    <w:r w:rsidRPr="005F725F">
      <w:t>www.mzcr.cz</w:t>
    </w:r>
    <w:r w:rsidR="004112EC">
      <w:pict>
        <v:shape id="obrázek 13" o:spid="_x0000_s2053" type="#_x0000_t75" alt="okraj" style="position:absolute;left:0;text-align:left;margin-left:14.2pt;margin-top:459.85pt;width:55.5pt;height:369.75pt;z-index:-251656192;visibility:visible;mso-position-horizontal-relative:page;mso-position-vertical-relative:page">
          <v:imagedata r:id="rId2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94" w:rsidRPr="00C77CBD" w:rsidRDefault="00F57F94" w:rsidP="00C77C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30" w:rsidRDefault="00411930">
      <w:r>
        <w:separator/>
      </w:r>
    </w:p>
  </w:footnote>
  <w:footnote w:type="continuationSeparator" w:id="0">
    <w:p w:rsidR="00411930" w:rsidRDefault="00411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94" w:rsidRDefault="004112EC" w:rsidP="00797089">
    <w:pPr>
      <w:pStyle w:val="Zhlav"/>
      <w:tabs>
        <w:tab w:val="clear" w:pos="4536"/>
        <w:tab w:val="clear" w:pos="9072"/>
        <w:tab w:val="center" w:pos="4309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1" type="#_x0000_t75" alt="logo_mzcr" style="position:absolute;left:0;text-align:left;margin-left:44.85pt;margin-top:69.15pt;width:250.9pt;height:22.5pt;z-index:251656192;visibility:visible;mso-position-horizontal-relative:page;mso-position-vertical-relative:page">
          <v:imagedata r:id="rId1" o:title=""/>
          <w10:wrap anchorx="page" anchory="page"/>
        </v:shape>
      </w:pict>
    </w:r>
  </w:p>
  <w:p w:rsidR="00F57F94" w:rsidRDefault="00F57F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94" w:rsidRDefault="004112EC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" o:spid="_x0000_s2054" type="#_x0000_t75" alt="logo_mzcr" style="position:absolute;left:0;text-align:left;margin-left:44.85pt;margin-top:69.15pt;width:251.2pt;height:22.5pt;z-index:251657216;visibility:visible;mso-position-horizontal-relative:page;mso-position-vertical-relative:page">
          <v:imagedata r:id="rId1" o:title=""/>
          <w10:wrap anchorx="page" anchory="page"/>
        </v:shape>
      </w:pict>
    </w:r>
  </w:p>
  <w:p w:rsidR="00F57F94" w:rsidRDefault="00F57F94" w:rsidP="00470D94">
    <w:pPr>
      <w:pStyle w:val="Zhlav"/>
    </w:pPr>
  </w:p>
  <w:p w:rsidR="00F57F94" w:rsidRDefault="00F57F94" w:rsidP="00470D94">
    <w:pPr>
      <w:pStyle w:val="Zhlav"/>
    </w:pPr>
  </w:p>
  <w:p w:rsidR="00F57F94" w:rsidRDefault="00F57F94" w:rsidP="00470D94">
    <w:pPr>
      <w:pStyle w:val="Zhlav"/>
    </w:pPr>
  </w:p>
  <w:p w:rsidR="00F57F94" w:rsidRDefault="00F57F94" w:rsidP="00470D94">
    <w:pPr>
      <w:pStyle w:val="Zhlav"/>
    </w:pPr>
  </w:p>
  <w:p w:rsidR="00F57F94" w:rsidRDefault="00F57F94" w:rsidP="00470D94">
    <w:pPr>
      <w:pStyle w:val="Zhlav"/>
    </w:pPr>
  </w:p>
  <w:p w:rsidR="00F57F94" w:rsidRPr="00BC3DD3" w:rsidRDefault="00F57F94" w:rsidP="00BC3DD3">
    <w:pPr>
      <w:pStyle w:val="Zhlav"/>
      <w:spacing w:line="240" w:lineRule="auto"/>
      <w:ind w:left="1304"/>
      <w:jc w:val="right"/>
      <w:rPr>
        <w:rFonts w:ascii="Arial" w:hAnsi="Arial" w:cs="Arial"/>
        <w:b/>
        <w:color w:val="auto"/>
        <w:sz w:val="22"/>
        <w:szCs w:val="22"/>
      </w:rPr>
    </w:pPr>
    <w:r w:rsidRPr="00BC3DD3">
      <w:rPr>
        <w:rFonts w:ascii="Arial" w:hAnsi="Arial" w:cs="Arial"/>
        <w:b/>
        <w:color w:val="auto"/>
        <w:sz w:val="22"/>
        <w:szCs w:val="22"/>
      </w:rPr>
      <w:t>Příloha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1071"/>
    <w:multiLevelType w:val="hybridMultilevel"/>
    <w:tmpl w:val="CD70D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C215BA"/>
    <w:multiLevelType w:val="hybridMultilevel"/>
    <w:tmpl w:val="5698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4A68F8"/>
    <w:multiLevelType w:val="hybridMultilevel"/>
    <w:tmpl w:val="436263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F282A"/>
    <w:multiLevelType w:val="hybridMultilevel"/>
    <w:tmpl w:val="27543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5C1474"/>
    <w:multiLevelType w:val="hybridMultilevel"/>
    <w:tmpl w:val="FD00768A"/>
    <w:lvl w:ilvl="0" w:tplc="0136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686D50"/>
    <w:multiLevelType w:val="hybridMultilevel"/>
    <w:tmpl w:val="E876BC72"/>
    <w:lvl w:ilvl="0" w:tplc="5EDEF8AE">
      <w:start w:val="1"/>
      <w:numFmt w:val="bullet"/>
      <w:lvlText w:val="-"/>
      <w:lvlJc w:val="left"/>
      <w:pPr>
        <w:ind w:left="34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">
    <w:nsid w:val="2CEC1E7E"/>
    <w:multiLevelType w:val="hybridMultilevel"/>
    <w:tmpl w:val="8B222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8B61FF"/>
    <w:multiLevelType w:val="hybridMultilevel"/>
    <w:tmpl w:val="82D003EC"/>
    <w:lvl w:ilvl="0" w:tplc="40DED88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F3EC7"/>
    <w:multiLevelType w:val="hybridMultilevel"/>
    <w:tmpl w:val="654A6404"/>
    <w:lvl w:ilvl="0" w:tplc="A2308D5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0135CE"/>
    <w:multiLevelType w:val="hybridMultilevel"/>
    <w:tmpl w:val="44143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0375F9"/>
    <w:multiLevelType w:val="hybridMultilevel"/>
    <w:tmpl w:val="3F10D4E4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>
    <w:nsid w:val="4BB236FE"/>
    <w:multiLevelType w:val="hybridMultilevel"/>
    <w:tmpl w:val="1EA03528"/>
    <w:lvl w:ilvl="0" w:tplc="BB7639BC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2B52F7"/>
    <w:multiLevelType w:val="hybridMultilevel"/>
    <w:tmpl w:val="28C6C1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E92159"/>
    <w:multiLevelType w:val="hybridMultilevel"/>
    <w:tmpl w:val="2460F79C"/>
    <w:lvl w:ilvl="0" w:tplc="04050019">
      <w:start w:val="1"/>
      <w:numFmt w:val="lowerLetter"/>
      <w:lvlText w:val="%1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  <w:rPr>
        <w:rFonts w:cs="Times New Roman"/>
      </w:rPr>
    </w:lvl>
  </w:abstractNum>
  <w:abstractNum w:abstractNumId="24">
    <w:nsid w:val="6C072058"/>
    <w:multiLevelType w:val="hybridMultilevel"/>
    <w:tmpl w:val="99D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11"/>
  </w:num>
  <w:num w:numId="14">
    <w:abstractNumId w:val="16"/>
  </w:num>
  <w:num w:numId="15">
    <w:abstractNumId w:val="19"/>
  </w:num>
  <w:num w:numId="16">
    <w:abstractNumId w:val="22"/>
  </w:num>
  <w:num w:numId="17">
    <w:abstractNumId w:val="23"/>
  </w:num>
  <w:num w:numId="18">
    <w:abstractNumId w:val="10"/>
  </w:num>
  <w:num w:numId="19">
    <w:abstractNumId w:val="13"/>
  </w:num>
  <w:num w:numId="20">
    <w:abstractNumId w:val="14"/>
  </w:num>
  <w:num w:numId="21">
    <w:abstractNumId w:val="18"/>
  </w:num>
  <w:num w:numId="22">
    <w:abstractNumId w:val="24"/>
  </w:num>
  <w:num w:numId="23">
    <w:abstractNumId w:val="15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343"/>
    <w:rsid w:val="000014A2"/>
    <w:rsid w:val="00025F69"/>
    <w:rsid w:val="000506BE"/>
    <w:rsid w:val="00075FE3"/>
    <w:rsid w:val="00085E28"/>
    <w:rsid w:val="000861D2"/>
    <w:rsid w:val="00091638"/>
    <w:rsid w:val="00093E6D"/>
    <w:rsid w:val="00096649"/>
    <w:rsid w:val="000B13AB"/>
    <w:rsid w:val="000C577E"/>
    <w:rsid w:val="000D2A4E"/>
    <w:rsid w:val="000E7AAA"/>
    <w:rsid w:val="000F7E24"/>
    <w:rsid w:val="00103A34"/>
    <w:rsid w:val="00114823"/>
    <w:rsid w:val="00141218"/>
    <w:rsid w:val="00142FED"/>
    <w:rsid w:val="00154F3A"/>
    <w:rsid w:val="00163C9F"/>
    <w:rsid w:val="00164935"/>
    <w:rsid w:val="00181077"/>
    <w:rsid w:val="00182384"/>
    <w:rsid w:val="001979AE"/>
    <w:rsid w:val="001A21B9"/>
    <w:rsid w:val="001A37DA"/>
    <w:rsid w:val="001A69BA"/>
    <w:rsid w:val="001D734A"/>
    <w:rsid w:val="0020440B"/>
    <w:rsid w:val="00221359"/>
    <w:rsid w:val="00230680"/>
    <w:rsid w:val="0024587B"/>
    <w:rsid w:val="002720DD"/>
    <w:rsid w:val="0028211C"/>
    <w:rsid w:val="00284A97"/>
    <w:rsid w:val="00285205"/>
    <w:rsid w:val="00285494"/>
    <w:rsid w:val="00286D70"/>
    <w:rsid w:val="002B47F9"/>
    <w:rsid w:val="002B695F"/>
    <w:rsid w:val="002B7FBB"/>
    <w:rsid w:val="002D4A36"/>
    <w:rsid w:val="002D4FC5"/>
    <w:rsid w:val="0030321A"/>
    <w:rsid w:val="003047A4"/>
    <w:rsid w:val="00362784"/>
    <w:rsid w:val="00373012"/>
    <w:rsid w:val="00381D39"/>
    <w:rsid w:val="00382DED"/>
    <w:rsid w:val="00396AD2"/>
    <w:rsid w:val="003F74C9"/>
    <w:rsid w:val="00404D7A"/>
    <w:rsid w:val="00405C2B"/>
    <w:rsid w:val="004112EC"/>
    <w:rsid w:val="00411930"/>
    <w:rsid w:val="0043580B"/>
    <w:rsid w:val="004370F5"/>
    <w:rsid w:val="00437625"/>
    <w:rsid w:val="004408C9"/>
    <w:rsid w:val="0045276E"/>
    <w:rsid w:val="00454FB6"/>
    <w:rsid w:val="00470D94"/>
    <w:rsid w:val="0048796A"/>
    <w:rsid w:val="00492FB1"/>
    <w:rsid w:val="0049475A"/>
    <w:rsid w:val="004A7343"/>
    <w:rsid w:val="004C0DEA"/>
    <w:rsid w:val="004C46C9"/>
    <w:rsid w:val="004D0CE6"/>
    <w:rsid w:val="004D5D5E"/>
    <w:rsid w:val="004E11CC"/>
    <w:rsid w:val="004E1EF1"/>
    <w:rsid w:val="004E2AF3"/>
    <w:rsid w:val="004F5098"/>
    <w:rsid w:val="00501DBB"/>
    <w:rsid w:val="00502C6F"/>
    <w:rsid w:val="00521EE6"/>
    <w:rsid w:val="00523CD3"/>
    <w:rsid w:val="00531569"/>
    <w:rsid w:val="005366C1"/>
    <w:rsid w:val="0055443B"/>
    <w:rsid w:val="005665C6"/>
    <w:rsid w:val="00567226"/>
    <w:rsid w:val="005906F5"/>
    <w:rsid w:val="0059773C"/>
    <w:rsid w:val="005A431C"/>
    <w:rsid w:val="005B06F7"/>
    <w:rsid w:val="005C4B64"/>
    <w:rsid w:val="005C5D97"/>
    <w:rsid w:val="005C68C7"/>
    <w:rsid w:val="005F0613"/>
    <w:rsid w:val="005F34D9"/>
    <w:rsid w:val="005F725F"/>
    <w:rsid w:val="00601C7D"/>
    <w:rsid w:val="006039CC"/>
    <w:rsid w:val="00621E94"/>
    <w:rsid w:val="006351AB"/>
    <w:rsid w:val="006466FC"/>
    <w:rsid w:val="006937F4"/>
    <w:rsid w:val="006A17C8"/>
    <w:rsid w:val="006D3244"/>
    <w:rsid w:val="006F151C"/>
    <w:rsid w:val="00717FA8"/>
    <w:rsid w:val="00725225"/>
    <w:rsid w:val="00732905"/>
    <w:rsid w:val="00760246"/>
    <w:rsid w:val="0076347A"/>
    <w:rsid w:val="00766A18"/>
    <w:rsid w:val="00767743"/>
    <w:rsid w:val="007832A7"/>
    <w:rsid w:val="00784224"/>
    <w:rsid w:val="00797089"/>
    <w:rsid w:val="007C01FE"/>
    <w:rsid w:val="007D3737"/>
    <w:rsid w:val="007E33B9"/>
    <w:rsid w:val="007F4003"/>
    <w:rsid w:val="0080162B"/>
    <w:rsid w:val="008077FB"/>
    <w:rsid w:val="00814B56"/>
    <w:rsid w:val="00844BBF"/>
    <w:rsid w:val="00844EC3"/>
    <w:rsid w:val="00866770"/>
    <w:rsid w:val="00892E0A"/>
    <w:rsid w:val="0089674D"/>
    <w:rsid w:val="008E251C"/>
    <w:rsid w:val="008E2BD7"/>
    <w:rsid w:val="00901668"/>
    <w:rsid w:val="00904B8D"/>
    <w:rsid w:val="00936C48"/>
    <w:rsid w:val="009549ED"/>
    <w:rsid w:val="00955B80"/>
    <w:rsid w:val="00957CB5"/>
    <w:rsid w:val="00960AB5"/>
    <w:rsid w:val="00971DB4"/>
    <w:rsid w:val="0098409D"/>
    <w:rsid w:val="009A1171"/>
    <w:rsid w:val="009A1D29"/>
    <w:rsid w:val="009A5F6C"/>
    <w:rsid w:val="009D1100"/>
    <w:rsid w:val="009D2E65"/>
    <w:rsid w:val="009F1BEF"/>
    <w:rsid w:val="00A070DC"/>
    <w:rsid w:val="00A10750"/>
    <w:rsid w:val="00A460EF"/>
    <w:rsid w:val="00A57FFA"/>
    <w:rsid w:val="00A74FE9"/>
    <w:rsid w:val="00A75A22"/>
    <w:rsid w:val="00A9001C"/>
    <w:rsid w:val="00A9654A"/>
    <w:rsid w:val="00AA01D0"/>
    <w:rsid w:val="00AD3205"/>
    <w:rsid w:val="00B15113"/>
    <w:rsid w:val="00B459F7"/>
    <w:rsid w:val="00B474ED"/>
    <w:rsid w:val="00B575BC"/>
    <w:rsid w:val="00B703C2"/>
    <w:rsid w:val="00B70B0A"/>
    <w:rsid w:val="00B72DC6"/>
    <w:rsid w:val="00B76083"/>
    <w:rsid w:val="00B94A41"/>
    <w:rsid w:val="00B95FA6"/>
    <w:rsid w:val="00BA792F"/>
    <w:rsid w:val="00BB2418"/>
    <w:rsid w:val="00BC334D"/>
    <w:rsid w:val="00BC3DD3"/>
    <w:rsid w:val="00BE5E31"/>
    <w:rsid w:val="00C029B4"/>
    <w:rsid w:val="00C15FB7"/>
    <w:rsid w:val="00C30641"/>
    <w:rsid w:val="00C53A66"/>
    <w:rsid w:val="00C5716B"/>
    <w:rsid w:val="00C644D3"/>
    <w:rsid w:val="00C6536D"/>
    <w:rsid w:val="00C77CBD"/>
    <w:rsid w:val="00C86AC7"/>
    <w:rsid w:val="00CA22E3"/>
    <w:rsid w:val="00CA442D"/>
    <w:rsid w:val="00CA6CAF"/>
    <w:rsid w:val="00CB37A1"/>
    <w:rsid w:val="00CD5BCF"/>
    <w:rsid w:val="00D3402F"/>
    <w:rsid w:val="00D44C9A"/>
    <w:rsid w:val="00D7158F"/>
    <w:rsid w:val="00D8035C"/>
    <w:rsid w:val="00DB4C4E"/>
    <w:rsid w:val="00DE6310"/>
    <w:rsid w:val="00DF3509"/>
    <w:rsid w:val="00DF7852"/>
    <w:rsid w:val="00E02E23"/>
    <w:rsid w:val="00E1249F"/>
    <w:rsid w:val="00E32D31"/>
    <w:rsid w:val="00E36BEA"/>
    <w:rsid w:val="00E4139E"/>
    <w:rsid w:val="00E465C1"/>
    <w:rsid w:val="00E53B13"/>
    <w:rsid w:val="00E66699"/>
    <w:rsid w:val="00EC03DF"/>
    <w:rsid w:val="00ED4CB3"/>
    <w:rsid w:val="00ED6CC6"/>
    <w:rsid w:val="00F02228"/>
    <w:rsid w:val="00F13BF5"/>
    <w:rsid w:val="00F33CF3"/>
    <w:rsid w:val="00F40DF7"/>
    <w:rsid w:val="00F422AA"/>
    <w:rsid w:val="00F542E5"/>
    <w:rsid w:val="00F57F94"/>
    <w:rsid w:val="00F626CB"/>
    <w:rsid w:val="00F638B9"/>
    <w:rsid w:val="00F73103"/>
    <w:rsid w:val="00F80EBE"/>
    <w:rsid w:val="00F83B2C"/>
    <w:rsid w:val="00F83B39"/>
    <w:rsid w:val="00F8422D"/>
    <w:rsid w:val="00FA3D79"/>
    <w:rsid w:val="00FA58B6"/>
    <w:rsid w:val="00FD4944"/>
    <w:rsid w:val="00FF188C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uiPriority w:val="99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D4A36"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408C9"/>
    <w:rPr>
      <w:rFonts w:ascii="Arial" w:hAnsi="Arial" w:cs="Arial"/>
      <w:b/>
      <w:bCs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aliases w:val="Cha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character" w:customStyle="1" w:styleId="ZhlavChar">
    <w:name w:val="Záhlaví Char"/>
    <w:aliases w:val="Char Char"/>
    <w:basedOn w:val="Standardnpsmoodstavce"/>
    <w:link w:val="Zhlav"/>
    <w:uiPriority w:val="99"/>
    <w:locked/>
    <w:rsid w:val="00BC3DD3"/>
    <w:rPr>
      <w:rFonts w:ascii="Gill Sans" w:hAnsi="Gill Sans" w:cs="Times New Roman"/>
      <w:noProof/>
      <w:color w:val="003A63"/>
      <w:sz w:val="13"/>
    </w:rPr>
  </w:style>
  <w:style w:type="paragraph" w:styleId="Zpat">
    <w:name w:val="footer"/>
    <w:aliases w:val="Char1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aliases w:val="Char1 Char"/>
    <w:basedOn w:val="Standardnpsmoodstavce"/>
    <w:link w:val="Zpat"/>
    <w:uiPriority w:val="99"/>
    <w:locked/>
    <w:rsid w:val="00BC3DD3"/>
    <w:rPr>
      <w:rFonts w:ascii="Arial" w:hAnsi="Arial" w:cs="Times New Roman"/>
      <w:noProof/>
      <w:color w:val="003A63"/>
      <w:sz w:val="13"/>
    </w:rPr>
  </w:style>
  <w:style w:type="paragraph" w:customStyle="1" w:styleId="vnitrekzapati">
    <w:name w:val="vnitrek zapati"/>
    <w:basedOn w:val="Zpat"/>
    <w:uiPriority w:val="99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paragraph" w:customStyle="1" w:styleId="Adresa">
    <w:name w:val="Adresa"/>
    <w:basedOn w:val="Normln"/>
    <w:next w:val="Normln"/>
    <w:autoRedefine/>
    <w:uiPriority w:val="99"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uiPriority w:val="99"/>
    <w:rsid w:val="005366C1"/>
    <w:rPr>
      <w:rFonts w:cs="Times New Roman"/>
      <w:color w:val="0000FF"/>
      <w:u w:val="single"/>
    </w:rPr>
  </w:style>
  <w:style w:type="paragraph" w:customStyle="1" w:styleId="uvodniosloveni">
    <w:name w:val="uvodni osloveni"/>
    <w:basedOn w:val="Normln"/>
    <w:uiPriority w:val="99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uiPriority w:val="99"/>
    <w:rsid w:val="006466FC"/>
    <w:pPr>
      <w:spacing w:before="1680"/>
      <w:ind w:left="142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F83B39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83B39"/>
    <w:rPr>
      <w:rFonts w:cs="Times New Roman"/>
    </w:rPr>
  </w:style>
  <w:style w:type="character" w:styleId="Znakapoznpodarou">
    <w:name w:val="footnote reference"/>
    <w:aliases w:val="EN Footnote Reference,Times 10 Point,Exposant 3 Point,Footnote symbol,Footnote reference number,note TESI,Footnote,Ref,de nota al pie,SUPERS"/>
    <w:basedOn w:val="Standardnpsmoodstavce"/>
    <w:uiPriority w:val="99"/>
    <w:rsid w:val="00F83B39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83B39"/>
    <w:pPr>
      <w:framePr w:w="4014" w:h="2045" w:hSpace="142" w:wrap="around" w:vAnchor="text" w:hAnchor="text" w:y="4"/>
      <w:pBdr>
        <w:top w:val="single" w:sz="6" w:space="1" w:color="FFFFFF"/>
        <w:left w:val="single" w:sz="6" w:space="4" w:color="FFFFFF"/>
        <w:bottom w:val="single" w:sz="6" w:space="1" w:color="FFFFFF"/>
        <w:right w:val="single" w:sz="6" w:space="4" w:color="FFFFFF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noProof w:val="0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83B39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F83B39"/>
    <w:pPr>
      <w:tabs>
        <w:tab w:val="left" w:pos="4820"/>
        <w:tab w:val="right" w:pos="9072"/>
      </w:tabs>
      <w:spacing w:after="120" w:line="480" w:lineRule="auto"/>
      <w:jc w:val="left"/>
    </w:pPr>
    <w:rPr>
      <w:noProof w:val="0"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83B39"/>
    <w:rPr>
      <w:rFonts w:ascii="Arial" w:hAnsi="Arial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C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C3DD3"/>
    <w:rPr>
      <w:rFonts w:ascii="Tahoma" w:hAnsi="Tahoma" w:cs="Tahoma"/>
      <w:noProof/>
      <w:color w:val="000000"/>
      <w:sz w:val="16"/>
      <w:szCs w:val="16"/>
    </w:rPr>
  </w:style>
  <w:style w:type="paragraph" w:styleId="Bezmezer">
    <w:name w:val="No Spacing"/>
    <w:uiPriority w:val="99"/>
    <w:qFormat/>
    <w:rsid w:val="00BC3DD3"/>
    <w:pPr>
      <w:jc w:val="both"/>
    </w:pPr>
    <w:rPr>
      <w:rFonts w:ascii="Arial" w:hAnsi="Arial"/>
      <w:noProof/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5BCE-58C4-4C8E-8617-131BF98E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Hejdová Jaroslava Ing.</dc:creator>
  <cp:keywords/>
  <dc:description/>
  <cp:lastModifiedBy>ZH</cp:lastModifiedBy>
  <cp:revision>5</cp:revision>
  <cp:lastPrinted>2015-01-14T09:22:00Z</cp:lastPrinted>
  <dcterms:created xsi:type="dcterms:W3CDTF">2016-01-12T10:27:00Z</dcterms:created>
  <dcterms:modified xsi:type="dcterms:W3CDTF">2016-01-12T12:29:00Z</dcterms:modified>
</cp:coreProperties>
</file>