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rPr>
          <w:rFonts w:ascii="Calibri" w:hAnsi="Calibri"/>
          <w:b/>
          <w:color w:val="706F6F"/>
          <w:sz w:val="25"/>
          <w:szCs w:val="25"/>
        </w:rPr>
      </w:pPr>
    </w:p>
    <w:p w:rsidR="00FD042F" w:rsidRDefault="00FD042F" w:rsidP="00FD042F">
      <w:pPr>
        <w:rPr>
          <w:rFonts w:ascii="Calibri" w:hAnsi="Calibri"/>
          <w:b/>
          <w:color w:val="706F6F"/>
          <w:sz w:val="25"/>
          <w:szCs w:val="25"/>
        </w:rPr>
      </w:pPr>
    </w:p>
    <w:p w:rsidR="00CA3006" w:rsidRDefault="00CA3006" w:rsidP="00CA3006">
      <w:pPr>
        <w:ind w:left="4320" w:firstLine="720"/>
      </w:pPr>
      <w:r>
        <w:t>Auditor</w:t>
      </w:r>
    </w:p>
    <w:p w:rsidR="00CA3006" w:rsidRPr="002303A1" w:rsidRDefault="00CA3006" w:rsidP="00CA3006">
      <w:pPr>
        <w:ind w:left="4320" w:firstLine="720"/>
        <w:rPr>
          <w:b/>
          <w:bCs/>
        </w:rPr>
      </w:pPr>
      <w:r w:rsidRPr="002303A1">
        <w:rPr>
          <w:b/>
          <w:bCs/>
        </w:rPr>
        <w:t>Ing. Jiří Ficbauer, CSc., MBA</w:t>
      </w:r>
      <w:r w:rsidRPr="002303A1">
        <w:rPr>
          <w:rStyle w:val="Znakapoznpodarou"/>
          <w:b/>
          <w:bCs/>
        </w:rPr>
        <w:footnoteReference w:id="1"/>
      </w:r>
    </w:p>
    <w:p w:rsidR="00CA3006" w:rsidRDefault="00CA3006" w:rsidP="00CA3006">
      <w:pPr>
        <w:ind w:left="4320" w:firstLine="720"/>
      </w:pPr>
      <w:r>
        <w:rPr>
          <w:b/>
          <w:bCs/>
        </w:rPr>
        <w:t>FIZA, a.s.</w:t>
      </w:r>
    </w:p>
    <w:p w:rsidR="00CA3006" w:rsidRDefault="00CA3006" w:rsidP="00CA3006">
      <w:pPr>
        <w:ind w:left="4320" w:firstLine="720"/>
      </w:pPr>
      <w:proofErr w:type="spellStart"/>
      <w:r>
        <w:t>Hrozňatova</w:t>
      </w:r>
      <w:proofErr w:type="spellEnd"/>
      <w:r>
        <w:t xml:space="preserve"> 3</w:t>
      </w:r>
    </w:p>
    <w:p w:rsidR="00CA3006" w:rsidRDefault="00CA3006" w:rsidP="00CA3006">
      <w:pPr>
        <w:ind w:left="5040"/>
      </w:pPr>
      <w:r>
        <w:t>615 00 Brno</w:t>
      </w:r>
    </w:p>
    <w:p w:rsidR="00CA3006" w:rsidRDefault="00CA3006" w:rsidP="00CA3006">
      <w:pPr>
        <w:ind w:firstLine="720"/>
      </w:pPr>
    </w:p>
    <w:p w:rsidR="00CA3006" w:rsidRDefault="00CA3006" w:rsidP="00CA3006">
      <w:pPr>
        <w:ind w:firstLine="720"/>
      </w:pPr>
    </w:p>
    <w:p w:rsidR="00CA3006" w:rsidRDefault="00CA3006" w:rsidP="00CA3006">
      <w:pPr>
        <w:ind w:firstLine="720"/>
      </w:pPr>
    </w:p>
    <w:tbl>
      <w:tblPr>
        <w:tblW w:w="3170" w:type="dxa"/>
        <w:jc w:val="right"/>
        <w:tblBorders>
          <w:bottom w:val="dotted" w:sz="4" w:space="0" w:color="auto"/>
        </w:tblBorders>
        <w:tblLook w:val="0000"/>
      </w:tblPr>
      <w:tblGrid>
        <w:gridCol w:w="390"/>
        <w:gridCol w:w="1176"/>
        <w:gridCol w:w="643"/>
        <w:gridCol w:w="1176"/>
      </w:tblGrid>
      <w:tr w:rsidR="00CA3006" w:rsidTr="006D34ED">
        <w:trPr>
          <w:jc w:val="right"/>
        </w:trPr>
        <w:tc>
          <w:tcPr>
            <w:tcW w:w="405" w:type="dxa"/>
            <w:tcBorders>
              <w:top w:val="nil"/>
              <w:left w:val="nil"/>
              <w:bottom w:val="nil"/>
              <w:right w:val="nil"/>
            </w:tcBorders>
            <w:vAlign w:val="bottom"/>
          </w:tcPr>
          <w:p w:rsidR="00CA3006" w:rsidRDefault="00CA3006" w:rsidP="006D34ED">
            <w:pPr>
              <w:jc w:val="right"/>
            </w:pPr>
            <w:r>
              <w:t>V</w:t>
            </w:r>
          </w:p>
        </w:tc>
        <w:tc>
          <w:tcPr>
            <w:tcW w:w="1271" w:type="dxa"/>
            <w:tcBorders>
              <w:top w:val="nil"/>
              <w:left w:val="nil"/>
              <w:bottom w:val="dotted" w:sz="4" w:space="0" w:color="auto"/>
              <w:right w:val="nil"/>
            </w:tcBorders>
            <w:vAlign w:val="bottom"/>
          </w:tcPr>
          <w:p w:rsidR="00CA3006" w:rsidRDefault="00CA3006" w:rsidP="006D34ED">
            <w:r>
              <w:t>Olomouci</w:t>
            </w:r>
          </w:p>
        </w:tc>
        <w:tc>
          <w:tcPr>
            <w:tcW w:w="574" w:type="dxa"/>
            <w:tcBorders>
              <w:top w:val="nil"/>
              <w:left w:val="nil"/>
              <w:bottom w:val="nil"/>
              <w:right w:val="nil"/>
            </w:tcBorders>
            <w:vAlign w:val="bottom"/>
          </w:tcPr>
          <w:p w:rsidR="00CA3006" w:rsidRDefault="00CA3006" w:rsidP="006D34ED">
            <w:r>
              <w:t>dne</w:t>
            </w:r>
            <w:r>
              <w:rPr>
                <w:rStyle w:val="Znakapoznpodarou"/>
              </w:rPr>
              <w:footnoteReference w:id="2"/>
            </w:r>
          </w:p>
        </w:tc>
        <w:tc>
          <w:tcPr>
            <w:tcW w:w="920" w:type="dxa"/>
            <w:tcBorders>
              <w:top w:val="nil"/>
              <w:left w:val="nil"/>
              <w:bottom w:val="dotted" w:sz="4" w:space="0" w:color="auto"/>
              <w:right w:val="nil"/>
            </w:tcBorders>
            <w:vAlign w:val="bottom"/>
          </w:tcPr>
          <w:p w:rsidR="00CA3006" w:rsidRDefault="00D16A20" w:rsidP="00D16A20">
            <w:proofErr w:type="gramStart"/>
            <w:r>
              <w:t>28</w:t>
            </w:r>
            <w:r w:rsidR="00CA3006">
              <w:t>.</w:t>
            </w:r>
            <w:r>
              <w:t>1</w:t>
            </w:r>
            <w:r w:rsidR="00CA3006">
              <w:t>.201</w:t>
            </w:r>
            <w:r w:rsidR="006D34ED">
              <w:t>9</w:t>
            </w:r>
            <w:proofErr w:type="gramEnd"/>
          </w:p>
        </w:tc>
      </w:tr>
    </w:tbl>
    <w:p w:rsidR="00CA3006" w:rsidRDefault="00CA3006" w:rsidP="00CA3006"/>
    <w:p w:rsidR="00CA3006" w:rsidRPr="0074705A" w:rsidRDefault="00CA3006" w:rsidP="00CA3006">
      <w:pPr>
        <w:rPr>
          <w:b/>
          <w:bCs/>
        </w:rPr>
      </w:pPr>
      <w:r w:rsidRPr="002303A1">
        <w:rPr>
          <w:b/>
          <w:bCs/>
        </w:rPr>
        <w:t>Prohlášení k přezkoumání hospodaření</w:t>
      </w:r>
    </w:p>
    <w:p w:rsidR="00CA3006" w:rsidRDefault="00CA3006" w:rsidP="00CA3006">
      <w:pPr>
        <w:ind w:firstLine="720"/>
      </w:pPr>
    </w:p>
    <w:p w:rsidR="00CA3006" w:rsidRPr="003A5FC8" w:rsidRDefault="00CA3006" w:rsidP="00CA3006">
      <w:pPr>
        <w:ind w:firstLine="720"/>
      </w:pPr>
      <w:r w:rsidRPr="003A5FC8">
        <w:t>Auditorov</w:t>
      </w:r>
      <w:r>
        <w:t>i,</w:t>
      </w:r>
    </w:p>
    <w:p w:rsidR="00CA3006" w:rsidRDefault="00CA3006" w:rsidP="00CA3006">
      <w:pPr>
        <w:ind w:firstLine="720"/>
        <w:jc w:val="both"/>
      </w:pPr>
    </w:p>
    <w:p w:rsidR="00CA3006" w:rsidRPr="003A5FC8" w:rsidRDefault="00CA3006" w:rsidP="00CA3006">
      <w:pPr>
        <w:ind w:firstLine="720"/>
        <w:jc w:val="both"/>
      </w:pPr>
      <w:r>
        <w:t>Tento dopis obsahující prohlášení je poskytován</w:t>
      </w:r>
      <w:r w:rsidRPr="000639C2">
        <w:t xml:space="preserve"> v souvislosti s Vaším přezkoumáním hospodaření </w:t>
      </w:r>
      <w:r>
        <w:t>Fakultní nemocnice Olomouc</w:t>
      </w:r>
      <w:r w:rsidRPr="000639C2">
        <w:t xml:space="preserve"> </w:t>
      </w:r>
      <w:r>
        <w:t>za rok 201</w:t>
      </w:r>
      <w:r w:rsidR="006D34ED">
        <w:t>8</w:t>
      </w:r>
      <w:r w:rsidRPr="000639C2">
        <w:t xml:space="preserve"> za účelem vydání zprávy o výsledku tohoto přezkoumání za rok končící k tomuto datu a posouzením, zda účetnictví a hospodaření </w:t>
      </w:r>
      <w:r>
        <w:t>Fakultní nemocnice Olomouc</w:t>
      </w:r>
      <w:r w:rsidRPr="000639C2">
        <w:t xml:space="preserve"> bylo vedeno v souladu s účetními a jinými právními předpisy platnými pro </w:t>
      </w:r>
      <w:r>
        <w:t>Fakultní nemocnic</w:t>
      </w:r>
      <w:r w:rsidR="006D34ED">
        <w:t>i</w:t>
      </w:r>
      <w:r>
        <w:t xml:space="preserve"> Olomouc</w:t>
      </w:r>
      <w:r>
        <w:rPr>
          <w:b/>
          <w:i/>
        </w:rPr>
        <w:t>.</w:t>
      </w:r>
    </w:p>
    <w:p w:rsidR="00CA3006" w:rsidRPr="003A5FC8" w:rsidRDefault="00CA3006" w:rsidP="00CA3006">
      <w:pPr>
        <w:ind w:firstLine="720"/>
      </w:pPr>
    </w:p>
    <w:p w:rsidR="00CA3006" w:rsidRPr="003A5FC8" w:rsidRDefault="00CA3006" w:rsidP="00CA3006">
      <w:pPr>
        <w:ind w:firstLine="720"/>
      </w:pPr>
      <w:r>
        <w:t xml:space="preserve">Potvrzujeme (dle našich nejlepších znalostí a </w:t>
      </w:r>
      <w:r w:rsidRPr="000639C2">
        <w:t xml:space="preserve">vědomí a po </w:t>
      </w:r>
      <w:r>
        <w:t xml:space="preserve">příslušných </w:t>
      </w:r>
      <w:r w:rsidRPr="000639C2">
        <w:t>dotazováních, která jsme považovali za nezbytná, abychom byli vhodně informováni), že:</w:t>
      </w:r>
    </w:p>
    <w:p w:rsidR="00CA3006" w:rsidRPr="003A5FC8" w:rsidRDefault="00CA3006" w:rsidP="00CA3006">
      <w:pPr>
        <w:ind w:firstLine="720"/>
      </w:pPr>
    </w:p>
    <w:p w:rsidR="00CA3006" w:rsidRPr="002303A1" w:rsidRDefault="00CA3006" w:rsidP="00CA3006">
      <w:pPr>
        <w:numPr>
          <w:ilvl w:val="0"/>
          <w:numId w:val="1"/>
        </w:numPr>
        <w:jc w:val="both"/>
      </w:pPr>
      <w:r w:rsidRPr="000F71CA">
        <w:rPr>
          <w:color w:val="000000"/>
        </w:rPr>
        <w:t>Splnili jsme naše povinnosti uvedené v podmínkách zakázky na vykonání přezkoumání hospodaření ze dne</w:t>
      </w:r>
      <w:r>
        <w:rPr>
          <w:color w:val="000000"/>
        </w:rPr>
        <w:t xml:space="preserve"> </w:t>
      </w:r>
      <w:proofErr w:type="gramStart"/>
      <w:r w:rsidR="006D34ED">
        <w:rPr>
          <w:color w:val="000000"/>
        </w:rPr>
        <w:t>6</w:t>
      </w:r>
      <w:r>
        <w:rPr>
          <w:color w:val="000000"/>
        </w:rPr>
        <w:t>.</w:t>
      </w:r>
      <w:r w:rsidR="006D34ED">
        <w:rPr>
          <w:color w:val="000000"/>
        </w:rPr>
        <w:t>9</w:t>
      </w:r>
      <w:r>
        <w:rPr>
          <w:color w:val="000000"/>
        </w:rPr>
        <w:t>.</w:t>
      </w:r>
      <w:r w:rsidRPr="000F71CA">
        <w:rPr>
          <w:color w:val="000000"/>
        </w:rPr>
        <w:t>201</w:t>
      </w:r>
      <w:r w:rsidR="006D34ED">
        <w:rPr>
          <w:color w:val="000000"/>
        </w:rPr>
        <w:t>8</w:t>
      </w:r>
      <w:proofErr w:type="gramEnd"/>
      <w:r w:rsidRPr="000F71CA">
        <w:rPr>
          <w:color w:val="000000"/>
        </w:rPr>
        <w:t xml:space="preserve"> týkající se údajů o hospodaření </w:t>
      </w:r>
      <w:r>
        <w:t>Fakultní nemocnice Olomouc</w:t>
      </w:r>
      <w:r w:rsidRPr="000639C2">
        <w:t xml:space="preserve"> </w:t>
      </w:r>
      <w:r w:rsidRPr="00324B46">
        <w:t>a</w:t>
      </w:r>
      <w:r w:rsidRPr="000F71CA">
        <w:rPr>
          <w:b/>
          <w:i/>
        </w:rPr>
        <w:t xml:space="preserve"> </w:t>
      </w:r>
      <w:r w:rsidRPr="000F71CA">
        <w:rPr>
          <w:color w:val="000000"/>
        </w:rPr>
        <w:t>sestavení účetní závěrky a výkazu „</w:t>
      </w:r>
      <w:r w:rsidRPr="002303A1">
        <w:t>Finanční výkaz o rozpočtu nákladů a výnosů“</w:t>
      </w:r>
      <w:r w:rsidRPr="002303A1">
        <w:rPr>
          <w:rStyle w:val="Znakapoznpodarou"/>
        </w:rPr>
        <w:footnoteReference w:id="3"/>
      </w:r>
      <w:r w:rsidRPr="002303A1">
        <w:t xml:space="preserve"> </w:t>
      </w:r>
      <w:r w:rsidRPr="000F71CA">
        <w:rPr>
          <w:color w:val="000000"/>
        </w:rPr>
        <w:t>(dále jen „finanční výkaz“)“ podle účetních a jiných právních předpisů platných pro</w:t>
      </w:r>
      <w:r>
        <w:rPr>
          <w:color w:val="000000"/>
        </w:rPr>
        <w:t xml:space="preserve"> </w:t>
      </w:r>
      <w:r>
        <w:t>Fakultní nemocnici Olomouc.</w:t>
      </w:r>
      <w:r w:rsidRPr="000F71CA">
        <w:rPr>
          <w:color w:val="000000"/>
        </w:rPr>
        <w:t xml:space="preserve"> Pro účely tohoto prohlášení tvoří účetní závěrku: rozvaha, výkaz zisku a ztráty</w:t>
      </w:r>
      <w:r w:rsidR="006D34ED">
        <w:rPr>
          <w:color w:val="000000"/>
        </w:rPr>
        <w:t>,</w:t>
      </w:r>
      <w:r w:rsidRPr="000F71CA">
        <w:rPr>
          <w:color w:val="000000"/>
        </w:rPr>
        <w:t xml:space="preserve"> příloha</w:t>
      </w:r>
      <w:r w:rsidRPr="002303A1">
        <w:rPr>
          <w:color w:val="000000"/>
        </w:rPr>
        <w:t>, přehled o peněžních tocích a přehled o změnách vlastního kapitálu.</w:t>
      </w:r>
    </w:p>
    <w:p w:rsidR="00CA3006" w:rsidRPr="003A5FC8" w:rsidRDefault="00CA3006" w:rsidP="00CA3006">
      <w:pPr>
        <w:ind w:left="397"/>
        <w:jc w:val="both"/>
      </w:pPr>
    </w:p>
    <w:p w:rsidR="00CA3006" w:rsidRPr="000639C2" w:rsidRDefault="00CA3006" w:rsidP="00CA3006">
      <w:pPr>
        <w:pStyle w:val="ListParagraph1"/>
        <w:numPr>
          <w:ilvl w:val="0"/>
          <w:numId w:val="1"/>
        </w:numPr>
        <w:autoSpaceDE w:val="0"/>
        <w:autoSpaceDN w:val="0"/>
        <w:adjustRightInd w:val="0"/>
        <w:spacing w:after="120" w:line="240" w:lineRule="auto"/>
        <w:jc w:val="both"/>
        <w:rPr>
          <w:color w:val="000000"/>
          <w:szCs w:val="24"/>
          <w:lang w:val="cs-CZ"/>
        </w:rPr>
      </w:pPr>
      <w:r w:rsidRPr="000639C2">
        <w:rPr>
          <w:color w:val="000000"/>
          <w:szCs w:val="24"/>
          <w:lang w:val="cs-CZ"/>
        </w:rPr>
        <w:t>Jsme odpovědni za správnou prezentaci finanční situace a výsledku hospodaření v účetní závěrce a salda příjmů a výdajů, které je uvedeno ve finančním výkazu</w:t>
      </w:r>
      <w:r w:rsidRPr="002303A1">
        <w:rPr>
          <w:rStyle w:val="Znakapoznpodarou"/>
          <w:szCs w:val="24"/>
          <w:lang w:val="cs-CZ"/>
        </w:rPr>
        <w:footnoteReference w:id="4"/>
      </w:r>
      <w:r w:rsidRPr="000639C2">
        <w:rPr>
          <w:color w:val="000000"/>
          <w:szCs w:val="24"/>
          <w:lang w:val="cs-CZ"/>
        </w:rPr>
        <w:t xml:space="preserve">. </w:t>
      </w:r>
    </w:p>
    <w:p w:rsidR="00CA3006" w:rsidRPr="000639C2" w:rsidRDefault="00CA3006" w:rsidP="00CA3006">
      <w:pPr>
        <w:widowControl/>
        <w:numPr>
          <w:ilvl w:val="0"/>
          <w:numId w:val="1"/>
        </w:numPr>
        <w:overflowPunct/>
        <w:spacing w:after="120"/>
        <w:ind w:left="360"/>
        <w:jc w:val="both"/>
        <w:rPr>
          <w:color w:val="000000"/>
        </w:rPr>
      </w:pPr>
      <w:r>
        <w:rPr>
          <w:color w:val="000000"/>
        </w:rPr>
        <w:t xml:space="preserve">Všechny události od rozvahového dne do data sestavení účetní závěrky, u kterých výše uvedený rámec účetního výkaznictví vyžaduje úpravu nebo zveřejnění, byly upraveny nebo zveřejněny. </w:t>
      </w:r>
    </w:p>
    <w:p w:rsidR="00CA3006" w:rsidRPr="007E64AF" w:rsidRDefault="00CA3006" w:rsidP="00CA3006">
      <w:pPr>
        <w:widowControl/>
        <w:numPr>
          <w:ilvl w:val="0"/>
          <w:numId w:val="1"/>
        </w:numPr>
        <w:overflowPunct/>
        <w:spacing w:after="120"/>
        <w:ind w:left="360"/>
        <w:jc w:val="both"/>
        <w:rPr>
          <w:color w:val="000000"/>
        </w:rPr>
      </w:pPr>
      <w:r w:rsidRPr="007E64AF">
        <w:rPr>
          <w:color w:val="000000"/>
        </w:rPr>
        <w:t>Poskytli jsme Vám:</w:t>
      </w:r>
    </w:p>
    <w:p w:rsidR="00CA3006" w:rsidRPr="000639C2" w:rsidRDefault="00CA3006" w:rsidP="00CA3006">
      <w:pPr>
        <w:widowControl/>
        <w:numPr>
          <w:ilvl w:val="0"/>
          <w:numId w:val="2"/>
        </w:numPr>
        <w:tabs>
          <w:tab w:val="left" w:pos="851"/>
        </w:tabs>
        <w:overflowPunct/>
        <w:spacing w:after="120"/>
        <w:ind w:left="851" w:hanging="284"/>
        <w:jc w:val="both"/>
        <w:rPr>
          <w:color w:val="000000"/>
        </w:rPr>
      </w:pPr>
      <w:r w:rsidRPr="000639C2">
        <w:rPr>
          <w:color w:val="000000"/>
        </w:rPr>
        <w:t xml:space="preserve">přístup k veškerým informacím, o nichž jsme si vědomi, že jsou relevantní pro sestavení účetní závěrky a </w:t>
      </w:r>
      <w:r w:rsidRPr="002303A1">
        <w:rPr>
          <w:color w:val="000000"/>
        </w:rPr>
        <w:t>finančního výkazu</w:t>
      </w:r>
      <w:r w:rsidRPr="000639C2">
        <w:rPr>
          <w:color w:val="000000"/>
        </w:rPr>
        <w:t>, jako</w:t>
      </w:r>
      <w:r>
        <w:rPr>
          <w:color w:val="000000"/>
        </w:rPr>
        <w:t xml:space="preserve"> jsou účetní záznamy, doklady a </w:t>
      </w:r>
      <w:r w:rsidRPr="000639C2">
        <w:rPr>
          <w:color w:val="000000"/>
        </w:rPr>
        <w:t>ostatní materiály,</w:t>
      </w:r>
    </w:p>
    <w:p w:rsidR="00CA3006" w:rsidRDefault="00CA3006" w:rsidP="00CA3006">
      <w:pPr>
        <w:widowControl/>
        <w:tabs>
          <w:tab w:val="left" w:pos="851"/>
        </w:tabs>
        <w:overflowPunct/>
        <w:spacing w:after="120"/>
        <w:ind w:left="851"/>
        <w:jc w:val="both"/>
        <w:rPr>
          <w:color w:val="000000"/>
        </w:rPr>
      </w:pPr>
    </w:p>
    <w:p w:rsidR="00CA3006" w:rsidRDefault="00CA3006" w:rsidP="00CA3006">
      <w:pPr>
        <w:widowControl/>
        <w:tabs>
          <w:tab w:val="left" w:pos="851"/>
        </w:tabs>
        <w:overflowPunct/>
        <w:spacing w:after="120"/>
        <w:ind w:left="851"/>
        <w:jc w:val="both"/>
        <w:rPr>
          <w:color w:val="000000"/>
        </w:rPr>
      </w:pPr>
    </w:p>
    <w:p w:rsidR="00CA3006" w:rsidRPr="000639C2" w:rsidRDefault="00CA3006" w:rsidP="00CA3006">
      <w:pPr>
        <w:widowControl/>
        <w:numPr>
          <w:ilvl w:val="0"/>
          <w:numId w:val="2"/>
        </w:numPr>
        <w:tabs>
          <w:tab w:val="left" w:pos="851"/>
        </w:tabs>
        <w:overflowPunct/>
        <w:spacing w:after="120"/>
        <w:ind w:left="851" w:hanging="284"/>
        <w:jc w:val="both"/>
        <w:rPr>
          <w:color w:val="000000"/>
        </w:rPr>
      </w:pPr>
      <w:r w:rsidRPr="000639C2">
        <w:rPr>
          <w:color w:val="000000"/>
        </w:rPr>
        <w:t xml:space="preserve">dodatečné informace, které jste od nás požadovali pro účely provedení </w:t>
      </w:r>
      <w:r>
        <w:rPr>
          <w:color w:val="000000"/>
        </w:rPr>
        <w:t>přezkoumání hospodaření</w:t>
      </w:r>
      <w:r w:rsidRPr="000639C2">
        <w:rPr>
          <w:color w:val="000000"/>
        </w:rPr>
        <w:t xml:space="preserve">, </w:t>
      </w:r>
    </w:p>
    <w:p w:rsidR="00CA3006" w:rsidRPr="000639C2" w:rsidRDefault="00CA3006" w:rsidP="00CA3006">
      <w:pPr>
        <w:widowControl/>
        <w:numPr>
          <w:ilvl w:val="0"/>
          <w:numId w:val="2"/>
        </w:numPr>
        <w:tabs>
          <w:tab w:val="left" w:pos="851"/>
        </w:tabs>
        <w:overflowPunct/>
        <w:spacing w:after="120"/>
        <w:ind w:left="851" w:hanging="284"/>
        <w:jc w:val="both"/>
        <w:rPr>
          <w:color w:val="000000"/>
        </w:rPr>
      </w:pPr>
      <w:r w:rsidRPr="000639C2">
        <w:rPr>
          <w:color w:val="000000"/>
        </w:rPr>
        <w:t xml:space="preserve">neomezený přístup k osobám v rámci účetní jednotky, od kterých je podle Vás nezbytné získat důkazní informace. </w:t>
      </w:r>
    </w:p>
    <w:p w:rsidR="00CA3006" w:rsidRPr="002303A1" w:rsidRDefault="00CA3006" w:rsidP="00CA3006">
      <w:pPr>
        <w:widowControl/>
        <w:numPr>
          <w:ilvl w:val="0"/>
          <w:numId w:val="1"/>
        </w:numPr>
        <w:overflowPunct/>
        <w:spacing w:after="120"/>
        <w:ind w:left="360"/>
        <w:jc w:val="both"/>
      </w:pPr>
      <w:r w:rsidRPr="00612325">
        <w:t>Veškeré transakce byly zohledněny v účetních záznamech a zobrazeny v</w:t>
      </w:r>
      <w:r>
        <w:t> účetnictví a následně v</w:t>
      </w:r>
      <w:r w:rsidRPr="00612325">
        <w:t xml:space="preserve"> účetní závěrce </w:t>
      </w:r>
      <w:r w:rsidRPr="002303A1">
        <w:t>a finančním výkazu. Nejsme</w:t>
      </w:r>
      <w:r w:rsidRPr="00612325">
        <w:t xml:space="preserve"> si vědomi žádných významných transakcí, které nebyly zachyceny v účetní závěrce nebo </w:t>
      </w:r>
      <w:r w:rsidRPr="002303A1">
        <w:t>finančním výkazu.</w:t>
      </w:r>
    </w:p>
    <w:p w:rsidR="00CA3006" w:rsidRPr="000639C2" w:rsidRDefault="00CA3006" w:rsidP="00CA3006">
      <w:pPr>
        <w:widowControl/>
        <w:numPr>
          <w:ilvl w:val="0"/>
          <w:numId w:val="1"/>
        </w:numPr>
        <w:overflowPunct/>
        <w:spacing w:after="120"/>
        <w:ind w:left="360"/>
        <w:jc w:val="both"/>
        <w:rPr>
          <w:color w:val="000000"/>
        </w:rPr>
      </w:pPr>
      <w:r w:rsidRPr="000639C2">
        <w:rPr>
          <w:color w:val="000000"/>
        </w:rPr>
        <w:t xml:space="preserve">Poskytli jsme Vám veškeré informace ve vztahu k podvodům nebo podezření na podvody, které jsou nám známy a které mají dopad na </w:t>
      </w:r>
      <w:r>
        <w:rPr>
          <w:color w:val="000000"/>
        </w:rPr>
        <w:t>hospodaření</w:t>
      </w:r>
      <w:r>
        <w:rPr>
          <w:b/>
          <w:i/>
        </w:rPr>
        <w:t xml:space="preserve"> </w:t>
      </w:r>
      <w:r>
        <w:rPr>
          <w:color w:val="000000"/>
        </w:rPr>
        <w:t xml:space="preserve">a sestavení účetní závěrky </w:t>
      </w:r>
      <w:r w:rsidRPr="002303A1">
        <w:rPr>
          <w:color w:val="000000"/>
        </w:rPr>
        <w:t>a finančního výkazu</w:t>
      </w:r>
      <w:r>
        <w:rPr>
          <w:color w:val="000000"/>
        </w:rPr>
        <w:t xml:space="preserve"> a </w:t>
      </w:r>
      <w:r w:rsidRPr="000639C2">
        <w:rPr>
          <w:color w:val="000000"/>
        </w:rPr>
        <w:t xml:space="preserve">týkají se: </w:t>
      </w:r>
    </w:p>
    <w:p w:rsidR="00CA3006" w:rsidRPr="000639C2" w:rsidRDefault="00CA3006" w:rsidP="00CA3006">
      <w:pPr>
        <w:widowControl/>
        <w:numPr>
          <w:ilvl w:val="0"/>
          <w:numId w:val="2"/>
        </w:numPr>
        <w:overflowPunct/>
        <w:spacing w:after="120"/>
        <w:ind w:left="993" w:firstLine="0"/>
        <w:jc w:val="both"/>
        <w:rPr>
          <w:color w:val="000000"/>
        </w:rPr>
      </w:pPr>
      <w:r w:rsidRPr="000639C2">
        <w:rPr>
          <w:color w:val="000000"/>
        </w:rPr>
        <w:t>vedení,</w:t>
      </w:r>
    </w:p>
    <w:p w:rsidR="00CA3006" w:rsidRPr="000639C2" w:rsidRDefault="00CA3006" w:rsidP="00CA3006">
      <w:pPr>
        <w:widowControl/>
        <w:numPr>
          <w:ilvl w:val="0"/>
          <w:numId w:val="2"/>
        </w:numPr>
        <w:overflowPunct/>
        <w:spacing w:after="120"/>
        <w:ind w:left="993" w:firstLine="0"/>
        <w:jc w:val="both"/>
        <w:rPr>
          <w:color w:val="000000"/>
        </w:rPr>
      </w:pPr>
      <w:r w:rsidRPr="000639C2">
        <w:rPr>
          <w:color w:val="000000"/>
        </w:rPr>
        <w:t xml:space="preserve">zaměstnanců, kteří mají významnou roli ve vnitřní kontrole, </w:t>
      </w:r>
    </w:p>
    <w:p w:rsidR="00CA3006" w:rsidRPr="002303A1" w:rsidRDefault="00CA3006" w:rsidP="00CA3006">
      <w:pPr>
        <w:widowControl/>
        <w:numPr>
          <w:ilvl w:val="0"/>
          <w:numId w:val="2"/>
        </w:numPr>
        <w:overflowPunct/>
        <w:spacing w:after="120"/>
        <w:ind w:left="1418" w:hanging="425"/>
        <w:jc w:val="both"/>
        <w:rPr>
          <w:color w:val="000000"/>
        </w:rPr>
      </w:pPr>
      <w:r w:rsidRPr="000639C2">
        <w:rPr>
          <w:color w:val="000000"/>
        </w:rPr>
        <w:t xml:space="preserve">ostatních, pokud by podvod mohl mít významný </w:t>
      </w:r>
      <w:r>
        <w:rPr>
          <w:color w:val="000000"/>
        </w:rPr>
        <w:t xml:space="preserve">(materiální) </w:t>
      </w:r>
      <w:r w:rsidRPr="000639C2">
        <w:rPr>
          <w:color w:val="000000"/>
        </w:rPr>
        <w:t>dopad na účetní závěrku</w:t>
      </w:r>
      <w:r>
        <w:rPr>
          <w:color w:val="000000"/>
        </w:rPr>
        <w:t xml:space="preserve"> a </w:t>
      </w:r>
      <w:r w:rsidRPr="002303A1">
        <w:rPr>
          <w:color w:val="000000"/>
        </w:rPr>
        <w:t xml:space="preserve">finanční výkaz. </w:t>
      </w:r>
    </w:p>
    <w:p w:rsidR="00CA3006" w:rsidRPr="000639C2" w:rsidRDefault="00CA3006" w:rsidP="00CA3006">
      <w:pPr>
        <w:widowControl/>
        <w:numPr>
          <w:ilvl w:val="0"/>
          <w:numId w:val="1"/>
        </w:numPr>
        <w:overflowPunct/>
        <w:spacing w:after="120"/>
        <w:ind w:left="360"/>
        <w:jc w:val="both"/>
        <w:rPr>
          <w:color w:val="000000"/>
        </w:rPr>
      </w:pPr>
      <w:r>
        <w:rPr>
          <w:color w:val="000000"/>
        </w:rPr>
        <w:t xml:space="preserve">V souladu se zákonem č. 320/2001 Sb., o finanční kontrole, jsme vyhodnotili rizika, abychom eliminovali významné nesprávnosti v hospodaření </w:t>
      </w:r>
      <w:r w:rsidRPr="00324B46">
        <w:t>a následně</w:t>
      </w:r>
      <w:r>
        <w:rPr>
          <w:b/>
          <w:i/>
        </w:rPr>
        <w:t xml:space="preserve"> </w:t>
      </w:r>
      <w:r w:rsidRPr="00324B46">
        <w:t>v</w:t>
      </w:r>
      <w:r>
        <w:rPr>
          <w:b/>
          <w:i/>
        </w:rPr>
        <w:t xml:space="preserve"> </w:t>
      </w:r>
      <w:r>
        <w:rPr>
          <w:color w:val="000000"/>
        </w:rPr>
        <w:t xml:space="preserve">účetní závěrce a </w:t>
      </w:r>
      <w:r w:rsidRPr="002303A1">
        <w:rPr>
          <w:color w:val="000000"/>
        </w:rPr>
        <w:t>finančním výkazu</w:t>
      </w:r>
      <w:r>
        <w:rPr>
          <w:color w:val="000000"/>
        </w:rPr>
        <w:t xml:space="preserve"> z důvodu</w:t>
      </w:r>
      <w:r w:rsidRPr="000639C2">
        <w:rPr>
          <w:color w:val="000000"/>
        </w:rPr>
        <w:t xml:space="preserve"> podvodu. </w:t>
      </w:r>
    </w:p>
    <w:p w:rsidR="00CA3006" w:rsidRPr="002303A1" w:rsidRDefault="00CA3006" w:rsidP="00CA3006">
      <w:pPr>
        <w:widowControl/>
        <w:numPr>
          <w:ilvl w:val="0"/>
          <w:numId w:val="1"/>
        </w:numPr>
        <w:overflowPunct/>
        <w:spacing w:after="120"/>
        <w:ind w:left="360"/>
        <w:jc w:val="both"/>
        <w:rPr>
          <w:color w:val="000000"/>
        </w:rPr>
      </w:pPr>
      <w:r w:rsidRPr="000639C2">
        <w:t xml:space="preserve">Sdělili jsme Vám veškeré známé případy nesouladu nebo podezření na nesoulad s právními předpisy, jejichž dopady </w:t>
      </w:r>
      <w:r>
        <w:t xml:space="preserve">na hospodaření </w:t>
      </w:r>
      <w:r w:rsidRPr="000639C2">
        <w:t>by měly být zvážen</w:t>
      </w:r>
      <w:r>
        <w:t xml:space="preserve">y při sestavování účetní závěrky a </w:t>
      </w:r>
      <w:r w:rsidRPr="002303A1">
        <w:t xml:space="preserve">finančního výkazu. </w:t>
      </w:r>
    </w:p>
    <w:p w:rsidR="00CA3006" w:rsidRPr="000639C2" w:rsidRDefault="00CA3006" w:rsidP="00CA3006">
      <w:pPr>
        <w:widowControl/>
        <w:numPr>
          <w:ilvl w:val="0"/>
          <w:numId w:val="1"/>
        </w:numPr>
        <w:overflowPunct/>
        <w:spacing w:after="120"/>
        <w:ind w:left="360"/>
        <w:jc w:val="both"/>
        <w:rPr>
          <w:color w:val="000000"/>
        </w:rPr>
      </w:pPr>
      <w:r w:rsidRPr="000639C2">
        <w:t>Sdělili jsme Vám veškeré informace o známých či p</w:t>
      </w:r>
      <w:r>
        <w:t>otenciálních soudních sporech a </w:t>
      </w:r>
      <w:r w:rsidRPr="000639C2">
        <w:t xml:space="preserve">nárocích, jejichž dopady by měly </w:t>
      </w:r>
      <w:r>
        <w:t xml:space="preserve">vliv na hospodaření a sestavení účetní závěrky. </w:t>
      </w:r>
      <w:r w:rsidRPr="000639C2">
        <w:t xml:space="preserve">Veškeré tyto nároky a spory byly adekvátně zaúčtovány či popsány v účetní závěrce. </w:t>
      </w:r>
    </w:p>
    <w:p w:rsidR="00CA3006" w:rsidRPr="000639C2" w:rsidRDefault="00CA3006" w:rsidP="00CA3006">
      <w:pPr>
        <w:widowControl/>
        <w:numPr>
          <w:ilvl w:val="0"/>
          <w:numId w:val="1"/>
        </w:numPr>
        <w:overflowPunct/>
        <w:spacing w:after="120"/>
        <w:ind w:left="360"/>
        <w:jc w:val="both"/>
        <w:rPr>
          <w:color w:val="000000"/>
        </w:rPr>
      </w:pPr>
      <w:r w:rsidRPr="000639C2">
        <w:t>Jsme odpovědni za navržení, zavedení a provoz vnitřního kontrolního systému, jehož cílem je zamezit výskytu podvodů a chyb a případné podvody a chyby odhalovat</w:t>
      </w:r>
      <w:r w:rsidRPr="000639C2">
        <w:rPr>
          <w:color w:val="000000"/>
        </w:rPr>
        <w:t>.</w:t>
      </w:r>
    </w:p>
    <w:p w:rsidR="00CA3006" w:rsidRPr="000639C2" w:rsidRDefault="00CA3006" w:rsidP="00CA3006">
      <w:pPr>
        <w:widowControl/>
        <w:numPr>
          <w:ilvl w:val="0"/>
          <w:numId w:val="1"/>
        </w:numPr>
        <w:overflowPunct/>
        <w:spacing w:after="120"/>
        <w:ind w:left="360"/>
        <w:jc w:val="both"/>
        <w:rPr>
          <w:color w:val="000000"/>
        </w:rPr>
      </w:pPr>
      <w:r w:rsidRPr="000639C2">
        <w:rPr>
          <w:color w:val="000000"/>
        </w:rPr>
        <w:t>U členů zastupitelstva a rady</w:t>
      </w:r>
      <w:r>
        <w:rPr>
          <w:color w:val="000000"/>
        </w:rPr>
        <w:t xml:space="preserve"> </w:t>
      </w:r>
      <w:r w:rsidRPr="000639C2">
        <w:rPr>
          <w:color w:val="000000"/>
        </w:rPr>
        <w:t xml:space="preserve">nebo zaměstnanců </w:t>
      </w:r>
      <w:r>
        <w:rPr>
          <w:color w:val="000000"/>
        </w:rPr>
        <w:t>úřadu</w:t>
      </w:r>
      <w:r w:rsidRPr="000639C2">
        <w:rPr>
          <w:color w:val="000000"/>
        </w:rPr>
        <w:t xml:space="preserve">, kteří mají významnou úlohu v systému vnitřních kontrol, se nevyskytly žádné skutečnosti (nedostatečné personální obsazení odboru kontrolních činností, nedostatečná kvalifikace osob provádějících kontroly, zjištěná osobní selhání při provádění kontrol apod.), které by mohly mít významný dopad na </w:t>
      </w:r>
      <w:r>
        <w:rPr>
          <w:color w:val="000000"/>
        </w:rPr>
        <w:t xml:space="preserve">hospodaření a na </w:t>
      </w:r>
      <w:r w:rsidRPr="000639C2">
        <w:rPr>
          <w:color w:val="000000"/>
        </w:rPr>
        <w:t>přípravu účetní závěrky</w:t>
      </w:r>
      <w:r w:rsidRPr="002303A1">
        <w:rPr>
          <w:color w:val="000000"/>
        </w:rPr>
        <w:t>, finančního výkazu</w:t>
      </w:r>
      <w:r w:rsidRPr="000639C2">
        <w:rPr>
          <w:color w:val="000000"/>
        </w:rPr>
        <w:t xml:space="preserve"> a na výsledek hospodaření.</w:t>
      </w:r>
    </w:p>
    <w:p w:rsidR="00CA3006" w:rsidRPr="006D34ED" w:rsidRDefault="00CA3006" w:rsidP="00CA3006">
      <w:pPr>
        <w:numPr>
          <w:ilvl w:val="0"/>
          <w:numId w:val="1"/>
        </w:numPr>
        <w:jc w:val="both"/>
      </w:pPr>
      <w:r w:rsidRPr="000639C2">
        <w:rPr>
          <w:color w:val="000000"/>
        </w:rPr>
        <w:t>Nejsme si vědomi žádných významných nedodržení zákona č. 13</w:t>
      </w:r>
      <w:r>
        <w:rPr>
          <w:color w:val="000000"/>
        </w:rPr>
        <w:t>4</w:t>
      </w:r>
      <w:r w:rsidRPr="000639C2">
        <w:rPr>
          <w:color w:val="000000"/>
        </w:rPr>
        <w:t>/20</w:t>
      </w:r>
      <w:r>
        <w:rPr>
          <w:color w:val="000000"/>
        </w:rPr>
        <w:t>1</w:t>
      </w:r>
      <w:r w:rsidRPr="000639C2">
        <w:rPr>
          <w:color w:val="000000"/>
        </w:rPr>
        <w:t xml:space="preserve">6 Sb., o </w:t>
      </w:r>
      <w:r>
        <w:rPr>
          <w:color w:val="000000"/>
        </w:rPr>
        <w:t xml:space="preserve">zadávání </w:t>
      </w:r>
      <w:r w:rsidRPr="000639C2">
        <w:rPr>
          <w:color w:val="000000"/>
        </w:rPr>
        <w:t>veřejných zakáz</w:t>
      </w:r>
      <w:r>
        <w:rPr>
          <w:color w:val="000000"/>
        </w:rPr>
        <w:t>e</w:t>
      </w:r>
      <w:r w:rsidRPr="000639C2">
        <w:rPr>
          <w:color w:val="000000"/>
        </w:rPr>
        <w:t>k, ve znění pozdějších předpisů nebo porušení vnitřních předpisů týkajících se zadávání veřejných zakázek</w:t>
      </w:r>
      <w:r>
        <w:rPr>
          <w:color w:val="000000"/>
        </w:rPr>
        <w:t>, kromě těch, která jsou uvedena v účetní závěrce</w:t>
      </w:r>
      <w:r w:rsidRPr="000639C2">
        <w:rPr>
          <w:color w:val="000000"/>
        </w:rPr>
        <w:t>.</w:t>
      </w:r>
    </w:p>
    <w:p w:rsidR="006D34ED" w:rsidRPr="0081383E" w:rsidRDefault="006D34ED" w:rsidP="006D34ED">
      <w:pPr>
        <w:ind w:left="397"/>
        <w:jc w:val="both"/>
        <w:rPr>
          <w:sz w:val="18"/>
          <w:szCs w:val="18"/>
        </w:rPr>
      </w:pPr>
    </w:p>
    <w:p w:rsidR="00CA3006" w:rsidRDefault="00CA3006" w:rsidP="00CA3006">
      <w:pPr>
        <w:widowControl/>
        <w:numPr>
          <w:ilvl w:val="0"/>
          <w:numId w:val="1"/>
        </w:numPr>
        <w:overflowPunct/>
        <w:autoSpaceDE/>
        <w:autoSpaceDN/>
        <w:adjustRightInd/>
        <w:spacing w:after="120"/>
        <w:jc w:val="both"/>
        <w:rPr>
          <w:lang w:eastAsia="ko-KR"/>
        </w:rPr>
      </w:pPr>
      <w:r>
        <w:t>Fakultní nemocnice Olomouc</w:t>
      </w:r>
      <w:r w:rsidRPr="000639C2">
        <w:t xml:space="preserve"> </w:t>
      </w:r>
      <w:r w:rsidRPr="000639C2">
        <w:rPr>
          <w:lang w:eastAsia="ko-KR"/>
        </w:rPr>
        <w:t xml:space="preserve">splňuje všechny požadavky smluv, jejichž nedodržení může mít významný vliv na </w:t>
      </w:r>
      <w:r>
        <w:rPr>
          <w:lang w:eastAsia="ko-KR"/>
        </w:rPr>
        <w:t xml:space="preserve">hospodaření </w:t>
      </w:r>
      <w:r w:rsidRPr="005E7654">
        <w:t>a na sestavení</w:t>
      </w:r>
      <w:r>
        <w:rPr>
          <w:b/>
          <w:i/>
        </w:rPr>
        <w:t xml:space="preserve"> </w:t>
      </w:r>
      <w:r w:rsidRPr="000639C2">
        <w:rPr>
          <w:lang w:eastAsia="ko-KR"/>
        </w:rPr>
        <w:t>účetní závěrk</w:t>
      </w:r>
      <w:r>
        <w:rPr>
          <w:lang w:eastAsia="ko-KR"/>
        </w:rPr>
        <w:t>y</w:t>
      </w:r>
      <w:r w:rsidRPr="000639C2">
        <w:rPr>
          <w:lang w:eastAsia="ko-KR"/>
        </w:rPr>
        <w:t xml:space="preserve"> </w:t>
      </w:r>
      <w:r w:rsidRPr="002303A1">
        <w:rPr>
          <w:lang w:eastAsia="ko-KR"/>
        </w:rPr>
        <w:t>a finančního výkazu.</w:t>
      </w:r>
    </w:p>
    <w:p w:rsidR="00CA3006" w:rsidRDefault="00CA3006" w:rsidP="00CA3006">
      <w:pPr>
        <w:widowControl/>
        <w:overflowPunct/>
        <w:autoSpaceDE/>
        <w:autoSpaceDN/>
        <w:adjustRightInd/>
        <w:spacing w:after="120"/>
        <w:jc w:val="both"/>
        <w:rPr>
          <w:lang w:eastAsia="ko-KR"/>
        </w:rPr>
      </w:pPr>
    </w:p>
    <w:p w:rsidR="00CA3006" w:rsidRPr="000639C2" w:rsidRDefault="00CA3006" w:rsidP="00CA3006">
      <w:pPr>
        <w:widowControl/>
        <w:overflowPunct/>
        <w:autoSpaceDE/>
        <w:autoSpaceDN/>
        <w:adjustRightInd/>
        <w:spacing w:after="120"/>
        <w:jc w:val="both"/>
        <w:rPr>
          <w:lang w:eastAsia="ko-KR"/>
        </w:rPr>
      </w:pPr>
    </w:p>
    <w:p w:rsidR="00CA3006" w:rsidRPr="000639C2" w:rsidRDefault="00CA3006" w:rsidP="00CA3006">
      <w:pPr>
        <w:widowControl/>
        <w:numPr>
          <w:ilvl w:val="0"/>
          <w:numId w:val="1"/>
        </w:numPr>
        <w:overflowPunct/>
        <w:spacing w:after="120"/>
        <w:jc w:val="both"/>
        <w:rPr>
          <w:color w:val="000000"/>
        </w:rPr>
      </w:pPr>
      <w:r w:rsidRPr="000639C2">
        <w:rPr>
          <w:color w:val="000000"/>
        </w:rPr>
        <w:t>Informovali jsme vás o všech významných</w:t>
      </w:r>
      <w:r>
        <w:rPr>
          <w:color w:val="000000"/>
        </w:rPr>
        <w:t xml:space="preserve"> daňových</w:t>
      </w:r>
      <w:r w:rsidRPr="000639C2">
        <w:rPr>
          <w:color w:val="000000"/>
        </w:rPr>
        <w:t xml:space="preserve"> rizicích, kterých jsme si vědomi</w:t>
      </w:r>
      <w:r>
        <w:rPr>
          <w:color w:val="000000"/>
        </w:rPr>
        <w:t>, která nám plynou jako plátci daní</w:t>
      </w:r>
      <w:r w:rsidRPr="000639C2">
        <w:rPr>
          <w:color w:val="000000"/>
        </w:rPr>
        <w:t>.</w:t>
      </w:r>
    </w:p>
    <w:p w:rsidR="00CA3006" w:rsidRPr="000639C2" w:rsidRDefault="00CA3006" w:rsidP="00CA3006">
      <w:pPr>
        <w:widowControl/>
        <w:numPr>
          <w:ilvl w:val="0"/>
          <w:numId w:val="1"/>
        </w:numPr>
        <w:overflowPunct/>
        <w:spacing w:after="120"/>
        <w:jc w:val="both"/>
        <w:rPr>
          <w:color w:val="000000"/>
        </w:rPr>
      </w:pPr>
      <w:r w:rsidRPr="000639C2">
        <w:rPr>
          <w:color w:val="000000"/>
        </w:rPr>
        <w:t xml:space="preserve">Veškeré příjmy a výdaje jsou zachyceny ve </w:t>
      </w:r>
      <w:r w:rsidRPr="002303A1">
        <w:rPr>
          <w:color w:val="000000"/>
        </w:rPr>
        <w:t>finančním výkazu</w:t>
      </w:r>
      <w:r w:rsidRPr="000639C2">
        <w:rPr>
          <w:color w:val="000000"/>
        </w:rPr>
        <w:t>. Rozpočtové výdaje byly vynaloženy v souladu se schváleným a upraveným rozpočtem. Nejsme si vědomi žádného porušení rozpočtové kázně.</w:t>
      </w:r>
    </w:p>
    <w:p w:rsidR="00CA3006" w:rsidRPr="000639C2" w:rsidRDefault="00CA3006" w:rsidP="00CA3006">
      <w:pPr>
        <w:widowControl/>
        <w:numPr>
          <w:ilvl w:val="0"/>
          <w:numId w:val="1"/>
        </w:numPr>
        <w:overflowPunct/>
        <w:spacing w:after="120"/>
        <w:jc w:val="both"/>
        <w:rPr>
          <w:color w:val="000000"/>
        </w:rPr>
      </w:pPr>
      <w:r>
        <w:t>Fakultní nemocnice Olomouc</w:t>
      </w:r>
      <w:r w:rsidRPr="000639C2">
        <w:t xml:space="preserve"> </w:t>
      </w:r>
      <w:r w:rsidRPr="000639C2">
        <w:rPr>
          <w:color w:val="000000"/>
        </w:rPr>
        <w:t>nemá podíly na základním kapitálu v žádných jiných společnostech kromě těch, které jsou uvedeny v účetní závěrce.</w:t>
      </w:r>
    </w:p>
    <w:p w:rsidR="00CA3006" w:rsidRDefault="00CA3006" w:rsidP="00CA3006">
      <w:pPr>
        <w:widowControl/>
        <w:numPr>
          <w:ilvl w:val="0"/>
          <w:numId w:val="1"/>
        </w:numPr>
        <w:overflowPunct/>
        <w:spacing w:after="120"/>
        <w:jc w:val="both"/>
        <w:rPr>
          <w:color w:val="000000"/>
        </w:rPr>
      </w:pPr>
      <w:r w:rsidRPr="00530813">
        <w:rPr>
          <w:color w:val="000000"/>
        </w:rPr>
        <w:t>Ne</w:t>
      </w:r>
      <w:r w:rsidRPr="00602CFF">
        <w:rPr>
          <w:color w:val="000000"/>
        </w:rPr>
        <w:t>existují jiná zástavní práva, eventu</w:t>
      </w:r>
      <w:r>
        <w:rPr>
          <w:color w:val="000000"/>
        </w:rPr>
        <w:t>álně další břemena</w:t>
      </w:r>
      <w:r w:rsidRPr="00602CFF">
        <w:rPr>
          <w:color w:val="000000"/>
        </w:rPr>
        <w:t xml:space="preserve"> než </w:t>
      </w:r>
      <w:r>
        <w:rPr>
          <w:color w:val="000000"/>
        </w:rPr>
        <w:t>ta, která jsou uvedená v účetní závěrce</w:t>
      </w:r>
      <w:r w:rsidRPr="00602CFF">
        <w:rPr>
          <w:color w:val="000000"/>
        </w:rPr>
        <w:t xml:space="preserve">. </w:t>
      </w:r>
    </w:p>
    <w:p w:rsidR="00CA3006" w:rsidRDefault="00CA3006" w:rsidP="00CA3006">
      <w:pPr>
        <w:widowControl/>
        <w:numPr>
          <w:ilvl w:val="0"/>
          <w:numId w:val="1"/>
        </w:numPr>
        <w:overflowPunct/>
        <w:spacing w:after="120"/>
        <w:jc w:val="both"/>
        <w:rPr>
          <w:color w:val="000000"/>
        </w:rPr>
      </w:pPr>
      <w:r w:rsidRPr="00602CFF">
        <w:rPr>
          <w:color w:val="000000"/>
        </w:rPr>
        <w:t>Veškerý majetek, k němuž má</w:t>
      </w:r>
      <w:r>
        <w:rPr>
          <w:color w:val="000000"/>
        </w:rPr>
        <w:t xml:space="preserve"> </w:t>
      </w:r>
      <w:r>
        <w:t xml:space="preserve">Fakultní nemocnice Olomouc </w:t>
      </w:r>
      <w:r w:rsidRPr="00602CFF">
        <w:rPr>
          <w:color w:val="000000"/>
        </w:rPr>
        <w:t>vlastnické právo, je uveden v účetní závěrce</w:t>
      </w:r>
      <w:r>
        <w:rPr>
          <w:color w:val="000000"/>
        </w:rPr>
        <w:t xml:space="preserve">. </w:t>
      </w:r>
    </w:p>
    <w:p w:rsidR="00CA3006" w:rsidRPr="00602CFF" w:rsidRDefault="00CA3006" w:rsidP="00CA3006">
      <w:pPr>
        <w:widowControl/>
        <w:numPr>
          <w:ilvl w:val="0"/>
          <w:numId w:val="1"/>
        </w:numPr>
        <w:overflowPunct/>
        <w:spacing w:after="120"/>
        <w:jc w:val="both"/>
        <w:rPr>
          <w:color w:val="000000"/>
        </w:rPr>
      </w:pPr>
      <w:r>
        <w:rPr>
          <w:color w:val="000000"/>
        </w:rPr>
        <w:t xml:space="preserve">Majetek státu, s nímž má </w:t>
      </w:r>
      <w:r>
        <w:t>Fakultní nemocnice Olomouc</w:t>
      </w:r>
      <w:r>
        <w:rPr>
          <w:b/>
          <w:i/>
          <w:color w:val="000000"/>
        </w:rPr>
        <w:t xml:space="preserve"> </w:t>
      </w:r>
      <w:r w:rsidRPr="00A11825">
        <w:rPr>
          <w:color w:val="000000"/>
        </w:rPr>
        <w:t xml:space="preserve">právo </w:t>
      </w:r>
      <w:r>
        <w:rPr>
          <w:color w:val="000000"/>
        </w:rPr>
        <w:t>hospodaření</w:t>
      </w:r>
      <w:r w:rsidRPr="00612325">
        <w:rPr>
          <w:color w:val="000000"/>
        </w:rPr>
        <w:t>,</w:t>
      </w:r>
      <w:r>
        <w:rPr>
          <w:color w:val="000000"/>
        </w:rPr>
        <w:t xml:space="preserve"> je zachycen v účetní závěrce</w:t>
      </w:r>
      <w:r>
        <w:rPr>
          <w:rStyle w:val="Znakapoznpodarou"/>
          <w:color w:val="000000"/>
        </w:rPr>
        <w:footnoteReference w:id="5"/>
      </w:r>
      <w:r>
        <w:rPr>
          <w:color w:val="000000"/>
        </w:rPr>
        <w:t>.</w:t>
      </w:r>
    </w:p>
    <w:p w:rsidR="00CA3006" w:rsidRPr="00602CFF" w:rsidRDefault="00CA3006" w:rsidP="00CA3006">
      <w:pPr>
        <w:widowControl/>
        <w:numPr>
          <w:ilvl w:val="0"/>
          <w:numId w:val="1"/>
        </w:numPr>
        <w:overflowPunct/>
        <w:spacing w:after="120"/>
        <w:jc w:val="both"/>
        <w:rPr>
          <w:color w:val="000000"/>
        </w:rPr>
      </w:pPr>
      <w:r>
        <w:rPr>
          <w:color w:val="000000"/>
        </w:rPr>
        <w:t>P</w:t>
      </w:r>
      <w:r w:rsidRPr="00602CFF">
        <w:rPr>
          <w:color w:val="000000"/>
        </w:rPr>
        <w:t xml:space="preserve">ředložili </w:t>
      </w:r>
      <w:r>
        <w:rPr>
          <w:color w:val="000000"/>
        </w:rPr>
        <w:t xml:space="preserve">jsme vám </w:t>
      </w:r>
      <w:r w:rsidRPr="00602CFF">
        <w:rPr>
          <w:color w:val="000000"/>
        </w:rPr>
        <w:t xml:space="preserve">veškeré informace o pohledávkách </w:t>
      </w:r>
      <w:r>
        <w:rPr>
          <w:color w:val="000000"/>
        </w:rPr>
        <w:t xml:space="preserve">a závazcích </w:t>
      </w:r>
      <w:r w:rsidRPr="00602CFF">
        <w:rPr>
          <w:color w:val="000000"/>
        </w:rPr>
        <w:t>po lhůtě splatnosti</w:t>
      </w:r>
      <w:r>
        <w:rPr>
          <w:color w:val="000000"/>
        </w:rPr>
        <w:t>.</w:t>
      </w:r>
    </w:p>
    <w:p w:rsidR="00CA3006" w:rsidRPr="00602CFF" w:rsidRDefault="00CA3006" w:rsidP="00CA3006">
      <w:pPr>
        <w:widowControl/>
        <w:numPr>
          <w:ilvl w:val="0"/>
          <w:numId w:val="1"/>
        </w:numPr>
        <w:overflowPunct/>
        <w:spacing w:after="120"/>
        <w:jc w:val="both"/>
        <w:rPr>
          <w:color w:val="000000"/>
        </w:rPr>
      </w:pPr>
      <w:r>
        <w:rPr>
          <w:color w:val="000000"/>
        </w:rPr>
        <w:t>V</w:t>
      </w:r>
      <w:r w:rsidRPr="00602CFF">
        <w:rPr>
          <w:color w:val="000000"/>
        </w:rPr>
        <w:t xml:space="preserve">eškeré </w:t>
      </w:r>
      <w:r>
        <w:rPr>
          <w:color w:val="000000"/>
        </w:rPr>
        <w:t xml:space="preserve">nám známé </w:t>
      </w:r>
      <w:r w:rsidRPr="00602CFF">
        <w:rPr>
          <w:color w:val="000000"/>
        </w:rPr>
        <w:t xml:space="preserve">závazky včetně směnečných jsou </w:t>
      </w:r>
      <w:r>
        <w:rPr>
          <w:color w:val="000000"/>
        </w:rPr>
        <w:t>řádně vykázány v účetní závěrce.</w:t>
      </w:r>
    </w:p>
    <w:p w:rsidR="00CA3006" w:rsidRDefault="00CA3006" w:rsidP="00CA3006">
      <w:pPr>
        <w:widowControl/>
        <w:numPr>
          <w:ilvl w:val="0"/>
          <w:numId w:val="1"/>
        </w:numPr>
        <w:overflowPunct/>
        <w:spacing w:after="120"/>
        <w:jc w:val="both"/>
        <w:rPr>
          <w:color w:val="000000"/>
        </w:rPr>
      </w:pPr>
      <w:r>
        <w:rPr>
          <w:color w:val="000000"/>
        </w:rPr>
        <w:t>N</w:t>
      </w:r>
      <w:r w:rsidRPr="00602CFF">
        <w:rPr>
          <w:color w:val="000000"/>
        </w:rPr>
        <w:t>eexistují žádné další významné závazky</w:t>
      </w:r>
      <w:r>
        <w:rPr>
          <w:color w:val="000000"/>
        </w:rPr>
        <w:t xml:space="preserve"> a pohledávky (resp. náklady a výnosy</w:t>
      </w:r>
      <w:r w:rsidRPr="00602CFF">
        <w:rPr>
          <w:color w:val="000000"/>
        </w:rPr>
        <w:t>), které vyžadují časové rozlišení nebo uve</w:t>
      </w:r>
      <w:r>
        <w:rPr>
          <w:color w:val="000000"/>
        </w:rPr>
        <w:t>dení v účetní závěrce.</w:t>
      </w:r>
    </w:p>
    <w:p w:rsidR="00CA3006" w:rsidRPr="00F54B70" w:rsidRDefault="00CA3006" w:rsidP="00CA3006">
      <w:pPr>
        <w:widowControl/>
        <w:numPr>
          <w:ilvl w:val="0"/>
          <w:numId w:val="1"/>
        </w:numPr>
        <w:overflowPunct/>
        <w:spacing w:after="120"/>
        <w:jc w:val="both"/>
      </w:pPr>
      <w:r w:rsidRPr="00F54B70">
        <w:t xml:space="preserve">Veškerý majetek určený k prodeji </w:t>
      </w:r>
      <w:r>
        <w:t xml:space="preserve">(kromě zásob) </w:t>
      </w:r>
      <w:r w:rsidRPr="00F54B70">
        <w:t xml:space="preserve">jsme přecenili k rozvahovému dni reálnou hodnotou. </w:t>
      </w:r>
    </w:p>
    <w:p w:rsidR="00CA3006" w:rsidRDefault="00CA3006" w:rsidP="00CA3006">
      <w:pPr>
        <w:widowControl/>
        <w:numPr>
          <w:ilvl w:val="0"/>
          <w:numId w:val="1"/>
        </w:numPr>
        <w:overflowPunct/>
        <w:spacing w:after="120"/>
        <w:jc w:val="both"/>
        <w:rPr>
          <w:color w:val="000000"/>
        </w:rPr>
      </w:pPr>
      <w:r w:rsidRPr="000639C2">
        <w:rPr>
          <w:color w:val="000000"/>
        </w:rPr>
        <w:t xml:space="preserve">Vztahy a transakce </w:t>
      </w:r>
      <w:r w:rsidRPr="00F54B70">
        <w:rPr>
          <w:color w:val="000000"/>
        </w:rPr>
        <w:t>s ostatními veřejnými rozpočty</w:t>
      </w:r>
      <w:r w:rsidRPr="000639C2">
        <w:rPr>
          <w:color w:val="000000"/>
        </w:rPr>
        <w:t xml:space="preserve"> byl</w:t>
      </w:r>
      <w:r>
        <w:rPr>
          <w:color w:val="000000"/>
        </w:rPr>
        <w:t>y vhodným způsobem zaúčtovány a </w:t>
      </w:r>
      <w:r w:rsidRPr="000639C2">
        <w:rPr>
          <w:color w:val="000000"/>
        </w:rPr>
        <w:t xml:space="preserve">zveřejněny v souladu s požadavky </w:t>
      </w:r>
      <w:r w:rsidRPr="000639C2">
        <w:t>výše uvedeného rámce účetního výkaznictví</w:t>
      </w:r>
      <w:r w:rsidRPr="000639C2">
        <w:rPr>
          <w:color w:val="000000"/>
        </w:rPr>
        <w:t>.</w:t>
      </w:r>
    </w:p>
    <w:p w:rsidR="00CA3006" w:rsidRDefault="00CA3006" w:rsidP="00CA3006">
      <w:pPr>
        <w:numPr>
          <w:ilvl w:val="0"/>
          <w:numId w:val="1"/>
        </w:numPr>
        <w:jc w:val="both"/>
      </w:pPr>
      <w:r>
        <w:rPr>
          <w:color w:val="000000"/>
        </w:rPr>
        <w:t>Poskytli jsme vám všechny zápisy z </w:t>
      </w:r>
      <w:r>
        <w:t>jednání vedení příspěvkové organizace</w:t>
      </w:r>
      <w:r w:rsidRPr="00324B46">
        <w:t>.</w:t>
      </w:r>
      <w:r>
        <w:t xml:space="preserve">  </w:t>
      </w:r>
    </w:p>
    <w:p w:rsidR="00CA3006" w:rsidRDefault="00CA3006" w:rsidP="00CA3006"/>
    <w:p w:rsidR="00CA3006" w:rsidRDefault="00CA3006" w:rsidP="00CA3006"/>
    <w:p w:rsidR="00CA3006" w:rsidRDefault="00CA3006" w:rsidP="00CA3006"/>
    <w:p w:rsidR="00CA3006" w:rsidRDefault="00CA3006" w:rsidP="00CA3006"/>
    <w:p w:rsidR="00CA3006" w:rsidRDefault="00CA3006" w:rsidP="00CA3006"/>
    <w:p w:rsidR="00CA3006" w:rsidRDefault="00CA3006" w:rsidP="00CA3006"/>
    <w:p w:rsidR="00CA3006" w:rsidRDefault="00CA3006" w:rsidP="00CA3006"/>
    <w:p w:rsidR="00CA3006" w:rsidRDefault="00CA3006" w:rsidP="00CA3006">
      <w:r>
        <w:t xml:space="preserve">           </w:t>
      </w:r>
      <w:r>
        <w:tab/>
      </w:r>
      <w:r>
        <w:tab/>
      </w:r>
      <w:r>
        <w:tab/>
        <w:t xml:space="preserve">      </w:t>
      </w:r>
      <w:r w:rsidR="00AB0F67">
        <w:t>p</w:t>
      </w:r>
      <w:r>
        <w:t>rof. MUDr. Roman Havlík, Ph.D.</w:t>
      </w:r>
    </w:p>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3142"/>
        <w:gridCol w:w="697"/>
      </w:tblGrid>
      <w:tr w:rsidR="00CA3006" w:rsidTr="006D34ED">
        <w:trPr>
          <w:jc w:val="center"/>
        </w:trPr>
        <w:tc>
          <w:tcPr>
            <w:tcW w:w="696" w:type="dxa"/>
            <w:tcBorders>
              <w:top w:val="nil"/>
              <w:left w:val="nil"/>
              <w:bottom w:val="nil"/>
              <w:right w:val="nil"/>
            </w:tcBorders>
            <w:vAlign w:val="center"/>
          </w:tcPr>
          <w:p w:rsidR="00CA3006" w:rsidRDefault="00CA3006" w:rsidP="006D34ED">
            <w:pPr>
              <w:jc w:val="center"/>
              <w:rPr>
                <w:highlight w:val="cyan"/>
              </w:rPr>
            </w:pPr>
          </w:p>
        </w:tc>
        <w:tc>
          <w:tcPr>
            <w:tcW w:w="3142" w:type="dxa"/>
            <w:tcBorders>
              <w:top w:val="dotted" w:sz="4" w:space="0" w:color="auto"/>
              <w:left w:val="nil"/>
              <w:bottom w:val="nil"/>
              <w:right w:val="nil"/>
            </w:tcBorders>
            <w:vAlign w:val="center"/>
          </w:tcPr>
          <w:p w:rsidR="00CA3006" w:rsidRPr="00F269E3" w:rsidRDefault="00CA3006" w:rsidP="006D34ED">
            <w:pPr>
              <w:jc w:val="center"/>
            </w:pPr>
            <w:r w:rsidRPr="00F269E3">
              <w:t>ředitel Fakultní nemocnice Olomouc</w:t>
            </w:r>
          </w:p>
        </w:tc>
        <w:tc>
          <w:tcPr>
            <w:tcW w:w="697" w:type="dxa"/>
            <w:tcBorders>
              <w:top w:val="nil"/>
              <w:left w:val="nil"/>
              <w:bottom w:val="nil"/>
              <w:right w:val="nil"/>
            </w:tcBorders>
            <w:vAlign w:val="center"/>
          </w:tcPr>
          <w:p w:rsidR="00CA3006" w:rsidRPr="00F269E3" w:rsidRDefault="00CA3006" w:rsidP="006D34ED">
            <w:pPr>
              <w:jc w:val="center"/>
            </w:pPr>
          </w:p>
        </w:tc>
      </w:tr>
    </w:tbl>
    <w:p w:rsidR="00CA3006" w:rsidRDefault="00CA3006" w:rsidP="00CA3006"/>
    <w:p w:rsidR="00CA3006" w:rsidRDefault="00CA3006" w:rsidP="00CA3006"/>
    <w:p w:rsidR="00CA3006" w:rsidRDefault="00CA3006" w:rsidP="00CA3006"/>
    <w:p w:rsidR="00CA3006" w:rsidRDefault="00CA3006" w:rsidP="00CA3006"/>
    <w:p w:rsidR="00CA3006" w:rsidRDefault="00CA3006" w:rsidP="00CA3006"/>
    <w:p w:rsidR="00FD042F" w:rsidRPr="00F21739" w:rsidRDefault="00FD042F" w:rsidP="00F21739"/>
    <w:sectPr w:rsidR="00FD042F" w:rsidRPr="00F21739" w:rsidSect="00FD042F">
      <w:headerReference w:type="default" r:id="rId7"/>
      <w:footerReference w:type="default" r:id="rId8"/>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4ED" w:rsidRDefault="006D34ED" w:rsidP="00FD042F">
      <w:r>
        <w:separator/>
      </w:r>
    </w:p>
  </w:endnote>
  <w:endnote w:type="continuationSeparator" w:id="0">
    <w:p w:rsidR="006D34ED" w:rsidRDefault="006D34ED" w:rsidP="00FD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D" w:rsidRPr="006C5BA2" w:rsidRDefault="00BF3F44" w:rsidP="00FD042F">
    <w:pPr>
      <w:tabs>
        <w:tab w:val="left" w:pos="2268"/>
        <w:tab w:val="left" w:pos="4678"/>
        <w:tab w:val="left" w:pos="7088"/>
      </w:tabs>
      <w:rPr>
        <w:rFonts w:ascii="Calibri" w:hAnsi="Calibri"/>
        <w:color w:val="1D1D1B"/>
        <w:sz w:val="15"/>
      </w:rPr>
    </w:pPr>
    <w:r w:rsidRPr="00BF3F44">
      <w:rPr>
        <w:rFonts w:ascii="Calibri" w:hAnsi="Calibri"/>
        <w:noProof/>
        <w:color w:val="706F6F"/>
        <w:sz w:val="22"/>
      </w:rPr>
      <w:pict>
        <v:line id="_x0000_s2051" style="position:absolute;z-index:251663360;mso-position-horizontal-relative:page" from="17.85pt,-215.8pt" to="31.85pt,-215.8pt" strokecolor="#5ca6c0" strokeweight=".16792mm">
          <w10:wrap anchorx="page"/>
          <w10:anchorlock/>
        </v:line>
      </w:pict>
    </w:r>
    <w:r w:rsidRPr="00BF3F44">
      <w:rPr>
        <w:rFonts w:ascii="Calibri" w:hAnsi="Calibri"/>
        <w:noProof/>
        <w:color w:val="706F6F"/>
        <w:sz w:val="22"/>
      </w:rPr>
      <w:pict>
        <v:line id="_x0000_s2050" style="position:absolute;z-index:251662336;mso-position-horizontal-relative:page" from="17.85pt,-497.45pt" to="31.85pt,-497.45pt" strokecolor="#5ca6c0" strokeweight=".16792mm">
          <w10:wrap anchorx="page"/>
          <w10:anchorlock/>
        </v:line>
      </w:pict>
    </w:r>
    <w:r w:rsidRPr="00BF3F44">
      <w:rPr>
        <w:rFonts w:ascii="Calibri" w:hAnsi="Calibri"/>
        <w:color w:val="706F6F"/>
        <w:sz w:val="22"/>
      </w:rPr>
      <w:pict>
        <v:line id="_x0000_s2049" style="position:absolute;z-index:251661312;mso-wrap-distance-left:0;mso-wrap-distance-right:0;mso-position-horizontal-relative:page" from="104.05pt,-4.95pt" to="515.65pt,-4.95pt" strokecolor="#5ca6c0" strokeweight=".77717mm">
          <w10:wrap type="topAndBottom" anchorx="page"/>
        </v:line>
      </w:pict>
    </w:r>
    <w:r w:rsidR="006D34ED" w:rsidRPr="006C5BA2">
      <w:rPr>
        <w:rFonts w:ascii="Calibri" w:hAnsi="Calibri"/>
        <w:color w:val="706F6F"/>
        <w:sz w:val="15"/>
      </w:rPr>
      <w:t>I. P. Pavlova 185/6</w:t>
    </w:r>
    <w:r w:rsidR="006D34ED" w:rsidRPr="006C5BA2">
      <w:rPr>
        <w:rFonts w:ascii="Calibri" w:hAnsi="Calibri"/>
        <w:color w:val="1D1D1B"/>
        <w:sz w:val="15"/>
      </w:rPr>
      <w:t xml:space="preserve"> </w:t>
    </w:r>
    <w:r w:rsidR="006D34ED" w:rsidRPr="006C5BA2">
      <w:rPr>
        <w:rFonts w:ascii="Calibri" w:hAnsi="Calibri"/>
        <w:color w:val="1D1D1B"/>
        <w:sz w:val="15"/>
      </w:rPr>
      <w:tab/>
    </w:r>
    <w:r w:rsidR="006D34ED" w:rsidRPr="006C5BA2">
      <w:rPr>
        <w:rFonts w:ascii="Calibri" w:hAnsi="Calibri"/>
        <w:b/>
        <w:color w:val="5CA6C0"/>
        <w:sz w:val="15"/>
      </w:rPr>
      <w:t xml:space="preserve">fax: </w:t>
    </w:r>
    <w:r w:rsidR="006D34ED" w:rsidRPr="006C5BA2">
      <w:rPr>
        <w:rFonts w:ascii="Calibri" w:hAnsi="Calibri"/>
        <w:color w:val="706F6F"/>
        <w:sz w:val="15"/>
      </w:rPr>
      <w:t>+420 585 413 841</w:t>
    </w:r>
    <w:r w:rsidR="006D34ED" w:rsidRPr="006C5BA2">
      <w:rPr>
        <w:rFonts w:ascii="Calibri" w:hAnsi="Calibri"/>
        <w:color w:val="1D1D1B"/>
        <w:sz w:val="15"/>
      </w:rPr>
      <w:tab/>
    </w:r>
    <w:r w:rsidR="006D34ED" w:rsidRPr="006C5BA2">
      <w:rPr>
        <w:rFonts w:ascii="Calibri" w:hAnsi="Calibri"/>
        <w:b/>
        <w:color w:val="5CA6C0"/>
        <w:sz w:val="15"/>
      </w:rPr>
      <w:t>Bankovní spojení:</w:t>
    </w:r>
    <w:r w:rsidR="006D34ED" w:rsidRPr="006C5BA2">
      <w:rPr>
        <w:rFonts w:ascii="Calibri" w:hAnsi="Calibri"/>
        <w:b/>
        <w:color w:val="5CA6C0"/>
        <w:sz w:val="15"/>
      </w:rPr>
      <w:tab/>
      <w:t xml:space="preserve">IČ: </w:t>
    </w:r>
    <w:r w:rsidR="006D34ED" w:rsidRPr="006C5BA2">
      <w:rPr>
        <w:rFonts w:ascii="Calibri" w:hAnsi="Calibri"/>
        <w:color w:val="706F6F"/>
        <w:sz w:val="15"/>
      </w:rPr>
      <w:t>00098892</w:t>
    </w:r>
  </w:p>
  <w:p w:rsidR="006D34ED" w:rsidRPr="006C5BA2" w:rsidRDefault="006D34ED" w:rsidP="00FD042F">
    <w:pPr>
      <w:tabs>
        <w:tab w:val="left" w:pos="2268"/>
        <w:tab w:val="left" w:pos="4678"/>
        <w:tab w:val="left" w:pos="7088"/>
      </w:tabs>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6D34ED" w:rsidRPr="00FD042F" w:rsidRDefault="006D34ED" w:rsidP="00FD042F">
    <w:pPr>
      <w:tabs>
        <w:tab w:val="left" w:pos="2268"/>
        <w:tab w:val="left" w:pos="4678"/>
        <w:tab w:val="left" w:pos="7088"/>
      </w:tabs>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proofErr w:type="gramStart"/>
    <w:r w:rsidRPr="006C5BA2">
      <w:rPr>
        <w:rFonts w:ascii="Calibri" w:hAnsi="Calibri"/>
        <w:color w:val="706F6F"/>
        <w:sz w:val="15"/>
      </w:rPr>
      <w:t>č.ú</w:t>
    </w:r>
    <w:proofErr w:type="spellEnd"/>
    <w:r w:rsidRPr="006C5BA2">
      <w:rPr>
        <w:rFonts w:ascii="Calibri" w:hAnsi="Calibri"/>
        <w:color w:val="706F6F"/>
        <w:sz w:val="15"/>
      </w:rPr>
      <w:t>. 36334811/0710</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4ED" w:rsidRDefault="006D34ED" w:rsidP="00FD042F">
      <w:r>
        <w:separator/>
      </w:r>
    </w:p>
  </w:footnote>
  <w:footnote w:type="continuationSeparator" w:id="0">
    <w:p w:rsidR="006D34ED" w:rsidRDefault="006D34ED" w:rsidP="00FD042F">
      <w:r>
        <w:continuationSeparator/>
      </w:r>
    </w:p>
  </w:footnote>
  <w:footnote w:id="1">
    <w:p w:rsidR="006D34ED" w:rsidRDefault="006D34ED" w:rsidP="00CA3006">
      <w:pPr>
        <w:pStyle w:val="Textpoznpodarou"/>
      </w:pPr>
      <w:r w:rsidRPr="002303A1">
        <w:rPr>
          <w:rStyle w:val="Znakapoznpodarou"/>
        </w:rPr>
        <w:footnoteRef/>
      </w:r>
      <w:r w:rsidRPr="002303A1">
        <w:t xml:space="preserve"> Uvést pouze jména auditora dohodnutého ve smlouvě</w:t>
      </w:r>
    </w:p>
  </w:footnote>
  <w:footnote w:id="2">
    <w:p w:rsidR="006D34ED" w:rsidRDefault="006D34ED" w:rsidP="00CA3006">
      <w:pPr>
        <w:pStyle w:val="Textpoznpodarou"/>
      </w:pPr>
      <w:r w:rsidRPr="002303A1">
        <w:rPr>
          <w:rStyle w:val="Znakapoznpodarou"/>
        </w:rPr>
        <w:footnoteRef/>
      </w:r>
      <w:r w:rsidRPr="002303A1">
        <w:t xml:space="preserve"> Datum je shodné s datem uvedeným na výkazech.</w:t>
      </w:r>
    </w:p>
  </w:footnote>
  <w:footnote w:id="3">
    <w:p w:rsidR="006D34ED" w:rsidRDefault="006D34ED" w:rsidP="00CA3006">
      <w:pPr>
        <w:pStyle w:val="Textpoznpodarou"/>
      </w:pPr>
      <w:r w:rsidRPr="002303A1">
        <w:rPr>
          <w:rStyle w:val="Znakapoznpodarou"/>
        </w:rPr>
        <w:footnoteRef/>
      </w:r>
      <w:r w:rsidRPr="002303A1">
        <w:t xml:space="preserve"> Pouze v případě státní příspěvkové organizace</w:t>
      </w:r>
    </w:p>
  </w:footnote>
  <w:footnote w:id="4">
    <w:p w:rsidR="006D34ED" w:rsidRDefault="006D34ED" w:rsidP="00CA3006">
      <w:pPr>
        <w:pStyle w:val="Textpoznpodarou"/>
      </w:pPr>
      <w:r w:rsidRPr="002303A1">
        <w:rPr>
          <w:rStyle w:val="Znakapoznpodarou"/>
        </w:rPr>
        <w:footnoteRef/>
      </w:r>
      <w:r w:rsidRPr="002303A1">
        <w:t xml:space="preserve"> Viz poznámka </w:t>
      </w:r>
      <w:proofErr w:type="gramStart"/>
      <w:r w:rsidRPr="002303A1">
        <w:t>č.3</w:t>
      </w:r>
      <w:proofErr w:type="gramEnd"/>
    </w:p>
  </w:footnote>
  <w:footnote w:id="5">
    <w:p w:rsidR="006D34ED" w:rsidRDefault="006D34ED" w:rsidP="00CA3006">
      <w:pPr>
        <w:pStyle w:val="Textpoznpodarou"/>
      </w:pPr>
      <w:r>
        <w:rPr>
          <w:rStyle w:val="Znakapoznpodarou"/>
        </w:rPr>
        <w:footnoteRef/>
      </w:r>
      <w:r>
        <w:t xml:space="preserve"> Pouze v případě státní příspěvkové organizace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4ED" w:rsidRDefault="006D34ED">
    <w:pPr>
      <w:pStyle w:val="Zhlav"/>
    </w:pPr>
  </w:p>
  <w:p w:rsidR="006D34ED" w:rsidRDefault="006D34ED">
    <w:pPr>
      <w:pStyle w:val="Zhlav"/>
    </w:pPr>
    <w:r>
      <w:rPr>
        <w:noProof/>
      </w:rPr>
      <w:drawing>
        <wp:anchor distT="0" distB="0" distL="114300" distR="114300" simplePos="0" relativeHeight="251659264"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2D25"/>
    <w:multiLevelType w:val="hybridMultilevel"/>
    <w:tmpl w:val="EB78DE22"/>
    <w:lvl w:ilvl="0" w:tplc="7280FB9C">
      <w:start w:val="1"/>
      <w:numFmt w:val="decimal"/>
      <w:lvlText w:val="%1."/>
      <w:lvlJc w:val="left"/>
      <w:pPr>
        <w:tabs>
          <w:tab w:val="num" w:pos="397"/>
        </w:tabs>
        <w:ind w:left="397" w:hanging="397"/>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29457513"/>
    <w:multiLevelType w:val="hybridMultilevel"/>
    <w:tmpl w:val="52C4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042F"/>
    <w:rsid w:val="0013471D"/>
    <w:rsid w:val="001B5834"/>
    <w:rsid w:val="002831F4"/>
    <w:rsid w:val="00304CDE"/>
    <w:rsid w:val="003D12AC"/>
    <w:rsid w:val="00425732"/>
    <w:rsid w:val="004B68DC"/>
    <w:rsid w:val="00501F08"/>
    <w:rsid w:val="005A7C16"/>
    <w:rsid w:val="005C147E"/>
    <w:rsid w:val="006B359D"/>
    <w:rsid w:val="006D34ED"/>
    <w:rsid w:val="0071591E"/>
    <w:rsid w:val="0081383E"/>
    <w:rsid w:val="00944134"/>
    <w:rsid w:val="009E3DFA"/>
    <w:rsid w:val="00A2400B"/>
    <w:rsid w:val="00AB0F67"/>
    <w:rsid w:val="00AC7273"/>
    <w:rsid w:val="00BF3F44"/>
    <w:rsid w:val="00C75EC9"/>
    <w:rsid w:val="00CA3006"/>
    <w:rsid w:val="00CB5559"/>
    <w:rsid w:val="00CE3D2D"/>
    <w:rsid w:val="00D16A20"/>
    <w:rsid w:val="00D90E25"/>
    <w:rsid w:val="00F21739"/>
    <w:rsid w:val="00F246F9"/>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006"/>
    <w:pPr>
      <w:widowControl w:val="0"/>
      <w:overflowPunct w:val="0"/>
      <w:autoSpaceDE w:val="0"/>
      <w:autoSpaceDN w:val="0"/>
      <w:adjustRightInd w:val="0"/>
      <w:spacing w:after="0" w:line="240" w:lineRule="auto"/>
    </w:pPr>
    <w:rPr>
      <w:rFonts w:ascii="Times New Roman" w:eastAsia="Times New Roman" w:hAnsi="Times New Roman" w:cs="Times New Roman"/>
      <w:kern w:val="28"/>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ln"/>
    <w:uiPriority w:val="1"/>
    <w:qFormat/>
    <w:rsid w:val="005C147E"/>
    <w:pPr>
      <w:spacing w:before="50"/>
      <w:ind w:left="2085"/>
      <w:outlineLvl w:val="1"/>
    </w:pPr>
    <w:rPr>
      <w:rFonts w:ascii="Calibri" w:eastAsia="Calibri" w:hAnsi="Calibri" w:cs="Calibri"/>
      <w:b/>
      <w:bCs/>
      <w:sz w:val="25"/>
      <w:szCs w:val="25"/>
      <w:lang w:val="en-US"/>
    </w:rPr>
  </w:style>
  <w:style w:type="paragraph" w:styleId="Textpoznpodarou">
    <w:name w:val="footnote text"/>
    <w:basedOn w:val="Normln"/>
    <w:link w:val="TextpoznpodarouChar"/>
    <w:uiPriority w:val="99"/>
    <w:semiHidden/>
    <w:rsid w:val="00CA3006"/>
    <w:rPr>
      <w:sz w:val="20"/>
      <w:szCs w:val="20"/>
    </w:rPr>
  </w:style>
  <w:style w:type="character" w:customStyle="1" w:styleId="TextpoznpodarouChar">
    <w:name w:val="Text pozn. pod čarou Char"/>
    <w:basedOn w:val="Standardnpsmoodstavce"/>
    <w:link w:val="Textpoznpodarou"/>
    <w:uiPriority w:val="99"/>
    <w:semiHidden/>
    <w:rsid w:val="00CA3006"/>
    <w:rPr>
      <w:rFonts w:ascii="Times New Roman" w:eastAsia="Times New Roman" w:hAnsi="Times New Roman" w:cs="Times New Roman"/>
      <w:kern w:val="28"/>
      <w:sz w:val="20"/>
      <w:szCs w:val="20"/>
      <w:lang w:eastAsia="cs-CZ"/>
    </w:rPr>
  </w:style>
  <w:style w:type="character" w:styleId="Znakapoznpodarou">
    <w:name w:val="footnote reference"/>
    <w:basedOn w:val="Standardnpsmoodstavce"/>
    <w:uiPriority w:val="99"/>
    <w:semiHidden/>
    <w:rsid w:val="00CA3006"/>
    <w:rPr>
      <w:rFonts w:cs="Times New Roman"/>
      <w:vertAlign w:val="superscript"/>
    </w:rPr>
  </w:style>
  <w:style w:type="paragraph" w:customStyle="1" w:styleId="ListParagraph1">
    <w:name w:val="List Paragraph1"/>
    <w:basedOn w:val="Normln"/>
    <w:uiPriority w:val="34"/>
    <w:qFormat/>
    <w:rsid w:val="00CA3006"/>
    <w:pPr>
      <w:widowControl/>
      <w:overflowPunct/>
      <w:autoSpaceDE/>
      <w:autoSpaceDN/>
      <w:adjustRightInd/>
      <w:spacing w:line="360" w:lineRule="auto"/>
      <w:ind w:left="720"/>
    </w:pPr>
    <w:rPr>
      <w:kern w:val="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836</Words>
  <Characters>4935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01372</cp:lastModifiedBy>
  <cp:revision>10</cp:revision>
  <cp:lastPrinted>2017-06-15T07:20:00Z</cp:lastPrinted>
  <dcterms:created xsi:type="dcterms:W3CDTF">2017-12-05T11:33:00Z</dcterms:created>
  <dcterms:modified xsi:type="dcterms:W3CDTF">2019-02-25T09:08:00Z</dcterms:modified>
</cp:coreProperties>
</file>