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A9" w:rsidRDefault="005C2FA9" w:rsidP="005C2FA9">
      <w:pPr>
        <w:rPr>
          <w:color w:val="1F497D"/>
        </w:rPr>
      </w:pPr>
      <w:r>
        <w:rPr>
          <w:color w:val="1F497D"/>
        </w:rPr>
        <w:t>Dobrý den,</w:t>
      </w:r>
    </w:p>
    <w:p w:rsidR="005C2FA9" w:rsidRDefault="005C2FA9" w:rsidP="005C2FA9">
      <w:pPr>
        <w:rPr>
          <w:color w:val="1F497D"/>
        </w:rPr>
      </w:pPr>
    </w:p>
    <w:p w:rsidR="005C2FA9" w:rsidRDefault="005C2FA9" w:rsidP="005C2FA9">
      <w:pPr>
        <w:jc w:val="both"/>
        <w:rPr>
          <w:color w:val="1F497D"/>
        </w:rPr>
      </w:pPr>
      <w:r>
        <w:rPr>
          <w:color w:val="1F497D"/>
        </w:rPr>
        <w:t xml:space="preserve">už dříve jsem v komunikaci s firmou FIZA, když žádala seznam „reklamací“ uváděla,  že nazývání případů jednotlivých pacientů reklamacemi není  přesné. Reklamace se používá pro zcela jiné situace, zejm. v obchodním styku. Tady jde o poskytování zdravotních služeb, které má svou specifickou právní úpravu, danou především kodexem, kterým je  v medicínském právu zákon č. 372/2011 Sb., který pojem reklamace nezná. </w:t>
      </w:r>
    </w:p>
    <w:p w:rsidR="005C2FA9" w:rsidRDefault="005C2FA9" w:rsidP="005C2FA9">
      <w:pPr>
        <w:jc w:val="both"/>
        <w:rPr>
          <w:color w:val="1F497D"/>
        </w:rPr>
      </w:pPr>
      <w:r>
        <w:rPr>
          <w:color w:val="1F497D"/>
        </w:rPr>
        <w:t xml:space="preserve">Hovoříme zde o újmách na zdraví. Každý případ újmy na zdraví je naprosto jiný – svými příčinami, postupem, průběhem i důsledky. Některé byly projednávány jako stížnosti v režimu zákona o </w:t>
      </w:r>
      <w:proofErr w:type="spellStart"/>
      <w:r>
        <w:rPr>
          <w:color w:val="1F497D"/>
        </w:rPr>
        <w:t>zdr</w:t>
      </w:r>
      <w:proofErr w:type="spellEnd"/>
      <w:r>
        <w:rPr>
          <w:color w:val="1F497D"/>
        </w:rPr>
        <w:t>. službách, některé jsou řešeny v soudním řízení, které ještě stále probíhá /nejsou výjimkou i soudní řízení trvající několik let/, čili jsou to otevřené sporné věci, kdy ani z tohoto důvodu nelze sepisovat nápravná opatření.</w:t>
      </w:r>
    </w:p>
    <w:p w:rsidR="005C2FA9" w:rsidRDefault="005C2FA9" w:rsidP="005C2FA9">
      <w:pPr>
        <w:jc w:val="both"/>
        <w:rPr>
          <w:color w:val="1F497D"/>
        </w:rPr>
      </w:pPr>
      <w:r>
        <w:rPr>
          <w:color w:val="1F497D"/>
        </w:rPr>
        <w:t>Některé kauzy skončily tak, že je FNOL neuznala oprávněnými či důvodnými a zamítla je.  </w:t>
      </w:r>
    </w:p>
    <w:p w:rsidR="005C2FA9" w:rsidRDefault="005C2FA9" w:rsidP="005C2FA9">
      <w:pPr>
        <w:jc w:val="both"/>
        <w:rPr>
          <w:color w:val="1F497D"/>
        </w:rPr>
      </w:pPr>
      <w:r>
        <w:rPr>
          <w:color w:val="1F497D"/>
        </w:rPr>
        <w:t xml:space="preserve">Některé věci jsou ukončeny dohodou o narovnání – tzn. mimosoudně. </w:t>
      </w:r>
    </w:p>
    <w:p w:rsidR="005C2FA9" w:rsidRDefault="005C2FA9" w:rsidP="005C2FA9">
      <w:pPr>
        <w:jc w:val="both"/>
        <w:rPr>
          <w:color w:val="1F497D"/>
        </w:rPr>
      </w:pPr>
      <w:r>
        <w:rPr>
          <w:color w:val="1F497D"/>
        </w:rPr>
        <w:t>Některé kauzy mohou být řešeny v režimu nemocí z povolání či pracovních úrazů  a jsou hrazeny ze speciálního zákonného pojištění pro tyto účely.</w:t>
      </w:r>
    </w:p>
    <w:p w:rsidR="005C2FA9" w:rsidRDefault="005C2FA9" w:rsidP="005C2FA9">
      <w:pPr>
        <w:jc w:val="both"/>
        <w:rPr>
          <w:color w:val="1F497D"/>
        </w:rPr>
      </w:pPr>
      <w:r>
        <w:rPr>
          <w:color w:val="1F497D"/>
        </w:rPr>
        <w:t xml:space="preserve">Je zde i důvod ochrany osobních údajů subjektů, kdy ke kauzám v tabulce existuje spis ve formě údajů ze </w:t>
      </w:r>
      <w:proofErr w:type="spellStart"/>
      <w:r>
        <w:rPr>
          <w:color w:val="1F497D"/>
        </w:rPr>
        <w:t>zdr</w:t>
      </w:r>
      <w:proofErr w:type="spellEnd"/>
      <w:r>
        <w:rPr>
          <w:color w:val="1F497D"/>
        </w:rPr>
        <w:t>. dokumentace a výsledků znaleckých posudků. Tyto informace nelze poskytovat neoprávněným osobám.</w:t>
      </w:r>
    </w:p>
    <w:p w:rsidR="005C2FA9" w:rsidRDefault="005C2FA9" w:rsidP="005C2FA9">
      <w:pPr>
        <w:jc w:val="both"/>
        <w:rPr>
          <w:color w:val="1F497D"/>
        </w:rPr>
      </w:pPr>
      <w:r>
        <w:rPr>
          <w:color w:val="1F497D"/>
        </w:rPr>
        <w:t xml:space="preserve">Abychom mohli označit případ újmy na zdraví, že za ni FNOL odpovídá, potřebujeme znalecký posudek, protože pouze znalec může říct, zda konkrétní postup lékaře byl či nebyl </w:t>
      </w:r>
      <w:proofErr w:type="spellStart"/>
      <w:r>
        <w:rPr>
          <w:color w:val="1F497D"/>
        </w:rPr>
        <w:t>lege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artis</w:t>
      </w:r>
      <w:proofErr w:type="spellEnd"/>
      <w:r>
        <w:rPr>
          <w:color w:val="1F497D"/>
        </w:rPr>
        <w:t xml:space="preserve">. Často se setkáváme s kauzami, kde jsou zpracovány  3-4 znalecké posudky, každý s jiným závěrem, případně znalec sdělí, že nelze jednoznačně vůbec určit, zda šlo či nešlo o </w:t>
      </w:r>
      <w:proofErr w:type="spellStart"/>
      <w:r>
        <w:rPr>
          <w:color w:val="1F497D"/>
        </w:rPr>
        <w:t>lege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artis</w:t>
      </w:r>
      <w:proofErr w:type="spellEnd"/>
      <w:r>
        <w:rPr>
          <w:color w:val="1F497D"/>
        </w:rPr>
        <w:t>,  protože případ je hraniční a specifický.</w:t>
      </w:r>
    </w:p>
    <w:p w:rsidR="005C2FA9" w:rsidRDefault="005C2FA9" w:rsidP="005C2FA9">
      <w:pPr>
        <w:jc w:val="both"/>
        <w:rPr>
          <w:color w:val="1F497D"/>
        </w:rPr>
      </w:pPr>
    </w:p>
    <w:p w:rsidR="005C2FA9" w:rsidRDefault="005C2FA9" w:rsidP="005C2FA9">
      <w:pPr>
        <w:jc w:val="both"/>
        <w:rPr>
          <w:color w:val="1F497D"/>
        </w:rPr>
      </w:pPr>
      <w:r>
        <w:rPr>
          <w:color w:val="1F497D"/>
        </w:rPr>
        <w:t xml:space="preserve">Nemáme a nedisponujeme na právním odboru žádnými nápravami zjištěných nedostatků, toto po nás žádný z kontrolních orgánů u újem na zdraví  nepožadoval. Právník ani není odpovědná osoba ke zjištěným nedostatkům z činnosti lékařů či </w:t>
      </w:r>
      <w:proofErr w:type="spellStart"/>
      <w:r>
        <w:rPr>
          <w:color w:val="1F497D"/>
        </w:rPr>
        <w:t>nelékařů</w:t>
      </w:r>
      <w:proofErr w:type="spellEnd"/>
      <w:r>
        <w:rPr>
          <w:color w:val="1F497D"/>
        </w:rPr>
        <w:t xml:space="preserve">. Hovoříme o medicíně – tou osobou by  případně byl lékař či lékařský náměstek, právník přece nemůže vytvořit názor či závěr, jak má lékař postupovat, aby v budoucnu eliminoval případy újem na zdraví. Někdy ani nelze konkrétního lékaře přímo určit – jsou případy, kdy nelze </w:t>
      </w:r>
      <w:proofErr w:type="spellStart"/>
      <w:r>
        <w:rPr>
          <w:color w:val="1F497D"/>
        </w:rPr>
        <w:t>rozklíčovat</w:t>
      </w:r>
      <w:proofErr w:type="spellEnd"/>
      <w:r>
        <w:rPr>
          <w:color w:val="1F497D"/>
        </w:rPr>
        <w:t xml:space="preserve"> osobní odpovědnost v operačním týmu;  jsou dále případy, kdy  se na vzniku újmy podílí atypická anatomická struktura pacienta, aj. Neumíme si ani představit, jak by mělo vypadat nápravné opatření například, když lékař přetne nerv u pacienta, většinou na tuto možnost pamatují informované souhlasy, které pacient před zákrokem podepisuje a kdy je upozorněn, že některé zákroky sebou nesou rizika – i třeba přetětí nervu a nelze to označit za postup non </w:t>
      </w:r>
      <w:proofErr w:type="spellStart"/>
      <w:r>
        <w:rPr>
          <w:color w:val="1F497D"/>
        </w:rPr>
        <w:t>lege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artis</w:t>
      </w:r>
      <w:proofErr w:type="spellEnd"/>
      <w:r>
        <w:rPr>
          <w:color w:val="1F497D"/>
        </w:rPr>
        <w:t>, ale za riziko zákroku.</w:t>
      </w:r>
    </w:p>
    <w:p w:rsidR="005C2FA9" w:rsidRDefault="005C2FA9" w:rsidP="005C2FA9">
      <w:pPr>
        <w:jc w:val="both"/>
        <w:rPr>
          <w:color w:val="1F497D"/>
        </w:rPr>
      </w:pPr>
      <w:r>
        <w:rPr>
          <w:color w:val="1F497D"/>
        </w:rPr>
        <w:t>S ohledem na uvedené shledáváme požadavek pod bodem č. 91 u újem na zdraví nerelevantní.</w:t>
      </w:r>
    </w:p>
    <w:p w:rsidR="005C2FA9" w:rsidRDefault="005C2FA9" w:rsidP="005C2FA9">
      <w:pPr>
        <w:rPr>
          <w:color w:val="1F497D"/>
        </w:rPr>
      </w:pPr>
    </w:p>
    <w:p w:rsidR="005C2FA9" w:rsidRDefault="005C2FA9" w:rsidP="005C2FA9">
      <w:pPr>
        <w:rPr>
          <w:color w:val="1F497D"/>
        </w:rPr>
      </w:pPr>
      <w:r>
        <w:rPr>
          <w:color w:val="1F497D"/>
        </w:rPr>
        <w:t>S pozdravem</w:t>
      </w:r>
    </w:p>
    <w:p w:rsidR="005C2FA9" w:rsidRDefault="005C2FA9" w:rsidP="005C2FA9">
      <w:pPr>
        <w:rPr>
          <w:color w:val="1F497D"/>
        </w:rPr>
      </w:pPr>
    </w:p>
    <w:p w:rsidR="005C2FA9" w:rsidRDefault="005C2FA9" w:rsidP="005C2FA9">
      <w:pPr>
        <w:rPr>
          <w:rFonts w:ascii="Times New Roman" w:hAnsi="Times New Roman"/>
          <w:color w:val="000080"/>
          <w:sz w:val="24"/>
          <w:szCs w:val="24"/>
        </w:rPr>
      </w:pPr>
      <w:r>
        <w:rPr>
          <w:rFonts w:ascii="Arial" w:hAnsi="Arial" w:cs="Arial"/>
          <w:b/>
          <w:bCs/>
          <w:color w:val="00529C"/>
        </w:rPr>
        <w:t>Mgr. Sabina Procházková</w:t>
      </w:r>
      <w:r>
        <w:rPr>
          <w:rFonts w:ascii="Arial" w:hAnsi="Arial" w:cs="Arial"/>
          <w:b/>
          <w:bCs/>
          <w:color w:val="00529C"/>
          <w:sz w:val="18"/>
          <w:szCs w:val="18"/>
        </w:rPr>
        <w:br/>
      </w:r>
      <w:r>
        <w:rPr>
          <w:rFonts w:ascii="Arial" w:hAnsi="Arial" w:cs="Arial"/>
          <w:color w:val="00529C"/>
          <w:sz w:val="18"/>
          <w:szCs w:val="18"/>
        </w:rPr>
        <w:t>Vedoucí právního odboru</w:t>
      </w:r>
    </w:p>
    <w:tbl>
      <w:tblPr>
        <w:tblW w:w="0" w:type="auto"/>
        <w:tblInd w:w="7" w:type="dxa"/>
        <w:tblCellMar>
          <w:left w:w="0" w:type="dxa"/>
          <w:right w:w="0" w:type="dxa"/>
        </w:tblCellMar>
        <w:tblLook w:val="04A0"/>
      </w:tblPr>
      <w:tblGrid>
        <w:gridCol w:w="9065"/>
      </w:tblGrid>
      <w:tr w:rsidR="005C2FA9" w:rsidTr="005C2FA9">
        <w:tc>
          <w:tcPr>
            <w:tcW w:w="9065" w:type="dxa"/>
            <w:hideMark/>
          </w:tcPr>
          <w:p w:rsidR="005C2FA9" w:rsidRDefault="005C2FA9">
            <w:pPr>
              <w:divId w:val="495265416"/>
              <w:rPr>
                <w:rFonts w:eastAsia="Times New Roman"/>
                <w:color w:val="00529C"/>
              </w:rPr>
            </w:pPr>
            <w:r>
              <w:rPr>
                <w:rFonts w:eastAsia="Times New Roman"/>
                <w:color w:val="00529C"/>
              </w:rPr>
              <w:pict>
                <v:rect id="_x0000_i1025" style="width:444.55pt;height:.6pt" o:hrpct="980" o:hrstd="t" o:hrnoshade="t" o:hr="t" fillcolor="#00529c" stroked="f"/>
              </w:pict>
            </w:r>
          </w:p>
          <w:p w:rsidR="005C2FA9" w:rsidRDefault="005C2FA9">
            <w:pPr>
              <w:rPr>
                <w:color w:val="1F497D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align>top</wp:align>
                  </wp:positionV>
                  <wp:extent cx="1400175" cy="390525"/>
                  <wp:effectExtent l="19050" t="0" r="9525" b="0"/>
                  <wp:wrapSquare wrapText="bothSides"/>
                  <wp:docPr id="2" name="obrázek 2" descr="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color w:val="00529C"/>
                <w:sz w:val="18"/>
                <w:szCs w:val="18"/>
              </w:rPr>
              <w:t>Fakultní nemocnice Olomouc</w:t>
            </w:r>
            <w:r>
              <w:rPr>
                <w:color w:val="1F497D"/>
              </w:rPr>
              <w:t>®</w:t>
            </w:r>
            <w:r>
              <w:rPr>
                <w:rFonts w:ascii="Arial" w:hAnsi="Arial" w:cs="Arial"/>
                <w:b/>
                <w:bCs/>
                <w:color w:val="00529C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color w:val="00529C"/>
                <w:sz w:val="18"/>
                <w:szCs w:val="18"/>
              </w:rPr>
              <w:t xml:space="preserve">                                                                               </w:t>
            </w:r>
          </w:p>
          <w:p w:rsidR="005C2FA9" w:rsidRDefault="005C2FA9">
            <w:pPr>
              <w:rPr>
                <w:rFonts w:ascii="Arial" w:hAnsi="Arial" w:cs="Arial"/>
                <w:color w:val="00529C"/>
                <w:sz w:val="18"/>
                <w:szCs w:val="18"/>
              </w:rPr>
            </w:pPr>
            <w:r>
              <w:rPr>
                <w:rFonts w:ascii="Arial" w:hAnsi="Arial" w:cs="Arial"/>
                <w:color w:val="00529C"/>
                <w:sz w:val="18"/>
                <w:szCs w:val="18"/>
              </w:rPr>
              <w:t xml:space="preserve">I. P. Pavlova 185/6  </w:t>
            </w:r>
          </w:p>
          <w:p w:rsidR="005C2FA9" w:rsidRDefault="005C2FA9">
            <w:pPr>
              <w:rPr>
                <w:rFonts w:ascii="Arial" w:hAnsi="Arial" w:cs="Arial"/>
                <w:color w:val="00529C"/>
                <w:sz w:val="18"/>
                <w:szCs w:val="18"/>
              </w:rPr>
            </w:pPr>
            <w:r>
              <w:rPr>
                <w:rFonts w:ascii="Arial" w:hAnsi="Arial" w:cs="Arial"/>
                <w:color w:val="00529C"/>
                <w:sz w:val="18"/>
                <w:szCs w:val="18"/>
              </w:rPr>
              <w:t>779 00 Olomouc</w:t>
            </w:r>
          </w:p>
          <w:p w:rsidR="005C2FA9" w:rsidRDefault="005C2FA9">
            <w:pPr>
              <w:rPr>
                <w:rFonts w:ascii="Arial" w:hAnsi="Arial" w:cs="Arial"/>
                <w:color w:val="00529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529C"/>
                <w:sz w:val="18"/>
                <w:szCs w:val="18"/>
              </w:rPr>
              <w:t>Tel.:</w:t>
            </w:r>
            <w:r>
              <w:rPr>
                <w:rFonts w:ascii="Arial" w:hAnsi="Arial" w:cs="Arial"/>
                <w:color w:val="00529C"/>
                <w:sz w:val="18"/>
                <w:szCs w:val="18"/>
              </w:rPr>
              <w:t xml:space="preserve"> +420 588 442 229</w:t>
            </w:r>
          </w:p>
          <w:p w:rsidR="005C2FA9" w:rsidRDefault="005C2FA9">
            <w:pPr>
              <w:rPr>
                <w:rFonts w:ascii="Arial" w:hAnsi="Arial" w:cs="Arial"/>
                <w:color w:val="00529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529C"/>
                <w:sz w:val="18"/>
                <w:szCs w:val="18"/>
              </w:rPr>
              <w:t>Mobil:</w:t>
            </w:r>
            <w:r>
              <w:rPr>
                <w:rFonts w:ascii="Arial" w:hAnsi="Arial" w:cs="Arial"/>
                <w:color w:val="00529C"/>
                <w:sz w:val="18"/>
                <w:szCs w:val="18"/>
              </w:rPr>
              <w:t xml:space="preserve"> 602 752 302</w:t>
            </w:r>
          </w:p>
          <w:p w:rsidR="005C2FA9" w:rsidRDefault="005C2FA9">
            <w:pPr>
              <w:rPr>
                <w:rFonts w:ascii="Arial" w:hAnsi="Arial" w:cs="Arial"/>
                <w:color w:val="00529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529C"/>
                <w:sz w:val="18"/>
                <w:szCs w:val="18"/>
              </w:rPr>
              <w:t>E-mail:</w:t>
            </w:r>
            <w:r>
              <w:rPr>
                <w:rFonts w:ascii="Arial" w:hAnsi="Arial" w:cs="Arial"/>
                <w:color w:val="00529C"/>
                <w:sz w:val="18"/>
                <w:szCs w:val="18"/>
              </w:rPr>
              <w:t xml:space="preserve">  </w:t>
            </w:r>
            <w:hyperlink r:id="rId5" w:history="1">
              <w:r>
                <w:rPr>
                  <w:rStyle w:val="Hypertextovodkaz"/>
                  <w:sz w:val="20"/>
                  <w:szCs w:val="20"/>
                </w:rPr>
                <w:t>sabina.prochazkova@fnol.cz</w:t>
              </w:r>
            </w:hyperlink>
          </w:p>
          <w:p w:rsidR="005C2FA9" w:rsidRDefault="005C2FA9">
            <w:pPr>
              <w:rPr>
                <w:rFonts w:ascii="Arial" w:hAnsi="Arial" w:cs="Arial"/>
                <w:color w:val="00529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529C"/>
                <w:sz w:val="18"/>
                <w:szCs w:val="18"/>
              </w:rPr>
              <w:t>web:</w:t>
            </w:r>
            <w:hyperlink r:id="rId6" w:tooltip="http://www.fnol.cz/&#10;mailto:egon.havrlant@fnol.cz&#10;blocked::http://www.mf.cz/" w:history="1">
              <w:r>
                <w:rPr>
                  <w:rStyle w:val="Hypertextovodkaz"/>
                  <w:rFonts w:cs="Arial"/>
                  <w:color w:val="00529C"/>
                  <w:sz w:val="18"/>
                  <w:szCs w:val="18"/>
                </w:rPr>
                <w:t xml:space="preserve"> www.fnol.cz</w:t>
              </w:r>
            </w:hyperlink>
          </w:p>
        </w:tc>
      </w:tr>
    </w:tbl>
    <w:p w:rsidR="00B30931" w:rsidRDefault="00B30931"/>
    <w:sectPr w:rsidR="00B30931" w:rsidSect="00B30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C2FA9"/>
    <w:rsid w:val="005C2FA9"/>
    <w:rsid w:val="0098115C"/>
    <w:rsid w:val="00B30931"/>
    <w:rsid w:val="00B8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2FA9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C2F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nol.cz/" TargetMode="External"/><Relationship Id="rId5" Type="http://schemas.openxmlformats.org/officeDocument/2006/relationships/hyperlink" Target="mailto:sabina.prochazkova@fnol.cz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2851</Characters>
  <Application>Microsoft Office Word</Application>
  <DocSecurity>0</DocSecurity>
  <Lines>23</Lines>
  <Paragraphs>6</Paragraphs>
  <ScaleCrop>false</ScaleCrop>
  <Company>FNOL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01372</dc:creator>
  <cp:lastModifiedBy>01372</cp:lastModifiedBy>
  <cp:revision>1</cp:revision>
  <dcterms:created xsi:type="dcterms:W3CDTF">2019-03-11T13:24:00Z</dcterms:created>
  <dcterms:modified xsi:type="dcterms:W3CDTF">2019-03-11T13:26:00Z</dcterms:modified>
</cp:coreProperties>
</file>