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1C7" w:rsidRPr="00AE6283" w:rsidRDefault="00AE6283" w:rsidP="00AE6283">
      <w:pPr>
        <w:jc w:val="center"/>
        <w:rPr>
          <w:b/>
          <w:sz w:val="32"/>
          <w:szCs w:val="32"/>
          <w:u w:val="single"/>
        </w:rPr>
      </w:pPr>
      <w:r w:rsidRPr="00AE6283">
        <w:rPr>
          <w:b/>
          <w:sz w:val="32"/>
          <w:szCs w:val="32"/>
          <w:u w:val="single"/>
        </w:rPr>
        <w:t xml:space="preserve">Veřejné zakázky v roce 2023 </w:t>
      </w:r>
    </w:p>
    <w:p w:rsidR="00AE6283" w:rsidRDefault="00AE6283"/>
    <w:p w:rsidR="000C50AC" w:rsidRPr="000C50AC" w:rsidRDefault="000C50AC" w:rsidP="000C50AC">
      <w:pPr>
        <w:jc w:val="center"/>
        <w:rPr>
          <w:b/>
          <w:u w:val="single"/>
        </w:rPr>
      </w:pPr>
      <w:r w:rsidRPr="000C50AC">
        <w:rPr>
          <w:b/>
          <w:u w:val="single"/>
        </w:rPr>
        <w:t>Přehled všech veřejných zakázek dle počtu evidenčních čísel VZ</w:t>
      </w:r>
    </w:p>
    <w:tbl>
      <w:tblPr>
        <w:tblW w:w="8919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701"/>
        <w:gridCol w:w="1701"/>
        <w:gridCol w:w="1984"/>
        <w:gridCol w:w="2127"/>
      </w:tblGrid>
      <w:tr w:rsidR="000C50AC" w:rsidTr="000C50AC">
        <w:trPr>
          <w:trHeight w:val="315"/>
        </w:trPr>
        <w:tc>
          <w:tcPr>
            <w:tcW w:w="8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</w:p>
        </w:tc>
      </w:tr>
      <w:tr w:rsidR="000C50AC" w:rsidTr="000C50A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OVZ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OBÚ (mimo OVZ)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0C50AC" w:rsidTr="000C50A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1 343</w:t>
            </w:r>
          </w:p>
        </w:tc>
      </w:tr>
      <w:tr w:rsidR="000C50AC" w:rsidTr="000C50A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1 351</w:t>
            </w:r>
          </w:p>
        </w:tc>
      </w:tr>
      <w:tr w:rsidR="000C50AC" w:rsidTr="000C50A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1 417</w:t>
            </w:r>
          </w:p>
        </w:tc>
      </w:tr>
      <w:tr w:rsidR="000C50AC" w:rsidTr="000C50AC">
        <w:trPr>
          <w:trHeight w:val="315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50AC" w:rsidRDefault="000C50AC">
            <w:pPr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1 535</w:t>
            </w:r>
          </w:p>
        </w:tc>
      </w:tr>
    </w:tbl>
    <w:p w:rsidR="000C50AC" w:rsidRDefault="000C50AC"/>
    <w:p w:rsidR="000C50AC" w:rsidRDefault="000C50AC"/>
    <w:p w:rsidR="000C50AC" w:rsidRDefault="000C50AC"/>
    <w:p w:rsidR="000C50AC" w:rsidRPr="000C50AC" w:rsidRDefault="000C50AC" w:rsidP="000C50AC">
      <w:pPr>
        <w:jc w:val="center"/>
        <w:rPr>
          <w:b/>
          <w:u w:val="single"/>
        </w:rPr>
      </w:pPr>
      <w:r w:rsidRPr="000C50AC">
        <w:rPr>
          <w:b/>
          <w:u w:val="single"/>
        </w:rPr>
        <w:t>Přehled veřejných zakázek realizovaných přes OVZ</w:t>
      </w:r>
    </w:p>
    <w:tbl>
      <w:tblPr>
        <w:tblW w:w="8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487"/>
        <w:gridCol w:w="1348"/>
        <w:gridCol w:w="1417"/>
        <w:gridCol w:w="1488"/>
      </w:tblGrid>
      <w:tr w:rsidR="0096392F" w:rsidRPr="0096392F" w:rsidTr="0096392F">
        <w:trPr>
          <w:trHeight w:val="378"/>
        </w:trPr>
        <w:tc>
          <w:tcPr>
            <w:tcW w:w="88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veřejných zakázek</w:t>
            </w:r>
          </w:p>
        </w:tc>
      </w:tr>
      <w:tr w:rsidR="0096392F" w:rsidRPr="0096392F" w:rsidTr="0096392F">
        <w:trPr>
          <w:trHeight w:val="7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zadávacího řízení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2023</w:t>
            </w:r>
          </w:p>
        </w:tc>
      </w:tr>
      <w:tr w:rsidR="0096392F" w:rsidRPr="0096392F" w:rsidTr="0096392F">
        <w:trPr>
          <w:trHeight w:val="37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VZMR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183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</w:p>
        </w:tc>
      </w:tr>
      <w:tr w:rsidR="0096392F" w:rsidRPr="0096392F" w:rsidTr="0096392F">
        <w:trPr>
          <w:trHeight w:val="37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ZPŘ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96392F" w:rsidRPr="0096392F" w:rsidTr="0096392F">
        <w:trPr>
          <w:trHeight w:val="37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OŘ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  <w:r w:rsidR="009B773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96392F" w:rsidRPr="0096392F" w:rsidTr="0096392F">
        <w:trPr>
          <w:trHeight w:val="37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JŘBÚ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6392F" w:rsidRPr="0096392F" w:rsidTr="0096392F">
        <w:trPr>
          <w:trHeight w:val="39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</w:t>
            </w:r>
            <w:r w:rsidR="00DA4D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</w:tr>
      <w:tr w:rsidR="0096392F" w:rsidRPr="0096392F" w:rsidTr="0096392F">
        <w:trPr>
          <w:trHeight w:val="378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92F" w:rsidRPr="0096392F" w:rsidTr="0096392F">
        <w:trPr>
          <w:trHeight w:val="397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6392F" w:rsidRPr="0096392F" w:rsidTr="0096392F">
        <w:trPr>
          <w:trHeight w:val="378"/>
        </w:trPr>
        <w:tc>
          <w:tcPr>
            <w:tcW w:w="88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zadávacích řízení – částí veřejných zakázek</w:t>
            </w:r>
          </w:p>
        </w:tc>
      </w:tr>
      <w:tr w:rsidR="0096392F" w:rsidRPr="0096392F" w:rsidTr="0096392F">
        <w:trPr>
          <w:trHeight w:val="7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zadávacího řízení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2023</w:t>
            </w:r>
          </w:p>
        </w:tc>
      </w:tr>
      <w:tr w:rsidR="0096392F" w:rsidRPr="0096392F" w:rsidTr="0096392F">
        <w:trPr>
          <w:trHeight w:val="37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VZMR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8364F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96392F" w:rsidRPr="0096392F" w:rsidTr="0096392F">
        <w:trPr>
          <w:trHeight w:val="37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ZPŘ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8364F4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6392F" w:rsidRPr="0096392F" w:rsidTr="0096392F">
        <w:trPr>
          <w:trHeight w:val="37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OŘ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484</w:t>
            </w:r>
          </w:p>
        </w:tc>
      </w:tr>
      <w:tr w:rsidR="0096392F" w:rsidRPr="0096392F" w:rsidTr="0096392F">
        <w:trPr>
          <w:trHeight w:val="37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JŘBÚ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6392F" w:rsidRPr="0096392F" w:rsidTr="0096392F">
        <w:trPr>
          <w:trHeight w:val="39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844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744</w:t>
            </w:r>
          </w:p>
        </w:tc>
      </w:tr>
    </w:tbl>
    <w:p w:rsidR="0096392F" w:rsidRDefault="0096392F"/>
    <w:tbl>
      <w:tblPr>
        <w:tblW w:w="8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1111"/>
        <w:gridCol w:w="1134"/>
        <w:gridCol w:w="1275"/>
        <w:gridCol w:w="1134"/>
        <w:gridCol w:w="1606"/>
      </w:tblGrid>
      <w:tr w:rsidR="0096392F" w:rsidRPr="0096392F" w:rsidTr="0096392F">
        <w:trPr>
          <w:trHeight w:val="314"/>
        </w:trPr>
        <w:tc>
          <w:tcPr>
            <w:tcW w:w="8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Počet veřejných zakázek</w:t>
            </w:r>
          </w:p>
        </w:tc>
      </w:tr>
      <w:tr w:rsidR="0096392F" w:rsidRPr="0096392F" w:rsidTr="0096392F">
        <w:trPr>
          <w:trHeight w:val="629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Zadávací pracoviště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Celkem za </w:t>
            </w:r>
          </w:p>
          <w:p w:rsidR="0096392F" w:rsidRPr="0096392F" w:rsidRDefault="00F2143C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2020–2023</w:t>
            </w:r>
          </w:p>
        </w:tc>
      </w:tr>
      <w:tr w:rsidR="0096392F" w:rsidRPr="0096392F" w:rsidTr="0096392F">
        <w:trPr>
          <w:trHeight w:val="31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LÉČIVA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393</w:t>
            </w:r>
          </w:p>
        </w:tc>
      </w:tr>
      <w:tr w:rsidR="0096392F" w:rsidRPr="0096392F" w:rsidTr="0096392F">
        <w:trPr>
          <w:trHeight w:val="31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DIAGNOSTIKA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60</w:t>
            </w:r>
          </w:p>
        </w:tc>
      </w:tr>
      <w:tr w:rsidR="0096392F" w:rsidRPr="0096392F" w:rsidTr="0096392F">
        <w:trPr>
          <w:trHeight w:val="31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ZDR. MATERIÁL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378</w:t>
            </w:r>
          </w:p>
        </w:tc>
      </w:tr>
      <w:tr w:rsidR="0096392F" w:rsidRPr="0096392F" w:rsidTr="0096392F">
        <w:trPr>
          <w:trHeight w:val="31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ZDR. TECHNIKA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457</w:t>
            </w:r>
          </w:p>
        </w:tc>
      </w:tr>
      <w:tr w:rsidR="0096392F" w:rsidRPr="0096392F" w:rsidTr="0096392F">
        <w:trPr>
          <w:trHeight w:val="31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90</w:t>
            </w:r>
          </w:p>
        </w:tc>
      </w:tr>
      <w:tr w:rsidR="0096392F" w:rsidRPr="0096392F" w:rsidTr="0096392F">
        <w:trPr>
          <w:trHeight w:val="31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82</w:t>
            </w:r>
          </w:p>
        </w:tc>
      </w:tr>
      <w:tr w:rsidR="0096392F" w:rsidRPr="0096392F" w:rsidTr="0096392F">
        <w:trPr>
          <w:trHeight w:val="629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ENERG, OSB, VOD.HOSPO.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195</w:t>
            </w:r>
          </w:p>
        </w:tc>
      </w:tr>
      <w:tr w:rsidR="0096392F" w:rsidRPr="0096392F" w:rsidTr="0096392F">
        <w:trPr>
          <w:trHeight w:val="31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132</w:t>
            </w:r>
          </w:p>
        </w:tc>
      </w:tr>
      <w:tr w:rsidR="0096392F" w:rsidRPr="0096392F" w:rsidTr="0096392F">
        <w:trPr>
          <w:trHeight w:val="31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1787</w:t>
            </w:r>
          </w:p>
        </w:tc>
      </w:tr>
    </w:tbl>
    <w:p w:rsidR="0096392F" w:rsidRDefault="0096392F"/>
    <w:p w:rsidR="0096392F" w:rsidRDefault="0096392F">
      <w:r>
        <w:fldChar w:fldCharType="begin"/>
      </w:r>
      <w:r>
        <w:instrText xml:space="preserve"> LINK Excel.Sheet.12 "\\\\fnol.loc\\shares\\public\\Přehled VZ\\Statistiky Přehled k 13.11.2023.xlsx" "Druh + zad.pracoviště!R1C1:R28C6" \a \f 4 \h  \* MERGEFORMAT </w:instrText>
      </w:r>
      <w:r>
        <w:fldChar w:fldCharType="separate"/>
      </w:r>
    </w:p>
    <w:tbl>
      <w:tblPr>
        <w:tblW w:w="9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835"/>
        <w:gridCol w:w="1134"/>
        <w:gridCol w:w="1134"/>
        <w:gridCol w:w="1134"/>
        <w:gridCol w:w="1298"/>
      </w:tblGrid>
      <w:tr w:rsidR="0096392F" w:rsidRPr="0096392F" w:rsidTr="0096392F">
        <w:trPr>
          <w:trHeight w:val="341"/>
        </w:trPr>
        <w:tc>
          <w:tcPr>
            <w:tcW w:w="936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veřejných </w:t>
            </w:r>
            <w:r w:rsidR="003D6D02"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zakázek – dle</w:t>
            </w: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druhu ZŘ a zadávacího pracoviště</w:t>
            </w:r>
          </w:p>
        </w:tc>
      </w:tr>
      <w:tr w:rsidR="0096392F" w:rsidRPr="0096392F" w:rsidTr="0096392F">
        <w:trPr>
          <w:trHeight w:val="990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zadávacího řízení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Zadávací pracoviště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DD7EE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2023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VZMR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LÉČIVA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DIAGNOSTIKA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ZDR. MATERIÁL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ZDR. TECHNIKA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C71502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6392F" w:rsidRPr="0096392F" w:rsidTr="0096392F">
        <w:trPr>
          <w:trHeight w:val="649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ENERG, OSB, VOD.HOSPO.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96392F" w:rsidRPr="0096392F" w:rsidTr="0096392F">
        <w:trPr>
          <w:trHeight w:val="341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LÉČIVA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DIAGNOSTIKA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ZDR. MATERIÁL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ZDR. TECHNIKA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C71502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96392F" w:rsidRPr="0096392F" w:rsidTr="0096392F">
        <w:trPr>
          <w:trHeight w:val="649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ENERG, OSB, VOD.HOSPO.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96392F" w:rsidRPr="0096392F" w:rsidTr="0096392F">
        <w:trPr>
          <w:trHeight w:val="341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OŘ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LÉČIVA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118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B67F5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DIAGNOSTIKA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ZDR. MATERIÁL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ZDR. TECHNIKA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96392F" w:rsidRPr="0096392F" w:rsidTr="0096392F">
        <w:trPr>
          <w:trHeight w:val="649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ENERG, OSB, VOD.HOSPO.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96392F" w:rsidRPr="0096392F" w:rsidTr="0096392F">
        <w:trPr>
          <w:trHeight w:val="341"/>
        </w:trPr>
        <w:tc>
          <w:tcPr>
            <w:tcW w:w="182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96392F" w:rsidRPr="0096392F" w:rsidTr="0096392F">
        <w:trPr>
          <w:trHeight w:val="324"/>
        </w:trPr>
        <w:tc>
          <w:tcPr>
            <w:tcW w:w="182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JŘBÚ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LÉČIVA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96392F" w:rsidRPr="0096392F" w:rsidTr="0096392F">
        <w:trPr>
          <w:trHeight w:val="341"/>
        </w:trPr>
        <w:tc>
          <w:tcPr>
            <w:tcW w:w="182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92F" w:rsidRPr="0096392F" w:rsidRDefault="0096392F" w:rsidP="00963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392F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:rsidR="0096392F" w:rsidRDefault="0096392F">
      <w:r>
        <w:fldChar w:fldCharType="end"/>
      </w:r>
    </w:p>
    <w:p w:rsidR="00454A36" w:rsidRDefault="00454A36"/>
    <w:p w:rsidR="00454A36" w:rsidRDefault="00454A36" w:rsidP="00454A36">
      <w:pPr>
        <w:jc w:val="center"/>
        <w:rPr>
          <w:b/>
        </w:rPr>
      </w:pPr>
      <w:r w:rsidRPr="00454A36">
        <w:rPr>
          <w:b/>
        </w:rPr>
        <w:t>Počet uzavřených smluv za roky 2020–2023 (zakázky realizované přes OVZ)</w:t>
      </w:r>
    </w:p>
    <w:p w:rsidR="00454A36" w:rsidRPr="00454A36" w:rsidRDefault="00454A36" w:rsidP="00454A36">
      <w:pPr>
        <w:jc w:val="center"/>
        <w:rPr>
          <w:b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960"/>
        <w:gridCol w:w="960"/>
        <w:gridCol w:w="960"/>
        <w:gridCol w:w="960"/>
      </w:tblGrid>
      <w:tr w:rsidR="00DB5736" w:rsidRPr="00DB5736" w:rsidTr="00DB5736">
        <w:trPr>
          <w:trHeight w:val="3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2023</w:t>
            </w:r>
          </w:p>
        </w:tc>
      </w:tr>
      <w:tr w:rsidR="00DB5736" w:rsidRPr="00DB5736" w:rsidTr="00DB57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zadávacích řízení uzavřených smlouvou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62</w:t>
            </w:r>
            <w:r w:rsidR="00C53D2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</w:tr>
      <w:tr w:rsidR="00DB5736" w:rsidRPr="00DB5736" w:rsidTr="00DB5736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color w:val="000000"/>
                <w:lang w:eastAsia="cs-CZ"/>
              </w:rPr>
              <w:t>Počet uzavřených smluv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36" w:rsidRPr="00DB5736" w:rsidRDefault="00DB5736" w:rsidP="00DB5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B57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D26" w:rsidRPr="00DB5736" w:rsidRDefault="00C53D26" w:rsidP="00C53D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902</w:t>
            </w:r>
          </w:p>
        </w:tc>
      </w:tr>
    </w:tbl>
    <w:p w:rsidR="00185843" w:rsidRDefault="00185843"/>
    <w:p w:rsidR="00454A36" w:rsidRDefault="00454A36">
      <w:r>
        <w:t xml:space="preserve">K jednomu zadávacímu řízení se může vázat několik smluv – v některých případech i tři, čtyři smlouvy. </w:t>
      </w:r>
    </w:p>
    <w:p w:rsidR="00454A36" w:rsidRDefault="00454A36" w:rsidP="00454A36">
      <w:pPr>
        <w:spacing w:after="0"/>
      </w:pPr>
      <w:r>
        <w:t xml:space="preserve">Např. </w:t>
      </w:r>
      <w:r w:rsidRPr="00454A36">
        <w:rPr>
          <w:b/>
        </w:rPr>
        <w:t>Spotřební materiál k Artroskopické věži včetně její výpůjčky</w:t>
      </w:r>
    </w:p>
    <w:p w:rsidR="00454A36" w:rsidRDefault="00454A36" w:rsidP="00454A36">
      <w:pPr>
        <w:pStyle w:val="Odstavecseseznamem"/>
        <w:numPr>
          <w:ilvl w:val="0"/>
          <w:numId w:val="2"/>
        </w:numPr>
        <w:spacing w:after="0"/>
      </w:pPr>
      <w:r>
        <w:t>Kupní smlouva (sklad SZM)</w:t>
      </w:r>
    </w:p>
    <w:p w:rsidR="00454A36" w:rsidRDefault="00454A36" w:rsidP="00454A36">
      <w:pPr>
        <w:pStyle w:val="Odstavecseseznamem"/>
        <w:numPr>
          <w:ilvl w:val="0"/>
          <w:numId w:val="2"/>
        </w:numPr>
        <w:spacing w:after="0"/>
      </w:pPr>
      <w:r>
        <w:t>Kupní smlouva (konsignační sklad)</w:t>
      </w:r>
    </w:p>
    <w:p w:rsidR="00454A36" w:rsidRDefault="00454A36" w:rsidP="00454A36">
      <w:pPr>
        <w:pStyle w:val="Odstavecseseznamem"/>
        <w:numPr>
          <w:ilvl w:val="0"/>
          <w:numId w:val="2"/>
        </w:numPr>
        <w:spacing w:after="0"/>
      </w:pPr>
      <w:r>
        <w:t>Konsignační smlouva</w:t>
      </w:r>
    </w:p>
    <w:p w:rsidR="00454A36" w:rsidRDefault="00454A36" w:rsidP="00454A36">
      <w:pPr>
        <w:pStyle w:val="Odstavecseseznamem"/>
        <w:numPr>
          <w:ilvl w:val="0"/>
          <w:numId w:val="2"/>
        </w:numPr>
        <w:spacing w:after="0"/>
      </w:pPr>
      <w:r>
        <w:t>Smlouva o výpůjčce</w:t>
      </w:r>
    </w:p>
    <w:p w:rsidR="00185843" w:rsidRDefault="00185843"/>
    <w:p w:rsidR="00185843" w:rsidRDefault="00185843"/>
    <w:p w:rsidR="00185843" w:rsidRDefault="00185843"/>
    <w:p w:rsidR="00AE6283" w:rsidRPr="00FE6344" w:rsidRDefault="007B756D" w:rsidP="00FE634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Problémové body</w:t>
      </w:r>
    </w:p>
    <w:p w:rsidR="00FE6344" w:rsidRDefault="00FE6344"/>
    <w:p w:rsidR="0096392F" w:rsidRPr="00FE6344" w:rsidRDefault="00FE6344" w:rsidP="00FE634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E6344">
        <w:rPr>
          <w:b/>
          <w:sz w:val="28"/>
          <w:szCs w:val="28"/>
        </w:rPr>
        <w:t xml:space="preserve">Nedodržování plánu VZ </w:t>
      </w:r>
    </w:p>
    <w:tbl>
      <w:tblPr>
        <w:tblW w:w="8151" w:type="dxa"/>
        <w:tblInd w:w="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9"/>
        <w:gridCol w:w="1412"/>
      </w:tblGrid>
      <w:tr w:rsidR="00FE6344" w:rsidRPr="00FE6344" w:rsidTr="00FE6344">
        <w:trPr>
          <w:trHeight w:val="569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6344" w:rsidRPr="00FE6344" w:rsidRDefault="00FE6344" w:rsidP="00FE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63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požadavků dle plánu VZ 2023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6344" w:rsidRPr="00FE6344" w:rsidRDefault="00FE6344" w:rsidP="00F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E634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524</w:t>
            </w:r>
          </w:p>
        </w:tc>
      </w:tr>
      <w:tr w:rsidR="00FE6344" w:rsidRPr="00FE6344" w:rsidTr="00FE6344">
        <w:trPr>
          <w:trHeight w:val="685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6344" w:rsidRPr="00FE6344" w:rsidRDefault="00FE6344" w:rsidP="00FE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63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požadavků s ev. číslem VZ dle plánu VZ 2023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E6344" w:rsidRPr="00FE6344" w:rsidRDefault="00FE6344" w:rsidP="00F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E634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355</w:t>
            </w:r>
          </w:p>
        </w:tc>
      </w:tr>
      <w:tr w:rsidR="00FE6344" w:rsidRPr="00FE6344" w:rsidTr="00FE6344">
        <w:trPr>
          <w:trHeight w:val="569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FE6344" w:rsidRPr="00FE6344" w:rsidRDefault="00FE6344" w:rsidP="00FE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63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požadavků mimo plán VZ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FE6344" w:rsidRPr="00FE6344" w:rsidRDefault="00FE6344" w:rsidP="00F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E634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152</w:t>
            </w:r>
          </w:p>
        </w:tc>
      </w:tr>
      <w:tr w:rsidR="00FE6344" w:rsidRPr="00FE6344" w:rsidTr="00FE6344">
        <w:trPr>
          <w:trHeight w:val="685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E6344" w:rsidRPr="00FE6344" w:rsidRDefault="00FE6344" w:rsidP="00FE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63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požadavků s informací, že nebude realizováno</w:t>
            </w:r>
            <w:r w:rsidR="00583C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– resp. nahrazeny jinou VZ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FE6344" w:rsidRPr="00FE6344" w:rsidRDefault="00FE6344" w:rsidP="00F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E634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41</w:t>
            </w:r>
          </w:p>
        </w:tc>
      </w:tr>
      <w:tr w:rsidR="00FE6344" w:rsidRPr="00FE6344" w:rsidTr="00FE6344">
        <w:trPr>
          <w:trHeight w:val="685"/>
        </w:trPr>
        <w:tc>
          <w:tcPr>
            <w:tcW w:w="6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344" w:rsidRPr="00FE6344" w:rsidRDefault="00FE6344" w:rsidP="00FE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63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požadavků nepředaných k realizaci nebo bez </w:t>
            </w:r>
            <w:proofErr w:type="spellStart"/>
            <w:r w:rsidRPr="00FE63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</w:t>
            </w:r>
            <w:proofErr w:type="spellEnd"/>
            <w:r w:rsidRPr="00FE63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že nebudou realizovány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344" w:rsidRPr="00FE6344" w:rsidRDefault="00FE6344" w:rsidP="00FE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E634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122</w:t>
            </w:r>
          </w:p>
        </w:tc>
      </w:tr>
    </w:tbl>
    <w:p w:rsidR="00FE6344" w:rsidRDefault="00FE6344" w:rsidP="00FE634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E6344">
        <w:rPr>
          <w:b/>
          <w:sz w:val="28"/>
          <w:szCs w:val="28"/>
        </w:rPr>
        <w:lastRenderedPageBreak/>
        <w:t>Zadávací podmínky</w:t>
      </w:r>
    </w:p>
    <w:p w:rsidR="00FE6344" w:rsidRPr="00297892" w:rsidRDefault="00FE6344" w:rsidP="00297892">
      <w:pPr>
        <w:ind w:left="708"/>
        <w:jc w:val="both"/>
        <w:rPr>
          <w:b/>
        </w:rPr>
      </w:pPr>
      <w:r w:rsidRPr="00297892">
        <w:rPr>
          <w:b/>
        </w:rPr>
        <w:t>Neúplné nebo nepřesné zadávací podmínky</w:t>
      </w:r>
      <w:r w:rsidR="00297892" w:rsidRPr="00297892">
        <w:rPr>
          <w:b/>
        </w:rPr>
        <w:t xml:space="preserve"> nebo naopak nesplnitelné podmínky</w:t>
      </w:r>
    </w:p>
    <w:p w:rsidR="00FE6344" w:rsidRDefault="00FE6344" w:rsidP="00297892">
      <w:pPr>
        <w:pStyle w:val="Odstavecseseznamem"/>
        <w:numPr>
          <w:ilvl w:val="1"/>
          <w:numId w:val="1"/>
        </w:numPr>
        <w:jc w:val="both"/>
      </w:pPr>
      <w:r>
        <w:t>Ve fázi přípravy VZ – dlouhá doba mezi předáním podkladů k realizaci VZ a samotným vypsáním VZ.</w:t>
      </w:r>
    </w:p>
    <w:p w:rsidR="00FE6344" w:rsidRDefault="00FE6344" w:rsidP="00297892">
      <w:pPr>
        <w:pStyle w:val="Odstavecseseznamem"/>
        <w:numPr>
          <w:ilvl w:val="1"/>
          <w:numId w:val="1"/>
        </w:numPr>
        <w:jc w:val="both"/>
      </w:pPr>
      <w:r>
        <w:t>Ve fázi vypsané VZ – časté dotazy – úprava zadávacích podmínek</w:t>
      </w:r>
    </w:p>
    <w:p w:rsidR="00FE6344" w:rsidRDefault="00FE6344" w:rsidP="00297892">
      <w:pPr>
        <w:pStyle w:val="Odstavecseseznamem"/>
        <w:numPr>
          <w:ilvl w:val="2"/>
          <w:numId w:val="1"/>
        </w:numPr>
        <w:jc w:val="both"/>
      </w:pPr>
      <w:r>
        <w:t xml:space="preserve">V roce 2023 bylo uveřejněno </w:t>
      </w:r>
      <w:r w:rsidRPr="00FE6344">
        <w:rPr>
          <w:b/>
        </w:rPr>
        <w:t>178 opravných formulářů</w:t>
      </w:r>
      <w:r>
        <w:t xml:space="preserve"> ve věstníku veřejných zakázek.</w:t>
      </w:r>
    </w:p>
    <w:p w:rsidR="00FE6344" w:rsidRDefault="00297892" w:rsidP="00297892">
      <w:pPr>
        <w:pStyle w:val="Odstavecseseznamem"/>
        <w:numPr>
          <w:ilvl w:val="1"/>
          <w:numId w:val="1"/>
        </w:numPr>
        <w:jc w:val="both"/>
      </w:pPr>
      <w:r>
        <w:t xml:space="preserve">V roce 2023 bylo </w:t>
      </w:r>
      <w:r w:rsidRPr="00297892">
        <w:rPr>
          <w:b/>
        </w:rPr>
        <w:t>zrušeno 10</w:t>
      </w:r>
      <w:r w:rsidR="00934544">
        <w:rPr>
          <w:b/>
        </w:rPr>
        <w:t>7</w:t>
      </w:r>
      <w:r w:rsidRPr="00297892">
        <w:rPr>
          <w:b/>
        </w:rPr>
        <w:t xml:space="preserve"> zadávacích řízení</w:t>
      </w:r>
      <w:r>
        <w:t xml:space="preserve"> (bez nabídky, bez hodnotitelné nabídky, překročení ceny, nutná úprava zadávacích podmínek, neposkytnutí součinnosti k uzavření smlouvy)</w:t>
      </w:r>
    </w:p>
    <w:p w:rsidR="00FE6344" w:rsidRDefault="00297892" w:rsidP="00297892">
      <w:pPr>
        <w:ind w:left="708"/>
        <w:jc w:val="both"/>
        <w:rPr>
          <w:b/>
        </w:rPr>
      </w:pPr>
      <w:r>
        <w:rPr>
          <w:b/>
        </w:rPr>
        <w:t>Opakem toho jsou příliš konkrétní zadávací podmínky, které přímo nebo nepřímo odkazují na konkrétní výrobek, řešení. Stále se vyskytují v zadávacích podmínkách odkazy na konkrétní názvy, které lze používat pouze tehdy, pokud nelze požadovaný předmět plnění dostatečně přesně jinak specifikovat.</w:t>
      </w:r>
    </w:p>
    <w:p w:rsidR="00297892" w:rsidRDefault="00297892" w:rsidP="00297892">
      <w:pPr>
        <w:ind w:left="708"/>
        <w:jc w:val="both"/>
        <w:rPr>
          <w:b/>
        </w:rPr>
      </w:pPr>
      <w:r>
        <w:rPr>
          <w:b/>
        </w:rPr>
        <w:t>Důsledkem výše uvedeného pak je především nižší konkurenční boj, kdy velmi často v zadávacím řízení je pouze jedna jediná nabídka.</w:t>
      </w:r>
    </w:p>
    <w:p w:rsidR="00297892" w:rsidRDefault="00297892" w:rsidP="00297892">
      <w:pPr>
        <w:ind w:left="708"/>
        <w:rPr>
          <w:b/>
        </w:rPr>
      </w:pPr>
    </w:p>
    <w:p w:rsidR="00FE6344" w:rsidRDefault="00297892" w:rsidP="00FE634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Smlouvy</w:t>
      </w:r>
    </w:p>
    <w:p w:rsidR="00297892" w:rsidRDefault="00746614" w:rsidP="00297892">
      <w:pPr>
        <w:ind w:left="708"/>
        <w:jc w:val="both"/>
      </w:pPr>
      <w:r>
        <w:t>Existuje velké množství</w:t>
      </w:r>
      <w:r w:rsidR="00297892" w:rsidRPr="00737EF3">
        <w:t xml:space="preserve"> „vzorů“ smluv i pro jednotlivé oblasti, které se liší především </w:t>
      </w:r>
      <w:r w:rsidR="00297892" w:rsidRPr="00C243CA">
        <w:rPr>
          <w:b/>
        </w:rPr>
        <w:t xml:space="preserve">sankcemi, dodacími podmínkami, </w:t>
      </w:r>
      <w:r w:rsidR="00240858">
        <w:rPr>
          <w:b/>
        </w:rPr>
        <w:t xml:space="preserve">použitím </w:t>
      </w:r>
      <w:r w:rsidR="00297892" w:rsidRPr="00C243CA">
        <w:rPr>
          <w:b/>
        </w:rPr>
        <w:t>inflační doložk</w:t>
      </w:r>
      <w:r w:rsidR="00240858">
        <w:rPr>
          <w:b/>
        </w:rPr>
        <w:t>y</w:t>
      </w:r>
      <w:r w:rsidR="00C243CA" w:rsidRPr="00C243CA">
        <w:rPr>
          <w:b/>
        </w:rPr>
        <w:t>, dobou</w:t>
      </w:r>
      <w:r w:rsidR="00240858">
        <w:rPr>
          <w:b/>
        </w:rPr>
        <w:t xml:space="preserve"> plnění</w:t>
      </w:r>
      <w:r w:rsidR="00C243CA" w:rsidRPr="00C243CA">
        <w:rPr>
          <w:b/>
        </w:rPr>
        <w:t>, na kterou je smlouva uzavíraná, výpovědními podmínkami</w:t>
      </w:r>
      <w:r w:rsidR="00297892" w:rsidRPr="00C243CA">
        <w:rPr>
          <w:b/>
        </w:rPr>
        <w:t>.</w:t>
      </w:r>
      <w:r w:rsidR="00297892" w:rsidRPr="00737EF3">
        <w:t xml:space="preserve"> </w:t>
      </w:r>
      <w:r w:rsidR="00297892" w:rsidRPr="00737EF3">
        <w:rPr>
          <w:b/>
          <w:u w:val="single"/>
        </w:rPr>
        <w:t>Pro každé zadávací řízení je nutné před vypsáním důkladně zvážit jakou smlouvu použít</w:t>
      </w:r>
      <w:r w:rsidR="00737EF3" w:rsidRPr="00737EF3">
        <w:rPr>
          <w:b/>
          <w:u w:val="single"/>
        </w:rPr>
        <w:t>.</w:t>
      </w:r>
      <w:r w:rsidR="00737EF3" w:rsidRPr="00737EF3">
        <w:t xml:space="preserve"> A pokud již konkrétní smlouvu (podmínky v ní) vybereme, tak bychom měli mít pro to důvod a na něm trvat, aby nedocházelo ke změnám zadávacích podmínek a prodlužování zadávacího řízení (viz výše 178 opravných formulářů do VVZ</w:t>
      </w:r>
      <w:r w:rsidR="0062619C">
        <w:t>, a to zde</w:t>
      </w:r>
      <w:r w:rsidR="00737EF3" w:rsidRPr="00737EF3">
        <w:t xml:space="preserve"> nejsou zohledněny změny VZMR).</w:t>
      </w:r>
    </w:p>
    <w:p w:rsidR="00C243CA" w:rsidRPr="00737EF3" w:rsidRDefault="00C243CA" w:rsidP="00297892">
      <w:pPr>
        <w:ind w:left="708"/>
        <w:jc w:val="both"/>
      </w:pPr>
    </w:p>
    <w:p w:rsidR="00297892" w:rsidRDefault="00633FC7" w:rsidP="00FE634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PTK</w:t>
      </w:r>
    </w:p>
    <w:p w:rsidR="00633FC7" w:rsidRDefault="00633FC7" w:rsidP="00633FC7">
      <w:pPr>
        <w:ind w:left="708"/>
        <w:jc w:val="both"/>
      </w:pPr>
      <w:r w:rsidRPr="00633FC7">
        <w:t>V případech, kdy před samotným vypsání VZ bylo jednáno s dodavateli o zadávacích podmínkách – jejich nastavení, tak je nutné tyto informace jednak mít dobře zdokumentované (zápisy, audio nebo videozáznamy) a tyto informace předat na OVZ – uvést do zadávací dokumentace.</w:t>
      </w:r>
    </w:p>
    <w:p w:rsidR="00633FC7" w:rsidRDefault="00CB20A0" w:rsidP="00633FC7">
      <w:pPr>
        <w:ind w:left="708"/>
        <w:jc w:val="both"/>
      </w:pPr>
      <w:r>
        <w:t>Pozor v průběhu zadávacího řízení je jednání s dodavateli již zakázáno.</w:t>
      </w:r>
    </w:p>
    <w:p w:rsidR="00CB20A0" w:rsidRDefault="00CB20A0" w:rsidP="00633FC7">
      <w:pPr>
        <w:ind w:left="708"/>
        <w:jc w:val="both"/>
      </w:pPr>
    </w:p>
    <w:p w:rsidR="00633FC7" w:rsidRDefault="00CB20A0" w:rsidP="00FE634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Odpovědné zadávání</w:t>
      </w:r>
    </w:p>
    <w:p w:rsidR="00CB20A0" w:rsidRDefault="00CB20A0" w:rsidP="00CB20A0">
      <w:pPr>
        <w:ind w:left="708"/>
        <w:jc w:val="both"/>
      </w:pPr>
      <w:r w:rsidRPr="00CB20A0">
        <w:t>Novelou ZZVZ již není povinnost zohledňovat zásady</w:t>
      </w:r>
      <w:r>
        <w:t xml:space="preserve"> </w:t>
      </w:r>
      <w:r w:rsidRPr="00CB20A0">
        <w:rPr>
          <w:b/>
        </w:rPr>
        <w:t>environmentálně</w:t>
      </w:r>
      <w:r>
        <w:t xml:space="preserve"> a </w:t>
      </w:r>
      <w:r w:rsidRPr="00CB20A0">
        <w:rPr>
          <w:b/>
        </w:rPr>
        <w:t>sociálně</w:t>
      </w:r>
      <w:r>
        <w:t xml:space="preserve"> odpovědného zadávání a zásadu </w:t>
      </w:r>
      <w:r w:rsidRPr="00CB20A0">
        <w:rPr>
          <w:b/>
        </w:rPr>
        <w:t>inovace</w:t>
      </w:r>
      <w:r>
        <w:t xml:space="preserve"> ve veřejných zakázkách malého rozsahu. Přesto pokud je to vhodné, tak stále mohou být tyto zásady v zadávacích podmínkách zohledněny.</w:t>
      </w:r>
    </w:p>
    <w:p w:rsidR="00CB20A0" w:rsidRDefault="00CB20A0" w:rsidP="00CB20A0">
      <w:pPr>
        <w:ind w:left="708"/>
        <w:jc w:val="both"/>
        <w:rPr>
          <w:b/>
        </w:rPr>
      </w:pPr>
      <w:r>
        <w:t xml:space="preserve">V případech VZ dle ZVZZ </w:t>
      </w:r>
      <w:r w:rsidR="00FC4CF5">
        <w:t xml:space="preserve">musí dodavatel zohlednění těchto zásad vždy zvážit a v případech, kdy je to </w:t>
      </w:r>
      <w:r w:rsidR="00FC4CF5" w:rsidRPr="00FC4CF5">
        <w:rPr>
          <w:b/>
        </w:rPr>
        <w:t>vhodné</w:t>
      </w:r>
      <w:r w:rsidR="00FC4CF5">
        <w:rPr>
          <w:b/>
        </w:rPr>
        <w:t xml:space="preserve">, </w:t>
      </w:r>
      <w:r w:rsidR="00FC4CF5">
        <w:t xml:space="preserve">tak tyto zásady do zadávacích podmínek zapracovat. </w:t>
      </w:r>
      <w:r w:rsidR="00FC4CF5" w:rsidRPr="00FC4CF5">
        <w:rPr>
          <w:b/>
        </w:rPr>
        <w:t xml:space="preserve">Pokud to vhodné není, tak </w:t>
      </w:r>
      <w:r w:rsidR="00FC4CF5" w:rsidRPr="00FC4CF5">
        <w:rPr>
          <w:b/>
        </w:rPr>
        <w:lastRenderedPageBreak/>
        <w:t>musí mít zadávací pracoviště relevantní odůvodnění, proč to vhodné není</w:t>
      </w:r>
      <w:r w:rsidR="00FC4CF5">
        <w:rPr>
          <w:b/>
        </w:rPr>
        <w:t xml:space="preserve"> a takové odůvodnění na požádání předloži</w:t>
      </w:r>
      <w:r w:rsidR="0023435E">
        <w:rPr>
          <w:b/>
        </w:rPr>
        <w:t>t.</w:t>
      </w:r>
    </w:p>
    <w:p w:rsidR="00FC4CF5" w:rsidRPr="00FC4CF5" w:rsidRDefault="00FC4CF5" w:rsidP="00CB20A0">
      <w:pPr>
        <w:ind w:left="708"/>
        <w:jc w:val="both"/>
      </w:pPr>
      <w:r>
        <w:t>Jedná se především o zásadu environmentálně odpovědného zadávání a zásady inovace. Se zásadou sociálně odpovědného zadávání se dokážeme částečně vyrovnat tím, že do všech smluv uvádíme povinnost dodavatelů platit svým poddodavatelů řádně a včas, dodržováním zákoníku práce, BOZP apod. Samozřejmě je možné zohlednit na žádost zadávacího pracoviště další aspekty sociálně odpovědného zadávání.</w:t>
      </w:r>
    </w:p>
    <w:p w:rsidR="00CB20A0" w:rsidRPr="00CB20A0" w:rsidRDefault="00CB20A0" w:rsidP="00CB20A0">
      <w:pPr>
        <w:ind w:left="708"/>
        <w:jc w:val="both"/>
      </w:pPr>
    </w:p>
    <w:p w:rsidR="00CB20A0" w:rsidRDefault="00FC4CF5" w:rsidP="00FE634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DNS (Dynamický nákupní systém)</w:t>
      </w:r>
    </w:p>
    <w:p w:rsidR="00FC4CF5" w:rsidRPr="00370759" w:rsidRDefault="00FC4CF5" w:rsidP="00FC4CF5">
      <w:pPr>
        <w:ind w:left="708"/>
        <w:jc w:val="both"/>
        <w:rPr>
          <w:b/>
        </w:rPr>
      </w:pPr>
      <w:r w:rsidRPr="00FC4CF5">
        <w:t>Novelou ZZVZ z července 2023 došlo</w:t>
      </w:r>
      <w:r>
        <w:t xml:space="preserve"> k zpřísnění „nahodilých“ nákupů (proměnlivá cena, aktuální potřeby), kdy </w:t>
      </w:r>
      <w:r w:rsidR="004B2FE4">
        <w:t>tyto nákupy</w:t>
      </w:r>
      <w:r>
        <w:t xml:space="preserve"> lze realizovat pouze za předpokladu, že předpokládaná cena za 12 měsíců nedosahuje limitu pro nadlimitní veřejnou zakázku (</w:t>
      </w:r>
      <w:r w:rsidR="004B2FE4">
        <w:t>3 494 000,- Kč bez DPH)</w:t>
      </w:r>
      <w:r>
        <w:t>.</w:t>
      </w:r>
      <w:r w:rsidR="00370759">
        <w:t xml:space="preserve"> Pro tyto nákupy je pak nutné zavést DNS a v rámci DNS nakupovat komodity v rámci </w:t>
      </w:r>
      <w:proofErr w:type="spellStart"/>
      <w:r w:rsidR="00370759">
        <w:t>minitendrů</w:t>
      </w:r>
      <w:proofErr w:type="spellEnd"/>
      <w:r w:rsidR="00370759">
        <w:t xml:space="preserve">. </w:t>
      </w:r>
      <w:r w:rsidR="00370759" w:rsidRPr="00370759">
        <w:rPr>
          <w:b/>
        </w:rPr>
        <w:t>Pozor na nastavení období na jak dlouho komoditu soutěžit (opravdu zvážit proměnlivost ceny, schopnost dodavatelů držet cenu), a to i z hlediska personálních kapacit – nelze kapacitně zvládnout opakování soutěží každých 14 dní či každý měsíc.</w:t>
      </w:r>
    </w:p>
    <w:p w:rsidR="00FC4CF5" w:rsidRPr="00FC4CF5" w:rsidRDefault="00FC4CF5" w:rsidP="00FC4CF5">
      <w:pPr>
        <w:ind w:left="708"/>
        <w:jc w:val="both"/>
      </w:pPr>
    </w:p>
    <w:p w:rsidR="00FC4CF5" w:rsidRDefault="00FC4CF5" w:rsidP="00FE634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Dodatky</w:t>
      </w:r>
    </w:p>
    <w:p w:rsidR="00370759" w:rsidRDefault="00370759" w:rsidP="00370759">
      <w:pPr>
        <w:ind w:left="708"/>
        <w:jc w:val="both"/>
      </w:pPr>
      <w:r w:rsidRPr="00370759">
        <w:t>Přestože se situace od některých pracovišť zlepšila, tak</w:t>
      </w:r>
      <w:r>
        <w:t xml:space="preserve"> stále přetrvává problém, že nejsme o uzavřených dodatcích na OVZ informování, přestože v některých případech máme navazující povinnost uveřejnit změnové formuláře do věstníku veřejných zakázek. </w:t>
      </w:r>
    </w:p>
    <w:p w:rsidR="00370759" w:rsidRDefault="00370759" w:rsidP="00370759">
      <w:pPr>
        <w:ind w:left="708"/>
        <w:jc w:val="both"/>
      </w:pPr>
      <w:r>
        <w:t>Pokud o dodatku nevíme, tak nemůžeme zveřejnit oznámení o změně do VVZ.</w:t>
      </w:r>
    </w:p>
    <w:p w:rsidR="00C67A08" w:rsidRDefault="00C67A08" w:rsidP="00370759">
      <w:pPr>
        <w:ind w:left="708"/>
        <w:jc w:val="both"/>
      </w:pPr>
      <w:r>
        <w:t>Pokud již informaci o dodatku víme a vztahuje se na něj povinnost uveřejnění oznámení o změně, tak zase velmi často nemáme informace, podle jakého odstavce §222 ZZVZ se dodatek uzavírá a podrobné odůvodnění uzavíraného dodatku (např. proč vícepráce či méně práce vznikly).</w:t>
      </w:r>
    </w:p>
    <w:p w:rsidR="003B25A3" w:rsidRDefault="003B25A3" w:rsidP="00370759">
      <w:pPr>
        <w:ind w:left="708"/>
        <w:jc w:val="both"/>
      </w:pPr>
    </w:p>
    <w:p w:rsidR="003B25A3" w:rsidRDefault="003B25A3" w:rsidP="00370759">
      <w:pPr>
        <w:ind w:left="708"/>
        <w:jc w:val="both"/>
      </w:pPr>
    </w:p>
    <w:sectPr w:rsidR="003B2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B1BC4"/>
    <w:multiLevelType w:val="hybridMultilevel"/>
    <w:tmpl w:val="F53230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80AE0"/>
    <w:multiLevelType w:val="hybridMultilevel"/>
    <w:tmpl w:val="C632EB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83"/>
    <w:rsid w:val="000141C7"/>
    <w:rsid w:val="00040A0A"/>
    <w:rsid w:val="000613F3"/>
    <w:rsid w:val="000A15D7"/>
    <w:rsid w:val="000C50AC"/>
    <w:rsid w:val="00185843"/>
    <w:rsid w:val="0023435E"/>
    <w:rsid w:val="00240858"/>
    <w:rsid w:val="00297892"/>
    <w:rsid w:val="00334972"/>
    <w:rsid w:val="00370759"/>
    <w:rsid w:val="003B25A3"/>
    <w:rsid w:val="003D6D02"/>
    <w:rsid w:val="00454A36"/>
    <w:rsid w:val="004B2FE4"/>
    <w:rsid w:val="00583C03"/>
    <w:rsid w:val="005D080F"/>
    <w:rsid w:val="0062619C"/>
    <w:rsid w:val="00633FC7"/>
    <w:rsid w:val="0065316B"/>
    <w:rsid w:val="006E65C4"/>
    <w:rsid w:val="00737EF3"/>
    <w:rsid w:val="00746614"/>
    <w:rsid w:val="00746E74"/>
    <w:rsid w:val="0075704D"/>
    <w:rsid w:val="007B756D"/>
    <w:rsid w:val="008364F4"/>
    <w:rsid w:val="00885807"/>
    <w:rsid w:val="008D224F"/>
    <w:rsid w:val="00934544"/>
    <w:rsid w:val="0096392F"/>
    <w:rsid w:val="009B773F"/>
    <w:rsid w:val="00AE6283"/>
    <w:rsid w:val="00B6546A"/>
    <w:rsid w:val="00B67F55"/>
    <w:rsid w:val="00C243CA"/>
    <w:rsid w:val="00C53D26"/>
    <w:rsid w:val="00C65B54"/>
    <w:rsid w:val="00C67A08"/>
    <w:rsid w:val="00C71502"/>
    <w:rsid w:val="00CB20A0"/>
    <w:rsid w:val="00D22BDD"/>
    <w:rsid w:val="00D32CA3"/>
    <w:rsid w:val="00DA4D32"/>
    <w:rsid w:val="00DB5736"/>
    <w:rsid w:val="00E340A0"/>
    <w:rsid w:val="00F2143C"/>
    <w:rsid w:val="00F676BF"/>
    <w:rsid w:val="00FC4CF5"/>
    <w:rsid w:val="00FD5B62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1F4F"/>
  <w15:chartTrackingRefBased/>
  <w15:docId w15:val="{7E5FA101-5CD5-40D9-A255-70E3B737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3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9257-C44A-4928-9D12-C133C5ED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980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Pavel, Ing.</dc:creator>
  <cp:keywords/>
  <dc:description/>
  <cp:lastModifiedBy>Dočkal Pavel, Ing.</cp:lastModifiedBy>
  <cp:revision>50</cp:revision>
  <cp:lastPrinted>2024-01-04T09:18:00Z</cp:lastPrinted>
  <dcterms:created xsi:type="dcterms:W3CDTF">2024-01-02T07:17:00Z</dcterms:created>
  <dcterms:modified xsi:type="dcterms:W3CDTF">2024-07-11T08:23:00Z</dcterms:modified>
</cp:coreProperties>
</file>