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0A" w:rsidRDefault="00C61A0A" w:rsidP="00E66816">
      <w:pPr>
        <w:jc w:val="center"/>
        <w:rPr>
          <w:sz w:val="28"/>
          <w:szCs w:val="28"/>
        </w:rPr>
      </w:pPr>
      <w:r w:rsidRPr="00E66816">
        <w:rPr>
          <w:sz w:val="28"/>
          <w:szCs w:val="28"/>
        </w:rPr>
        <w:t xml:space="preserve">Vnitropodnikové převody </w:t>
      </w:r>
      <w:r>
        <w:rPr>
          <w:sz w:val="28"/>
          <w:szCs w:val="28"/>
        </w:rPr>
        <w:t>– vyloučení z PAP</w:t>
      </w:r>
    </w:p>
    <w:p w:rsidR="00C61A0A" w:rsidRDefault="00C61A0A" w:rsidP="00E66816">
      <w:pPr>
        <w:jc w:val="center"/>
        <w:rPr>
          <w:sz w:val="28"/>
          <w:szCs w:val="28"/>
        </w:rPr>
      </w:pPr>
    </w:p>
    <w:p w:rsidR="00C61A0A" w:rsidRDefault="00C61A0A" w:rsidP="00E3534B">
      <w:pPr>
        <w:rPr>
          <w:szCs w:val="24"/>
        </w:rPr>
      </w:pPr>
    </w:p>
    <w:p w:rsidR="00C61A0A" w:rsidRDefault="00C61A0A" w:rsidP="00E3534B">
      <w:pPr>
        <w:rPr>
          <w:color w:val="000000"/>
          <w:szCs w:val="24"/>
        </w:rPr>
      </w:pPr>
      <w:r>
        <w:rPr>
          <w:color w:val="000000"/>
          <w:szCs w:val="24"/>
        </w:rPr>
        <w:t xml:space="preserve">Metodika vychází z </w:t>
      </w:r>
      <w:r w:rsidRPr="00734BA3">
        <w:rPr>
          <w:color w:val="000000"/>
          <w:szCs w:val="24"/>
        </w:rPr>
        <w:t>aktuality na webu ministerstva financí ohledně vnitropodnikových převodů a v podstatě se jedná o bod, týkající se přeúčtování dokladů při chybném uvedení nějakého údaje.</w:t>
      </w:r>
    </w:p>
    <w:p w:rsidR="00C61A0A" w:rsidRDefault="00C61A0A" w:rsidP="00734BA3">
      <w:pPr>
        <w:ind w:left="708"/>
        <w:rPr>
          <w:szCs w:val="24"/>
        </w:rPr>
      </w:pPr>
      <w:r w:rsidRPr="00734BA3">
        <w:rPr>
          <w:color w:val="000000"/>
          <w:sz w:val="20"/>
          <w:szCs w:val="20"/>
        </w:rPr>
        <w:t>Tabulka Část V: Zásoby - typy změn na straně MD a D vybraných rozvahových účtů</w:t>
      </w:r>
      <w:r w:rsidRPr="00734BA3">
        <w:rPr>
          <w:rFonts w:ascii="Tms Rmn" w:hAnsi="Tms Rmn" w:cs="Tms Rmn"/>
          <w:color w:val="000000"/>
          <w:sz w:val="20"/>
          <w:szCs w:val="20"/>
        </w:rPr>
        <w:t xml:space="preserve"> </w:t>
      </w:r>
      <w:r w:rsidRPr="00734BA3">
        <w:rPr>
          <w:rFonts w:ascii="Tms Rmn" w:hAnsi="Tms Rmn" w:cs="Tms Rmn"/>
          <w:color w:val="000000"/>
          <w:sz w:val="20"/>
          <w:szCs w:val="20"/>
        </w:rPr>
        <w:br/>
        <w:t> </w:t>
      </w:r>
      <w:r w:rsidRPr="00734BA3">
        <w:rPr>
          <w:i/>
          <w:iCs/>
          <w:color w:val="000000"/>
          <w:sz w:val="20"/>
          <w:szCs w:val="20"/>
        </w:rPr>
        <w:br/>
        <w:t>Obecná charakteristika:</w:t>
      </w:r>
      <w:r w:rsidRPr="00734BA3">
        <w:rPr>
          <w:rFonts w:ascii="Tms Rmn" w:hAnsi="Tms Rmn" w:cs="Tms Rmn"/>
          <w:color w:val="000000"/>
          <w:sz w:val="20"/>
          <w:szCs w:val="20"/>
        </w:rPr>
        <w:t xml:space="preserve"> </w:t>
      </w:r>
      <w:r w:rsidRPr="00734BA3">
        <w:rPr>
          <w:color w:val="000000"/>
          <w:sz w:val="20"/>
          <w:szCs w:val="20"/>
        </w:rPr>
        <w:br/>
        <w:t xml:space="preserve">Tabulka Část V obsahuje údaje o charakteru přírůstků a úbytků na vybraných syntetických rozvahových účtech týkajících se zásob, resp. rozkládá celkový obrat na straně má dáti/dal na předem definované kategorie změn vlivem transakcí, přecenění a ostatních změn objemu. Buňky označené symbolem „x“ se nevyplňují. Údaje z buněk označených symbolem „P12“ jsou dále sledovány podle jednotlivých partnerů transakce v Tabulce Část XII. </w:t>
      </w:r>
      <w:r w:rsidRPr="00734BA3">
        <w:rPr>
          <w:color w:val="000000"/>
          <w:sz w:val="20"/>
          <w:szCs w:val="20"/>
        </w:rPr>
        <w:br/>
        <w:t>(Pozn.: Buňky označené symbolem „P12“ se v Tabulce Část V rovněž vyplňují.)</w:t>
      </w:r>
      <w:r w:rsidRPr="00734BA3">
        <w:rPr>
          <w:rFonts w:ascii="Tms Rmn" w:hAnsi="Tms Rmn" w:cs="Tms Rmn"/>
          <w:color w:val="000000"/>
          <w:sz w:val="20"/>
          <w:szCs w:val="20"/>
        </w:rPr>
        <w:t xml:space="preserve"> </w:t>
      </w:r>
      <w:r w:rsidRPr="00734BA3">
        <w:rPr>
          <w:rFonts w:ascii="Tms Rmn" w:hAnsi="Tms Rmn" w:cs="Tms Rmn"/>
          <w:color w:val="000000"/>
          <w:sz w:val="20"/>
          <w:szCs w:val="20"/>
        </w:rPr>
        <w:br/>
        <w:t> </w:t>
      </w:r>
      <w:r w:rsidRPr="00734BA3">
        <w:rPr>
          <w:i/>
          <w:iCs/>
          <w:color w:val="000000"/>
          <w:sz w:val="20"/>
          <w:szCs w:val="20"/>
        </w:rPr>
        <w:br/>
        <w:t>Typy přírůstků a úbytků:</w:t>
      </w:r>
      <w:r w:rsidRPr="00734BA3">
        <w:rPr>
          <w:rFonts w:ascii="Tms Rmn" w:hAnsi="Tms Rmn" w:cs="Tms Rmn"/>
          <w:color w:val="000000"/>
          <w:sz w:val="20"/>
          <w:szCs w:val="20"/>
        </w:rPr>
        <w:t xml:space="preserve"> </w:t>
      </w:r>
      <w:bookmarkStart w:id="0" w:name="_GoBack"/>
      <w:bookmarkEnd w:id="0"/>
      <w:r w:rsidRPr="00734BA3">
        <w:rPr>
          <w:color w:val="0000FF"/>
          <w:sz w:val="20"/>
          <w:szCs w:val="20"/>
        </w:rPr>
        <w:br/>
        <w:t>Dochází-li uvnitř účetní jednotky k vnitroorganizačním převodům navyšujícím obraty na straně má dáti a dal, pak tyto se v roce 2012 přechodně nevykáží ve sl. [2] a [3] tabulky Část I a tento typ změny se ani v tabulce Část V nebude vyskytovat.</w:t>
      </w:r>
      <w:r w:rsidRPr="00734BA3">
        <w:rPr>
          <w:rFonts w:ascii="Tms Rmn" w:hAnsi="Tms Rmn" w:cs="Tms Rmn"/>
          <w:color w:val="FF0000"/>
          <w:sz w:val="20"/>
          <w:szCs w:val="20"/>
        </w:rPr>
        <w:t xml:space="preserve"> </w:t>
      </w:r>
      <w:r w:rsidRPr="00734BA3">
        <w:rPr>
          <w:rFonts w:ascii="Symbol" w:hAnsi="Symbol" w:cs="Symbol"/>
          <w:color w:val="FF0000"/>
          <w:sz w:val="20"/>
          <w:szCs w:val="20"/>
        </w:rPr>
        <w:t></w:t>
      </w:r>
      <w:r w:rsidRPr="00734BA3">
        <w:rPr>
          <w:color w:val="000000"/>
          <w:sz w:val="20"/>
          <w:szCs w:val="20"/>
        </w:rPr>
        <w:t>9]</w:t>
      </w:r>
      <w:r w:rsidRPr="00734BA3">
        <w:rPr>
          <w:rFonts w:ascii="Tms Rmn" w:hAnsi="Tms Rmn" w:cs="Tms Rmn"/>
          <w:color w:val="000000"/>
          <w:sz w:val="20"/>
          <w:szCs w:val="20"/>
        </w:rPr>
        <w:t xml:space="preserve"> </w:t>
      </w:r>
      <w:r w:rsidRPr="00734BA3">
        <w:rPr>
          <w:rFonts w:ascii="Tms Rmn" w:hAnsi="Tms Rmn" w:cs="Tms Rmn"/>
          <w:color w:val="000000"/>
          <w:sz w:val="20"/>
          <w:szCs w:val="20"/>
        </w:rPr>
        <w:br/>
        <w:t> </w:t>
      </w:r>
    </w:p>
    <w:p w:rsidR="00C61A0A" w:rsidRDefault="00C61A0A" w:rsidP="00E3534B">
      <w:pPr>
        <w:rPr>
          <w:szCs w:val="24"/>
        </w:rPr>
      </w:pPr>
      <w:r>
        <w:rPr>
          <w:szCs w:val="24"/>
        </w:rPr>
        <w:t>Vzorová simulace účetních položek skladové převodky (např. při opravách skladových pohybů):</w:t>
      </w:r>
    </w:p>
    <w:p w:rsidR="00C61A0A" w:rsidRDefault="00C61A0A" w:rsidP="00614856">
      <w:pPr>
        <w:rPr>
          <w:szCs w:val="24"/>
        </w:rPr>
      </w:pPr>
      <w:r w:rsidRPr="00B61E8E">
        <w:rPr>
          <w:noProof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7" o:spid="_x0000_i1025" type="#_x0000_t75" style="width:450pt;height:70.5pt;visibility:visible">
            <v:imagedata r:id="rId5" o:title=""/>
          </v:shape>
        </w:pict>
      </w:r>
    </w:p>
    <w:p w:rsidR="00C61A0A" w:rsidRDefault="00C61A0A" w:rsidP="00614856">
      <w:pPr>
        <w:rPr>
          <w:szCs w:val="24"/>
        </w:rPr>
      </w:pPr>
      <w:r>
        <w:rPr>
          <w:szCs w:val="24"/>
        </w:rPr>
        <w:t>Jedná se o vzor pohybů, které by měly být z výkazů PAP vyloučeny.</w:t>
      </w:r>
    </w:p>
    <w:p w:rsidR="00C61A0A" w:rsidRDefault="00C61A0A" w:rsidP="00614856">
      <w:pPr>
        <w:rPr>
          <w:szCs w:val="24"/>
        </w:rPr>
      </w:pPr>
    </w:p>
    <w:p w:rsidR="00C61A0A" w:rsidRDefault="00C61A0A" w:rsidP="00AA7FE4">
      <w:pPr>
        <w:rPr>
          <w:szCs w:val="24"/>
        </w:rPr>
      </w:pPr>
      <w:r>
        <w:rPr>
          <w:szCs w:val="24"/>
        </w:rPr>
        <w:t>Rozvaha pro PAP (bez korekce na vnitropodnikové převody) tyto pohyby zahrne:</w:t>
      </w:r>
    </w:p>
    <w:p w:rsidR="00C61A0A" w:rsidRDefault="00C61A0A" w:rsidP="00AA7FE4">
      <w:pPr>
        <w:rPr>
          <w:szCs w:val="24"/>
        </w:rPr>
      </w:pPr>
      <w:r w:rsidRPr="00B61E8E">
        <w:rPr>
          <w:noProof/>
          <w:szCs w:val="24"/>
          <w:lang w:eastAsia="cs-CZ"/>
        </w:rPr>
        <w:pict>
          <v:shape id="Obrázek 13" o:spid="_x0000_i1026" type="#_x0000_t75" style="width:450.75pt;height:51.75pt;visibility:visible">
            <v:imagedata r:id="rId6" o:title=""/>
          </v:shape>
        </w:pict>
      </w:r>
    </w:p>
    <w:p w:rsidR="00C61A0A" w:rsidRDefault="00C61A0A" w:rsidP="00AA7FE4">
      <w:pPr>
        <w:rPr>
          <w:szCs w:val="24"/>
        </w:rPr>
      </w:pPr>
    </w:p>
    <w:p w:rsidR="00C61A0A" w:rsidRDefault="00C61A0A" w:rsidP="00AA7FE4">
      <w:pPr>
        <w:rPr>
          <w:szCs w:val="24"/>
        </w:rPr>
      </w:pPr>
      <w:r>
        <w:rPr>
          <w:szCs w:val="24"/>
        </w:rPr>
        <w:t>Vyloučení lze provést:</w:t>
      </w:r>
    </w:p>
    <w:p w:rsidR="00C61A0A" w:rsidRDefault="00C61A0A" w:rsidP="00F0179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Ruční korekcí nad výkazem</w:t>
      </w:r>
    </w:p>
    <w:p w:rsidR="00C61A0A" w:rsidRDefault="00C61A0A" w:rsidP="00302B3A">
      <w:pPr>
        <w:pStyle w:val="ListParagraph"/>
        <w:rPr>
          <w:szCs w:val="24"/>
        </w:rPr>
      </w:pPr>
      <w:r>
        <w:rPr>
          <w:szCs w:val="24"/>
        </w:rPr>
        <w:t>V případě opakovaného výpočtu tabulky je nezbytné korekce zkontrolovat a podle podkladů případně doplnit (nejsou ukládány k výkazu „k datu“)</w:t>
      </w:r>
    </w:p>
    <w:p w:rsidR="00C61A0A" w:rsidRDefault="00C61A0A" w:rsidP="00F0179A">
      <w:pPr>
        <w:rPr>
          <w:szCs w:val="24"/>
        </w:rPr>
      </w:pPr>
      <w:r w:rsidRPr="00B61E8E">
        <w:rPr>
          <w:noProof/>
          <w:szCs w:val="24"/>
          <w:lang w:eastAsia="cs-CZ"/>
        </w:rPr>
        <w:pict>
          <v:shape id="Obrázek 16" o:spid="_x0000_i1027" type="#_x0000_t75" style="width:453pt;height:95.25pt;visibility:visible">
            <v:imagedata r:id="rId7" o:title=""/>
          </v:shape>
        </w:pict>
      </w:r>
    </w:p>
    <w:p w:rsidR="00C61A0A" w:rsidRDefault="00C61A0A" w:rsidP="00F0179A">
      <w:pPr>
        <w:rPr>
          <w:szCs w:val="24"/>
        </w:rPr>
      </w:pPr>
    </w:p>
    <w:p w:rsidR="00C61A0A" w:rsidRDefault="00C61A0A" w:rsidP="00F0179A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Korekčním dokladem pro potřeby PAP</w:t>
      </w:r>
    </w:p>
    <w:p w:rsidR="00C61A0A" w:rsidRPr="00DB46DC" w:rsidRDefault="00C61A0A" w:rsidP="00DB46DC">
      <w:pPr>
        <w:pStyle w:val="ListParagraph"/>
        <w:rPr>
          <w:szCs w:val="24"/>
        </w:rPr>
      </w:pPr>
      <w:r>
        <w:rPr>
          <w:szCs w:val="24"/>
        </w:rPr>
        <w:t xml:space="preserve">Pro každý řádek rozvahy pro PAP se korekce provede </w:t>
      </w:r>
      <w:r w:rsidRPr="00DB46DC">
        <w:rPr>
          <w:szCs w:val="24"/>
        </w:rPr>
        <w:t>v sumě za syntetický účet pro PAP – zvážit „korekční analytiku pro PAP“</w:t>
      </w:r>
      <w:r>
        <w:rPr>
          <w:szCs w:val="24"/>
        </w:rPr>
        <w:t xml:space="preserve"> pro jednoduchou dohledatelnost. Vyloučení vnitropodnikových převodů pro potřeby PAP zůstávají součástí účetnictví.</w:t>
      </w:r>
    </w:p>
    <w:p w:rsidR="00C61A0A" w:rsidRDefault="00C61A0A" w:rsidP="00F0179A">
      <w:pPr>
        <w:rPr>
          <w:szCs w:val="24"/>
        </w:rPr>
      </w:pPr>
    </w:p>
    <w:p w:rsidR="00C61A0A" w:rsidRDefault="00C61A0A" w:rsidP="00F0179A">
      <w:pPr>
        <w:rPr>
          <w:szCs w:val="24"/>
        </w:rPr>
      </w:pPr>
      <w:r w:rsidRPr="00B61E8E">
        <w:rPr>
          <w:noProof/>
          <w:szCs w:val="24"/>
          <w:lang w:eastAsia="cs-CZ"/>
        </w:rPr>
        <w:pict>
          <v:shape id="Obrázek 18" o:spid="_x0000_i1028" type="#_x0000_t75" style="width:447.75pt;height:22.5pt;visibility:visible">
            <v:imagedata r:id="rId8" o:title=""/>
          </v:shape>
        </w:pict>
      </w:r>
    </w:p>
    <w:p w:rsidR="00C61A0A" w:rsidRDefault="00C61A0A" w:rsidP="00F0179A">
      <w:pPr>
        <w:rPr>
          <w:szCs w:val="24"/>
        </w:rPr>
      </w:pPr>
    </w:p>
    <w:p w:rsidR="00C61A0A" w:rsidRDefault="00C61A0A" w:rsidP="00163ECD">
      <w:pPr>
        <w:rPr>
          <w:szCs w:val="24"/>
        </w:rPr>
      </w:pPr>
      <w:r>
        <w:rPr>
          <w:szCs w:val="24"/>
        </w:rPr>
        <w:t>Rozvaha pro PAP (se započítanými korekcemi na vnitropodnikové převody):</w:t>
      </w:r>
    </w:p>
    <w:p w:rsidR="00C61A0A" w:rsidRPr="00F0179A" w:rsidRDefault="00C61A0A" w:rsidP="00F0179A">
      <w:pPr>
        <w:rPr>
          <w:szCs w:val="24"/>
        </w:rPr>
      </w:pPr>
      <w:r w:rsidRPr="00B61E8E">
        <w:rPr>
          <w:noProof/>
          <w:szCs w:val="24"/>
          <w:lang w:eastAsia="cs-CZ"/>
        </w:rPr>
        <w:pict>
          <v:shape id="Obrázek 19" o:spid="_x0000_i1029" type="#_x0000_t75" style="width:448.5pt;height:135pt;visibility:visible">
            <v:imagedata r:id="rId9" o:title=""/>
          </v:shape>
        </w:pict>
      </w:r>
    </w:p>
    <w:p w:rsidR="00C61A0A" w:rsidRDefault="00C61A0A" w:rsidP="00AA7FE4">
      <w:pPr>
        <w:rPr>
          <w:szCs w:val="24"/>
        </w:rPr>
      </w:pPr>
      <w:r>
        <w:rPr>
          <w:szCs w:val="24"/>
        </w:rPr>
        <w:t xml:space="preserve">Zeleně je označen vliv korekčního dokladu </w:t>
      </w:r>
    </w:p>
    <w:p w:rsidR="00C61A0A" w:rsidRDefault="00C61A0A" w:rsidP="00AA7FE4">
      <w:pPr>
        <w:rPr>
          <w:szCs w:val="24"/>
        </w:rPr>
      </w:pPr>
      <w:r>
        <w:rPr>
          <w:szCs w:val="24"/>
        </w:rPr>
        <w:t>Oranžový je potom standardní pohyb započítávaný do PAP</w:t>
      </w:r>
    </w:p>
    <w:p w:rsidR="00C61A0A" w:rsidRDefault="00C61A0A" w:rsidP="00AA7FE4">
      <w:pPr>
        <w:rPr>
          <w:szCs w:val="24"/>
        </w:rPr>
      </w:pPr>
    </w:p>
    <w:p w:rsidR="00C61A0A" w:rsidRDefault="00C61A0A" w:rsidP="00AA7FE4">
      <w:pPr>
        <w:rPr>
          <w:szCs w:val="24"/>
        </w:rPr>
      </w:pPr>
      <w:r>
        <w:rPr>
          <w:szCs w:val="24"/>
        </w:rPr>
        <w:t xml:space="preserve">Výkaz </w:t>
      </w:r>
      <w:r w:rsidRPr="0016075D">
        <w:rPr>
          <w:szCs w:val="24"/>
        </w:rPr>
        <w:t>Pomocný analytický přehled - část I (Rozvaha) 2012</w:t>
      </w:r>
      <w:r>
        <w:rPr>
          <w:szCs w:val="24"/>
        </w:rPr>
        <w:t xml:space="preserve"> se zahrnutím korekčního dokladu:</w:t>
      </w:r>
    </w:p>
    <w:p w:rsidR="00C61A0A" w:rsidRDefault="00C61A0A" w:rsidP="00AA7FE4">
      <w:pPr>
        <w:rPr>
          <w:szCs w:val="24"/>
        </w:rPr>
      </w:pPr>
      <w:r w:rsidRPr="00B61E8E">
        <w:rPr>
          <w:noProof/>
          <w:szCs w:val="24"/>
          <w:lang w:eastAsia="cs-CZ"/>
        </w:rPr>
        <w:pict>
          <v:shape id="Obrázek 21" o:spid="_x0000_i1030" type="#_x0000_t75" style="width:447pt;height:55.5pt;visibility:visible">
            <v:imagedata r:id="rId10" o:title=""/>
          </v:shape>
        </w:pict>
      </w:r>
    </w:p>
    <w:p w:rsidR="00C61A0A" w:rsidRDefault="00C61A0A" w:rsidP="00AA7FE4">
      <w:pPr>
        <w:rPr>
          <w:szCs w:val="24"/>
        </w:rPr>
      </w:pPr>
    </w:p>
    <w:p w:rsidR="00C61A0A" w:rsidRDefault="00C61A0A" w:rsidP="00614856">
      <w:pPr>
        <w:rPr>
          <w:szCs w:val="24"/>
        </w:rPr>
      </w:pPr>
    </w:p>
    <w:p w:rsidR="00C61A0A" w:rsidRDefault="00C61A0A" w:rsidP="00614856">
      <w:pPr>
        <w:rPr>
          <w:szCs w:val="24"/>
        </w:rPr>
      </w:pPr>
    </w:p>
    <w:p w:rsidR="00C61A0A" w:rsidRPr="00C73351" w:rsidRDefault="00C61A0A" w:rsidP="00C73351">
      <w:pPr>
        <w:rPr>
          <w:szCs w:val="24"/>
        </w:rPr>
      </w:pPr>
    </w:p>
    <w:p w:rsidR="00C61A0A" w:rsidRDefault="00C61A0A" w:rsidP="00E66816">
      <w:pPr>
        <w:rPr>
          <w:szCs w:val="24"/>
        </w:rPr>
      </w:pPr>
    </w:p>
    <w:p w:rsidR="00C61A0A" w:rsidRPr="00E66816" w:rsidRDefault="00C61A0A" w:rsidP="00E66816">
      <w:pPr>
        <w:rPr>
          <w:szCs w:val="24"/>
        </w:rPr>
      </w:pPr>
    </w:p>
    <w:sectPr w:rsidR="00C61A0A" w:rsidRPr="00E66816" w:rsidSect="0082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2BB"/>
    <w:multiLevelType w:val="hybridMultilevel"/>
    <w:tmpl w:val="1E0C07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C77A3"/>
    <w:multiLevelType w:val="hybridMultilevel"/>
    <w:tmpl w:val="C9A8AAAE"/>
    <w:lvl w:ilvl="0" w:tplc="F2EABC6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767666"/>
    <w:multiLevelType w:val="hybridMultilevel"/>
    <w:tmpl w:val="66181D2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816"/>
    <w:rsid w:val="00034AA1"/>
    <w:rsid w:val="00071B77"/>
    <w:rsid w:val="001202A1"/>
    <w:rsid w:val="0016075D"/>
    <w:rsid w:val="00163ECD"/>
    <w:rsid w:val="001D224D"/>
    <w:rsid w:val="001E2051"/>
    <w:rsid w:val="00257162"/>
    <w:rsid w:val="002A59C4"/>
    <w:rsid w:val="00302B3A"/>
    <w:rsid w:val="005E42FA"/>
    <w:rsid w:val="00614856"/>
    <w:rsid w:val="00734BA3"/>
    <w:rsid w:val="007A6D95"/>
    <w:rsid w:val="00825BB7"/>
    <w:rsid w:val="009F5216"/>
    <w:rsid w:val="00AA7FE4"/>
    <w:rsid w:val="00B61E8E"/>
    <w:rsid w:val="00BB771D"/>
    <w:rsid w:val="00BC2C0B"/>
    <w:rsid w:val="00C61A0A"/>
    <w:rsid w:val="00C70D7E"/>
    <w:rsid w:val="00C73351"/>
    <w:rsid w:val="00CF4444"/>
    <w:rsid w:val="00D863F7"/>
    <w:rsid w:val="00D96C58"/>
    <w:rsid w:val="00DB46DC"/>
    <w:rsid w:val="00E25497"/>
    <w:rsid w:val="00E3534B"/>
    <w:rsid w:val="00E66816"/>
    <w:rsid w:val="00F0179A"/>
    <w:rsid w:val="00F9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B7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5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53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35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305</Words>
  <Characters>1803</Characters>
  <Application>Microsoft Office Outlook</Application>
  <DocSecurity>0</DocSecurity>
  <Lines>0</Lines>
  <Paragraphs>0</Paragraphs>
  <ScaleCrop>false</ScaleCrop>
  <Company>OR-NEXT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Vnitropodnikové převody – vyloučení z PAP</dc:title>
  <dc:subject/>
  <dc:creator>Tereza Rychla</dc:creator>
  <cp:keywords/>
  <dc:description/>
  <cp:lastModifiedBy>01372</cp:lastModifiedBy>
  <cp:revision>2</cp:revision>
  <dcterms:created xsi:type="dcterms:W3CDTF">2012-06-19T12:23:00Z</dcterms:created>
  <dcterms:modified xsi:type="dcterms:W3CDTF">2012-06-19T12:23:00Z</dcterms:modified>
</cp:coreProperties>
</file>