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776" w:type="dxa"/>
        <w:tblLayout w:type="fixed"/>
        <w:tblLook w:val="04A0"/>
      </w:tblPr>
      <w:tblGrid>
        <w:gridCol w:w="1007"/>
        <w:gridCol w:w="7635"/>
        <w:gridCol w:w="1134"/>
      </w:tblGrid>
      <w:tr w:rsidR="002222F8" w:rsidTr="00436B65">
        <w:tc>
          <w:tcPr>
            <w:tcW w:w="1007" w:type="dxa"/>
            <w:shd w:val="pct15" w:color="auto" w:fill="auto"/>
          </w:tcPr>
          <w:p w:rsidR="002222F8" w:rsidRDefault="002222F8">
            <w:pPr>
              <w:tabs>
                <w:tab w:val="center" w:pos="4767"/>
                <w:tab w:val="center" w:pos="8402"/>
              </w:tabs>
              <w:ind w:left="0" w:firstLine="0"/>
            </w:pPr>
            <w:r>
              <w:t>Oblast</w:t>
            </w:r>
          </w:p>
        </w:tc>
        <w:tc>
          <w:tcPr>
            <w:tcW w:w="7635" w:type="dxa"/>
            <w:shd w:val="pct15" w:color="auto" w:fill="auto"/>
          </w:tcPr>
          <w:p w:rsidR="002222F8" w:rsidRDefault="002222F8">
            <w:pPr>
              <w:tabs>
                <w:tab w:val="center" w:pos="4767"/>
                <w:tab w:val="center" w:pos="8402"/>
              </w:tabs>
              <w:ind w:left="0" w:firstLine="0"/>
            </w:pPr>
            <w:r>
              <w:t>Akce</w:t>
            </w:r>
          </w:p>
        </w:tc>
        <w:tc>
          <w:tcPr>
            <w:tcW w:w="1134" w:type="dxa"/>
            <w:shd w:val="pct15" w:color="auto" w:fill="auto"/>
          </w:tcPr>
          <w:p w:rsidR="002222F8" w:rsidRDefault="002222F8">
            <w:pPr>
              <w:tabs>
                <w:tab w:val="center" w:pos="4767"/>
                <w:tab w:val="center" w:pos="8402"/>
              </w:tabs>
              <w:ind w:left="0" w:firstLine="0"/>
            </w:pPr>
            <w:r>
              <w:t>Poznámka</w:t>
            </w:r>
          </w:p>
        </w:tc>
      </w:tr>
      <w:tr w:rsidR="001822E8" w:rsidTr="00436B65">
        <w:trPr>
          <w:trHeight w:val="2430"/>
        </w:trPr>
        <w:tc>
          <w:tcPr>
            <w:tcW w:w="1007" w:type="dxa"/>
            <w:vMerge w:val="restart"/>
          </w:tcPr>
          <w:p w:rsidR="001822E8" w:rsidRDefault="001822E8">
            <w:pPr>
              <w:tabs>
                <w:tab w:val="center" w:pos="4767"/>
                <w:tab w:val="center" w:pos="8402"/>
              </w:tabs>
              <w:ind w:left="0" w:firstLine="0"/>
            </w:pPr>
          </w:p>
          <w:p w:rsidR="001822E8" w:rsidRDefault="001822E8">
            <w:pPr>
              <w:tabs>
                <w:tab w:val="center" w:pos="4767"/>
                <w:tab w:val="center" w:pos="8402"/>
              </w:tabs>
              <w:ind w:left="0" w:firstLine="0"/>
            </w:pPr>
            <w:r>
              <w:t>Účetnictví</w:t>
            </w:r>
          </w:p>
        </w:tc>
        <w:tc>
          <w:tcPr>
            <w:tcW w:w="7635" w:type="dxa"/>
          </w:tcPr>
          <w:p w:rsidR="001822E8" w:rsidRDefault="001822E8" w:rsidP="002222F8">
            <w:pPr>
              <w:tabs>
                <w:tab w:val="center" w:pos="4767"/>
                <w:tab w:val="center" w:pos="8402"/>
              </w:tabs>
              <w:ind w:left="0" w:firstLine="0"/>
              <w:jc w:val="both"/>
            </w:pPr>
          </w:p>
          <w:p w:rsidR="001822E8" w:rsidRDefault="001822E8" w:rsidP="002222F8">
            <w:pPr>
              <w:tabs>
                <w:tab w:val="center" w:pos="4767"/>
                <w:tab w:val="center" w:pos="8402"/>
              </w:tabs>
              <w:ind w:left="0" w:firstLine="156"/>
              <w:jc w:val="both"/>
            </w:pPr>
            <w:r>
              <w:t xml:space="preserve">V účetním období 2017 lze účtovat zcela bezproblémově bez provedení závěrky. </w:t>
            </w:r>
            <w:r>
              <w:tab/>
            </w:r>
            <w:r>
              <w:rPr>
                <w:rFonts w:ascii="Times New Roman" w:eastAsia="Times New Roman" w:hAnsi="Times New Roman" w:cs="Times New Roman"/>
                <w:sz w:val="20"/>
              </w:rPr>
              <w:t xml:space="preserve"> </w:t>
            </w:r>
          </w:p>
          <w:p w:rsidR="001822E8" w:rsidRDefault="001822E8" w:rsidP="002222F8">
            <w:pPr>
              <w:ind w:left="156" w:right="175"/>
              <w:jc w:val="both"/>
            </w:pPr>
            <w:r>
              <w:t>Konečná závěrka za rok 2016 se provede po odsouhlasení účetnictví auditory.</w:t>
            </w:r>
            <w:r>
              <w:rPr>
                <w:rFonts w:ascii="Times New Roman" w:eastAsia="Times New Roman" w:hAnsi="Times New Roman" w:cs="Times New Roman"/>
                <w:sz w:val="20"/>
              </w:rPr>
              <w:t xml:space="preserve"> </w:t>
            </w:r>
          </w:p>
          <w:p w:rsidR="001822E8" w:rsidRDefault="001822E8" w:rsidP="002222F8">
            <w:pPr>
              <w:spacing w:after="0" w:line="259" w:lineRule="auto"/>
              <w:ind w:left="156" w:right="175" w:firstLine="0"/>
              <w:jc w:val="both"/>
            </w:pPr>
          </w:p>
          <w:p w:rsidR="001822E8" w:rsidRDefault="001822E8" w:rsidP="002222F8">
            <w:pPr>
              <w:ind w:left="156" w:right="175"/>
              <w:jc w:val="both"/>
            </w:pPr>
            <w:r>
              <w:t>Provedením účetní závěrky za období od 1. 1. 2016 do 31. 12. 2016 je možné převést počáteční stavy do období 2017, počáteční stavy je možné ponechat neuzavřené. Následně lze editací závěrky posunout datum před 31. 12. 2016 a ponechat tak období otevřené pro korekce. Při dalším provedení závěrky dojde nejprve k výmazu počátečních stavů a následně k jejich novému naplnění. Tímto mechanismem lze zajistit, že sestavy za rok 2017 v sobě budou zahrnovat informaci o počátečním stavu.</w:t>
            </w:r>
            <w:r>
              <w:rPr>
                <w:rFonts w:ascii="Times New Roman" w:eastAsia="Times New Roman" w:hAnsi="Times New Roman" w:cs="Times New Roman"/>
                <w:sz w:val="20"/>
              </w:rPr>
              <w:t xml:space="preserve"> </w:t>
            </w:r>
          </w:p>
          <w:p w:rsidR="001822E8" w:rsidRDefault="001822E8" w:rsidP="002222F8">
            <w:pPr>
              <w:spacing w:after="12" w:line="259" w:lineRule="auto"/>
              <w:ind w:left="156" w:right="175"/>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c>
          <w:tcPr>
            <w:tcW w:w="1134" w:type="dxa"/>
          </w:tcPr>
          <w:p w:rsidR="001822E8" w:rsidRDefault="001822E8">
            <w:pPr>
              <w:tabs>
                <w:tab w:val="center" w:pos="4767"/>
                <w:tab w:val="center" w:pos="8402"/>
              </w:tabs>
              <w:ind w:left="0" w:firstLine="0"/>
            </w:pPr>
          </w:p>
          <w:p w:rsidR="001822E8" w:rsidRDefault="001822E8">
            <w:pPr>
              <w:tabs>
                <w:tab w:val="center" w:pos="4767"/>
                <w:tab w:val="center" w:pos="8402"/>
              </w:tabs>
              <w:ind w:left="0" w:firstLine="0"/>
            </w:pPr>
            <w:r>
              <w:t>Buzková</w:t>
            </w:r>
          </w:p>
          <w:p w:rsidR="001822E8" w:rsidRDefault="001822E8">
            <w:pPr>
              <w:tabs>
                <w:tab w:val="center" w:pos="4767"/>
                <w:tab w:val="center" w:pos="8402"/>
              </w:tabs>
              <w:ind w:left="0" w:firstLine="0"/>
            </w:pPr>
            <w:r>
              <w:t>L. Novák</w:t>
            </w:r>
          </w:p>
        </w:tc>
      </w:tr>
      <w:tr w:rsidR="001822E8" w:rsidTr="00436B65">
        <w:trPr>
          <w:trHeight w:val="870"/>
        </w:trPr>
        <w:tc>
          <w:tcPr>
            <w:tcW w:w="1007" w:type="dxa"/>
            <w:vMerge/>
          </w:tcPr>
          <w:p w:rsidR="001822E8" w:rsidRDefault="001822E8">
            <w:pPr>
              <w:tabs>
                <w:tab w:val="center" w:pos="4767"/>
                <w:tab w:val="center" w:pos="8402"/>
              </w:tabs>
              <w:ind w:left="0" w:firstLine="0"/>
            </w:pPr>
          </w:p>
        </w:tc>
        <w:tc>
          <w:tcPr>
            <w:tcW w:w="7635" w:type="dxa"/>
          </w:tcPr>
          <w:p w:rsidR="001822E8" w:rsidRDefault="001822E8" w:rsidP="002222F8">
            <w:pPr>
              <w:ind w:left="156" w:right="175"/>
              <w:jc w:val="both"/>
            </w:pPr>
            <w:r>
              <w:t>Před provedením závěrky je třeba nejprve založit nové účetní období (pomocí klávesy INS nebo ikony "+" na nástrojové liště) na formuláři " Účetní období – definice " ("Podvojné účetnictví / Číselníky - Podvojné účetnictví").</w:t>
            </w:r>
            <w:r>
              <w:rPr>
                <w:rFonts w:ascii="Times New Roman" w:eastAsia="Times New Roman" w:hAnsi="Times New Roman" w:cs="Times New Roman"/>
                <w:sz w:val="20"/>
              </w:rPr>
              <w:t xml:space="preserve"> </w:t>
            </w:r>
          </w:p>
          <w:p w:rsidR="001822E8" w:rsidRDefault="001822E8" w:rsidP="002222F8">
            <w:pPr>
              <w:ind w:left="156" w:right="175" w:hanging="155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tc>
        <w:tc>
          <w:tcPr>
            <w:tcW w:w="1134" w:type="dxa"/>
          </w:tcPr>
          <w:p w:rsidR="001822E8" w:rsidRDefault="00C021F1" w:rsidP="001822E8">
            <w:pPr>
              <w:tabs>
                <w:tab w:val="center" w:pos="4767"/>
                <w:tab w:val="center" w:pos="8402"/>
              </w:tabs>
              <w:ind w:left="0"/>
            </w:pPr>
            <w:r>
              <w:t>Buzková</w:t>
            </w:r>
          </w:p>
        </w:tc>
      </w:tr>
      <w:tr w:rsidR="001822E8" w:rsidTr="00436B65">
        <w:trPr>
          <w:trHeight w:val="930"/>
        </w:trPr>
        <w:tc>
          <w:tcPr>
            <w:tcW w:w="1007" w:type="dxa"/>
            <w:vMerge/>
          </w:tcPr>
          <w:p w:rsidR="001822E8" w:rsidRDefault="001822E8">
            <w:pPr>
              <w:tabs>
                <w:tab w:val="center" w:pos="4767"/>
                <w:tab w:val="center" w:pos="8402"/>
              </w:tabs>
              <w:ind w:left="0" w:firstLine="0"/>
            </w:pPr>
          </w:p>
        </w:tc>
        <w:tc>
          <w:tcPr>
            <w:tcW w:w="7635" w:type="dxa"/>
          </w:tcPr>
          <w:p w:rsidR="001822E8" w:rsidRDefault="001822E8" w:rsidP="001822E8">
            <w:pPr>
              <w:ind w:left="156" w:right="175" w:firstLine="0"/>
              <w:jc w:val="both"/>
            </w:pPr>
            <w:r>
              <w:t xml:space="preserve">Systém automaticky překlopí definici účtového rozvrhu z předcházejícího období. </w:t>
            </w:r>
            <w:r>
              <w:tab/>
            </w:r>
            <w:r>
              <w:rPr>
                <w:rFonts w:ascii="Times New Roman" w:eastAsia="Times New Roman" w:hAnsi="Times New Roman" w:cs="Times New Roman"/>
                <w:sz w:val="20"/>
              </w:rPr>
              <w:t xml:space="preserve"> </w:t>
            </w:r>
            <w:r>
              <w:t>Případné úpravy účtového rozvrhu pro nové období pak lze provést standardními nástroji v daném období (Podvojné účetnictví / Číselníky - účetnictví / Účtový rozvrh – definice)</w:t>
            </w:r>
            <w:r>
              <w:rPr>
                <w:rFonts w:ascii="Times New Roman" w:eastAsia="Times New Roman" w:hAnsi="Times New Roman" w:cs="Times New Roman"/>
                <w:sz w:val="20"/>
              </w:rPr>
              <w:t xml:space="preserve"> </w:t>
            </w:r>
          </w:p>
          <w:p w:rsidR="001822E8" w:rsidRDefault="001822E8" w:rsidP="002222F8">
            <w:pPr>
              <w:spacing w:after="44" w:line="259" w:lineRule="auto"/>
              <w:ind w:left="156" w:right="175"/>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c>
          <w:tcPr>
            <w:tcW w:w="1134" w:type="dxa"/>
          </w:tcPr>
          <w:p w:rsidR="001822E8" w:rsidRDefault="00C021F1" w:rsidP="001822E8">
            <w:pPr>
              <w:tabs>
                <w:tab w:val="center" w:pos="4767"/>
                <w:tab w:val="center" w:pos="8402"/>
              </w:tabs>
              <w:ind w:left="0"/>
            </w:pPr>
            <w:r>
              <w:t>Buzková</w:t>
            </w:r>
          </w:p>
        </w:tc>
      </w:tr>
      <w:tr w:rsidR="001822E8" w:rsidTr="00436B65">
        <w:trPr>
          <w:trHeight w:val="1950"/>
        </w:trPr>
        <w:tc>
          <w:tcPr>
            <w:tcW w:w="1007" w:type="dxa"/>
            <w:vMerge/>
          </w:tcPr>
          <w:p w:rsidR="001822E8" w:rsidRDefault="001822E8">
            <w:pPr>
              <w:tabs>
                <w:tab w:val="center" w:pos="4767"/>
                <w:tab w:val="center" w:pos="8402"/>
              </w:tabs>
              <w:ind w:left="0" w:firstLine="0"/>
            </w:pPr>
          </w:p>
        </w:tc>
        <w:tc>
          <w:tcPr>
            <w:tcW w:w="7635" w:type="dxa"/>
          </w:tcPr>
          <w:p w:rsidR="00C021F1" w:rsidRDefault="00C021F1" w:rsidP="002222F8">
            <w:pPr>
              <w:tabs>
                <w:tab w:val="center" w:pos="3187"/>
                <w:tab w:val="center" w:pos="8402"/>
              </w:tabs>
              <w:ind w:left="156" w:right="175" w:firstLine="0"/>
              <w:jc w:val="both"/>
            </w:pPr>
          </w:p>
          <w:p w:rsidR="001822E8" w:rsidRDefault="001822E8" w:rsidP="002222F8">
            <w:pPr>
              <w:tabs>
                <w:tab w:val="center" w:pos="3187"/>
                <w:tab w:val="center" w:pos="8402"/>
              </w:tabs>
              <w:ind w:left="156" w:right="175" w:firstLine="0"/>
              <w:jc w:val="both"/>
            </w:pPr>
            <w:r>
              <w:t>Změna aktuálního účetního období k 1.1.</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1822E8" w:rsidRDefault="001822E8" w:rsidP="002222F8">
            <w:pPr>
              <w:spacing w:after="0" w:line="259" w:lineRule="auto"/>
              <w:ind w:left="156" w:right="175" w:firstLine="0"/>
              <w:jc w:val="both"/>
            </w:pPr>
            <w:r>
              <w:rPr>
                <w:rFonts w:ascii="Times New Roman" w:eastAsia="Times New Roman" w:hAnsi="Times New Roman" w:cs="Times New Roman"/>
                <w:sz w:val="20"/>
              </w:rPr>
              <w:t xml:space="preserve"> </w:t>
            </w:r>
          </w:p>
          <w:p w:rsidR="001822E8" w:rsidRDefault="001822E8" w:rsidP="002222F8">
            <w:pPr>
              <w:ind w:left="156" w:right="175"/>
              <w:jc w:val="both"/>
            </w:pPr>
            <w:r>
              <w:t>První den nového období (tj. 1. 1. 2017) nebo v co nejbližším termínu po spuštění systému změnit v globální konfiguraci aktuální účetní období. Nastavení se provede na systémové liště volbou "Společná nastavení / Globální konfigurace / záložka Společná konfigurace aplikací / údaj Aktuální účetní období". Tato změna ovlivňuje také pořizování dokladů, kdy je uživatel upozorňován, že vkládá doklad do jiného než aktuálního účetního období, proto je vhodné tuto změnu provést.</w:t>
            </w:r>
            <w:r>
              <w:rPr>
                <w:rFonts w:ascii="Times New Roman" w:eastAsia="Times New Roman" w:hAnsi="Times New Roman" w:cs="Times New Roman"/>
                <w:sz w:val="20"/>
              </w:rPr>
              <w:t xml:space="preserve"> </w:t>
            </w:r>
          </w:p>
          <w:p w:rsidR="001822E8" w:rsidRDefault="001822E8" w:rsidP="002222F8">
            <w:pPr>
              <w:spacing w:after="0" w:line="259" w:lineRule="auto"/>
              <w:ind w:left="156" w:right="175"/>
              <w:jc w:val="both"/>
            </w:pPr>
            <w:r>
              <w:rPr>
                <w:rFonts w:ascii="Times New Roman" w:eastAsia="Times New Roman" w:hAnsi="Times New Roman" w:cs="Times New Roman"/>
                <w:sz w:val="20"/>
              </w:rPr>
              <w:t xml:space="preserve"> </w:t>
            </w:r>
          </w:p>
        </w:tc>
        <w:tc>
          <w:tcPr>
            <w:tcW w:w="1134" w:type="dxa"/>
          </w:tcPr>
          <w:p w:rsidR="001822E8" w:rsidRDefault="001822E8" w:rsidP="001822E8">
            <w:pPr>
              <w:tabs>
                <w:tab w:val="center" w:pos="4767"/>
                <w:tab w:val="center" w:pos="8402"/>
              </w:tabs>
              <w:ind w:left="0"/>
            </w:pPr>
          </w:p>
          <w:p w:rsidR="00C021F1" w:rsidRDefault="00C021F1" w:rsidP="001822E8">
            <w:pPr>
              <w:tabs>
                <w:tab w:val="center" w:pos="4767"/>
                <w:tab w:val="center" w:pos="8402"/>
              </w:tabs>
              <w:ind w:left="0"/>
            </w:pPr>
            <w:r>
              <w:t>L.Novák</w:t>
            </w:r>
          </w:p>
        </w:tc>
      </w:tr>
      <w:tr w:rsidR="001822E8" w:rsidTr="00436B65">
        <w:trPr>
          <w:trHeight w:val="1719"/>
        </w:trPr>
        <w:tc>
          <w:tcPr>
            <w:tcW w:w="1007" w:type="dxa"/>
            <w:vMerge/>
          </w:tcPr>
          <w:p w:rsidR="001822E8" w:rsidRDefault="001822E8">
            <w:pPr>
              <w:tabs>
                <w:tab w:val="center" w:pos="4767"/>
                <w:tab w:val="center" w:pos="8402"/>
              </w:tabs>
              <w:ind w:left="0" w:firstLine="0"/>
            </w:pPr>
          </w:p>
        </w:tc>
        <w:tc>
          <w:tcPr>
            <w:tcW w:w="7635" w:type="dxa"/>
          </w:tcPr>
          <w:p w:rsidR="0066280F" w:rsidRDefault="0066280F" w:rsidP="002222F8">
            <w:pPr>
              <w:ind w:left="156" w:right="175"/>
              <w:jc w:val="both"/>
            </w:pPr>
          </w:p>
          <w:p w:rsidR="001822E8" w:rsidRDefault="001822E8" w:rsidP="002222F8">
            <w:pPr>
              <w:ind w:left="156" w:right="175"/>
              <w:jc w:val="both"/>
            </w:pPr>
            <w:r>
              <w:t xml:space="preserve">Aktuální účetní období má především dopad na vlastní zaúčtování dokladů (zaúčtování dokladů z žádostí o zaúčtování). Účetní deník respektuje aktuální účetní období. V případě potřeby prohlížení či zaúčtování dokladů ještě do předcházejícího období lze nastavit aktuální účetní období pro příslušného uživatele samostatně bez vlivu na běh celého systému – "Konfigurace a správa systému / Konfigurace aplikací / Konfigurace Účetnictví / záložka Konfigurace uživatele". </w:t>
            </w:r>
            <w:r>
              <w:rPr>
                <w:rFonts w:ascii="Times New Roman" w:eastAsia="Times New Roman" w:hAnsi="Times New Roman" w:cs="Times New Roman"/>
                <w:sz w:val="20"/>
              </w:rPr>
              <w:t xml:space="preserve"> </w:t>
            </w:r>
          </w:p>
          <w:p w:rsidR="001822E8" w:rsidRDefault="001822E8" w:rsidP="002222F8">
            <w:pPr>
              <w:spacing w:after="0" w:line="259" w:lineRule="auto"/>
              <w:ind w:left="156" w:right="175"/>
              <w:jc w:val="both"/>
            </w:pPr>
            <w:r>
              <w:rPr>
                <w:rFonts w:ascii="Times New Roman" w:eastAsia="Times New Roman" w:hAnsi="Times New Roman" w:cs="Times New Roman"/>
                <w:sz w:val="20"/>
              </w:rPr>
              <w:t xml:space="preserve"> </w:t>
            </w:r>
          </w:p>
        </w:tc>
        <w:tc>
          <w:tcPr>
            <w:tcW w:w="1134" w:type="dxa"/>
          </w:tcPr>
          <w:p w:rsidR="0066280F" w:rsidRDefault="0066280F" w:rsidP="001822E8">
            <w:pPr>
              <w:tabs>
                <w:tab w:val="center" w:pos="4767"/>
                <w:tab w:val="center" w:pos="8402"/>
              </w:tabs>
              <w:ind w:left="0"/>
            </w:pPr>
          </w:p>
          <w:p w:rsidR="001822E8" w:rsidRDefault="00C021F1" w:rsidP="001822E8">
            <w:pPr>
              <w:tabs>
                <w:tab w:val="center" w:pos="4767"/>
                <w:tab w:val="center" w:pos="8402"/>
              </w:tabs>
              <w:ind w:left="0"/>
            </w:pPr>
            <w:r>
              <w:t>L.Novák (na požádání uživatele)</w:t>
            </w:r>
          </w:p>
        </w:tc>
      </w:tr>
      <w:tr w:rsidR="001822E8" w:rsidTr="00436B65">
        <w:trPr>
          <w:trHeight w:val="2415"/>
        </w:trPr>
        <w:tc>
          <w:tcPr>
            <w:tcW w:w="1007" w:type="dxa"/>
            <w:vMerge/>
          </w:tcPr>
          <w:p w:rsidR="001822E8" w:rsidRDefault="001822E8">
            <w:pPr>
              <w:tabs>
                <w:tab w:val="center" w:pos="4767"/>
                <w:tab w:val="center" w:pos="8402"/>
              </w:tabs>
              <w:ind w:left="0" w:firstLine="0"/>
            </w:pPr>
          </w:p>
        </w:tc>
        <w:tc>
          <w:tcPr>
            <w:tcW w:w="7635" w:type="dxa"/>
          </w:tcPr>
          <w:p w:rsidR="0066280F" w:rsidRDefault="0066280F" w:rsidP="002222F8">
            <w:pPr>
              <w:ind w:left="156" w:right="175"/>
              <w:jc w:val="both"/>
            </w:pPr>
          </w:p>
          <w:p w:rsidR="001822E8" w:rsidRDefault="001822E8" w:rsidP="002222F8">
            <w:pPr>
              <w:ind w:left="156" w:right="175"/>
              <w:jc w:val="both"/>
            </w:pPr>
            <w:r>
              <w:t>Evidenční číslo dokladu obsahuje zkratku účetního období. Účetní období resp. dokladová řada se stanovuje podle data zaevidování/vytvoření dokladu nebo dle data zd. plnění. Způsob dohledání účetního období do evidenčního čísla dokladu si uživatelé mají možnost nastavit u vybraných typů dokladů na formuláři "Typy finančních dokladů" ("Finance / Číselníky - Finance") tlačítkem „Způsob číslování“. U jednotlivých dokladových řad si uživatelé mohou dále nastavit způsob přednaplňování data zaúčtování na dokladu (dle data vytvoření/zaevidování, dle data zd. plnění, dle data uplatnění zd. plnění). Těmito dvěma atributy pak lze zajistit vložení dokladu do požadovaného období (evidenčním číslem dokladu) a zaúčtování do požadovaného účetního období (datem zaúčtování). Lze zaúčtovat doklad s evidenčním číslem -2017- do roku 2016 a naopak.</w:t>
            </w:r>
            <w:r>
              <w:rPr>
                <w:rFonts w:ascii="Times New Roman" w:eastAsia="Times New Roman" w:hAnsi="Times New Roman" w:cs="Times New Roman"/>
                <w:sz w:val="20"/>
              </w:rPr>
              <w:t xml:space="preserve"> </w:t>
            </w:r>
          </w:p>
          <w:p w:rsidR="001822E8" w:rsidRDefault="001822E8" w:rsidP="002222F8">
            <w:pPr>
              <w:spacing w:after="0" w:line="259" w:lineRule="auto"/>
              <w:ind w:left="-1325" w:right="9777" w:firstLine="0"/>
              <w:jc w:val="both"/>
            </w:pPr>
          </w:p>
          <w:p w:rsidR="001822E8" w:rsidRDefault="001822E8" w:rsidP="001822E8">
            <w:pPr>
              <w:tabs>
                <w:tab w:val="center" w:pos="4767"/>
                <w:tab w:val="center" w:pos="8402"/>
              </w:tabs>
              <w:ind w:left="0"/>
            </w:pPr>
          </w:p>
        </w:tc>
        <w:tc>
          <w:tcPr>
            <w:tcW w:w="1134" w:type="dxa"/>
          </w:tcPr>
          <w:p w:rsidR="001822E8" w:rsidRDefault="001822E8" w:rsidP="001822E8">
            <w:pPr>
              <w:tabs>
                <w:tab w:val="center" w:pos="4767"/>
                <w:tab w:val="center" w:pos="8402"/>
              </w:tabs>
              <w:ind w:left="0"/>
            </w:pPr>
          </w:p>
          <w:p w:rsidR="00436B65" w:rsidRDefault="00436B65" w:rsidP="00436B65">
            <w:pPr>
              <w:rPr>
                <w:szCs w:val="18"/>
              </w:rPr>
            </w:pPr>
            <w:r>
              <w:rPr>
                <w:szCs w:val="18"/>
              </w:rPr>
              <w:t>Buzková</w:t>
            </w:r>
          </w:p>
          <w:p w:rsidR="00436B65" w:rsidRDefault="00436B65" w:rsidP="00436B65">
            <w:pPr>
              <w:rPr>
                <w:szCs w:val="18"/>
              </w:rPr>
            </w:pPr>
            <w:r>
              <w:rPr>
                <w:szCs w:val="18"/>
              </w:rPr>
              <w:t>Štýbnarová</w:t>
            </w:r>
          </w:p>
          <w:p w:rsidR="00436B65" w:rsidRDefault="00436B65" w:rsidP="00436B65">
            <w:pPr>
              <w:rPr>
                <w:szCs w:val="18"/>
              </w:rPr>
            </w:pPr>
            <w:r>
              <w:rPr>
                <w:szCs w:val="18"/>
              </w:rPr>
              <w:t>Havlíček</w:t>
            </w:r>
          </w:p>
          <w:p w:rsidR="00436B65" w:rsidRDefault="00436B65" w:rsidP="00436B65">
            <w:pPr>
              <w:tabs>
                <w:tab w:val="center" w:pos="4767"/>
                <w:tab w:val="center" w:pos="8402"/>
              </w:tabs>
              <w:ind w:left="0" w:right="-33"/>
            </w:pPr>
            <w:r>
              <w:rPr>
                <w:szCs w:val="18"/>
              </w:rPr>
              <w:t>L.Novák</w:t>
            </w:r>
            <w:bookmarkStart w:id="0" w:name="_GoBack"/>
            <w:bookmarkEnd w:id="0"/>
          </w:p>
        </w:tc>
      </w:tr>
    </w:tbl>
    <w:p w:rsidR="002D3D7D" w:rsidRDefault="002D3D7D">
      <w:pPr>
        <w:tabs>
          <w:tab w:val="center" w:pos="4767"/>
          <w:tab w:val="center" w:pos="8402"/>
        </w:tabs>
        <w:ind w:left="0" w:firstLine="0"/>
      </w:pPr>
    </w:p>
    <w:tbl>
      <w:tblPr>
        <w:tblStyle w:val="Mkatabulky"/>
        <w:tblW w:w="9776" w:type="dxa"/>
        <w:tblLayout w:type="fixed"/>
        <w:tblLook w:val="04A0"/>
      </w:tblPr>
      <w:tblGrid>
        <w:gridCol w:w="1007"/>
        <w:gridCol w:w="7635"/>
        <w:gridCol w:w="1134"/>
      </w:tblGrid>
      <w:tr w:rsidR="0031634A" w:rsidTr="0046174A">
        <w:tc>
          <w:tcPr>
            <w:tcW w:w="1007" w:type="dxa"/>
            <w:tcBorders>
              <w:bottom w:val="nil"/>
            </w:tcBorders>
          </w:tcPr>
          <w:p w:rsidR="0031634A" w:rsidRDefault="0031634A" w:rsidP="0031634A">
            <w:pPr>
              <w:tabs>
                <w:tab w:val="center" w:pos="4767"/>
                <w:tab w:val="center" w:pos="8402"/>
              </w:tabs>
              <w:ind w:left="0" w:firstLine="0"/>
            </w:pPr>
            <w:r>
              <w:lastRenderedPageBreak/>
              <w:br w:type="page"/>
            </w:r>
          </w:p>
          <w:p w:rsidR="0031634A" w:rsidRDefault="0031634A" w:rsidP="0031634A">
            <w:pPr>
              <w:tabs>
                <w:tab w:val="center" w:pos="4767"/>
                <w:tab w:val="center" w:pos="8402"/>
              </w:tabs>
              <w:ind w:left="0" w:firstLine="0"/>
            </w:pPr>
            <w:r>
              <w:t>Finance</w:t>
            </w:r>
          </w:p>
        </w:tc>
        <w:tc>
          <w:tcPr>
            <w:tcW w:w="7635" w:type="dxa"/>
            <w:tcBorders>
              <w:bottom w:val="single" w:sz="4" w:space="0" w:color="auto"/>
            </w:tcBorders>
          </w:tcPr>
          <w:p w:rsidR="0031634A" w:rsidRDefault="008D3A9B" w:rsidP="0031634A">
            <w:pPr>
              <w:spacing w:after="22" w:line="259" w:lineRule="auto"/>
              <w:ind w:left="0" w:firstLine="0"/>
              <w:jc w:val="both"/>
            </w:pPr>
            <w:r>
              <w:rPr>
                <w:rFonts w:ascii="Times New Roman" w:eastAsia="Times New Roman" w:hAnsi="Times New Roman" w:cs="Times New Roman"/>
                <w:sz w:val="20"/>
              </w:rPr>
              <w:t xml:space="preserve"> </w:t>
            </w:r>
          </w:p>
          <w:p w:rsidR="0031634A" w:rsidRDefault="0031634A" w:rsidP="0031634A">
            <w:pPr>
              <w:spacing w:after="0" w:line="259" w:lineRule="auto"/>
              <w:ind w:left="0" w:firstLine="0"/>
              <w:jc w:val="both"/>
            </w:pPr>
            <w:r>
              <w:rPr>
                <w:u w:val="single" w:color="00000A"/>
              </w:rPr>
              <w:t>Kurzové rozdíly</w:t>
            </w:r>
            <w:r>
              <w:rPr>
                <w:rFonts w:ascii="Times New Roman" w:eastAsia="Times New Roman" w:hAnsi="Times New Roman" w:cs="Times New Roman"/>
                <w:sz w:val="20"/>
              </w:rPr>
              <w:t xml:space="preserve"> </w:t>
            </w:r>
          </w:p>
          <w:p w:rsidR="0031634A" w:rsidRDefault="0031634A" w:rsidP="0031634A">
            <w:pPr>
              <w:spacing w:after="0" w:line="271" w:lineRule="auto"/>
              <w:ind w:left="0" w:right="190" w:firstLine="0"/>
              <w:jc w:val="both"/>
            </w:pPr>
            <w:r>
              <w:t>V číselníku Účetní kurzy (Finance/Číselníky/Účetní kurzy) je třeba vyplnit účetní kurz ke 31.12.2016 a zapsat kurz k rozhodnému dni do sloupce "Účetní kurz k rozhodnému dni". Vyplněný kurz se potom nabízí ve formulářích pro přepočet pokladen, bankovních účtů, pohledávek a závazků.</w:t>
            </w:r>
            <w:r>
              <w:rPr>
                <w:rFonts w:ascii="Times New Roman" w:eastAsia="Times New Roman" w:hAnsi="Times New Roman" w:cs="Times New Roman"/>
                <w:sz w:val="20"/>
              </w:rPr>
              <w:t xml:space="preserve"> </w:t>
            </w:r>
          </w:p>
          <w:p w:rsidR="0031634A" w:rsidRDefault="0031634A" w:rsidP="0031634A">
            <w:pPr>
              <w:spacing w:after="7" w:line="259" w:lineRule="auto"/>
              <w:ind w:left="0" w:firstLine="0"/>
              <w:jc w:val="both"/>
            </w:pPr>
            <w:r>
              <w:rPr>
                <w:rFonts w:ascii="Times New Roman" w:eastAsia="Times New Roman" w:hAnsi="Times New Roman" w:cs="Times New Roman"/>
                <w:sz w:val="20"/>
              </w:rPr>
              <w:t xml:space="preserve"> </w:t>
            </w:r>
          </w:p>
          <w:p w:rsidR="0031634A" w:rsidRPr="002222F8" w:rsidRDefault="0031634A" w:rsidP="0031634A">
            <w:pPr>
              <w:spacing w:after="0" w:line="259" w:lineRule="auto"/>
              <w:ind w:left="0" w:firstLine="0"/>
              <w:jc w:val="both"/>
              <w:rPr>
                <w:u w:val="single"/>
              </w:rPr>
            </w:pPr>
            <w:r w:rsidRPr="002222F8">
              <w:rPr>
                <w:u w:val="single"/>
              </w:rPr>
              <w:t>Kurzové rozdíly pro bankovní účty vedené v cizí měně:</w:t>
            </w:r>
            <w:r w:rsidRPr="002222F8">
              <w:rPr>
                <w:rFonts w:ascii="Times New Roman" w:eastAsia="Times New Roman" w:hAnsi="Times New Roman" w:cs="Times New Roman"/>
                <w:sz w:val="20"/>
                <w:u w:val="single"/>
              </w:rPr>
              <w:t xml:space="preserve"> </w:t>
            </w:r>
          </w:p>
          <w:p w:rsidR="0031634A" w:rsidRDefault="0031634A" w:rsidP="0031634A">
            <w:pPr>
              <w:spacing w:after="23" w:line="259" w:lineRule="auto"/>
              <w:ind w:left="14" w:firstLine="0"/>
              <w:jc w:val="both"/>
            </w:pPr>
            <w:r>
              <w:t xml:space="preserve">Finance / Platby / Bankovní účty / Bankovní účty vlastní organizace – tlačítko </w:t>
            </w:r>
          </w:p>
          <w:p w:rsidR="0031634A" w:rsidRDefault="0031634A" w:rsidP="0031634A">
            <w:pPr>
              <w:spacing w:after="0" w:line="259" w:lineRule="auto"/>
              <w:ind w:left="14" w:firstLine="0"/>
              <w:jc w:val="both"/>
            </w:pPr>
            <w:r>
              <w:t>Kurzový rozdíl (zadat datum 31.12.2016 a účetní kurz)</w:t>
            </w:r>
            <w:r>
              <w:rPr>
                <w:rFonts w:ascii="Times New Roman" w:eastAsia="Times New Roman" w:hAnsi="Times New Roman" w:cs="Times New Roman"/>
                <w:sz w:val="20"/>
              </w:rPr>
              <w:t xml:space="preserve"> </w:t>
            </w:r>
          </w:p>
        </w:tc>
        <w:tc>
          <w:tcPr>
            <w:tcW w:w="1134" w:type="dxa"/>
            <w:tcBorders>
              <w:bottom w:val="single" w:sz="4" w:space="0" w:color="auto"/>
            </w:tcBorders>
          </w:tcPr>
          <w:p w:rsidR="0031634A" w:rsidRDefault="0031634A" w:rsidP="0031634A">
            <w:pPr>
              <w:tabs>
                <w:tab w:val="center" w:pos="4767"/>
                <w:tab w:val="center" w:pos="8402"/>
              </w:tabs>
              <w:ind w:left="0" w:firstLine="0"/>
              <w:jc w:val="both"/>
            </w:pPr>
          </w:p>
          <w:p w:rsidR="0046174A" w:rsidRDefault="0046174A" w:rsidP="0031634A">
            <w:pPr>
              <w:tabs>
                <w:tab w:val="center" w:pos="4767"/>
                <w:tab w:val="center" w:pos="8402"/>
              </w:tabs>
              <w:ind w:left="0" w:firstLine="0"/>
              <w:jc w:val="both"/>
            </w:pPr>
            <w:r>
              <w:t>Štýbnarová</w:t>
            </w:r>
          </w:p>
          <w:p w:rsidR="0031634A" w:rsidRDefault="0031634A" w:rsidP="008D3A9B">
            <w:pPr>
              <w:ind w:right="175"/>
              <w:jc w:val="both"/>
            </w:pPr>
          </w:p>
        </w:tc>
      </w:tr>
      <w:tr w:rsidR="0031634A" w:rsidTr="0046174A">
        <w:tc>
          <w:tcPr>
            <w:tcW w:w="1007" w:type="dxa"/>
            <w:tcBorders>
              <w:top w:val="nil"/>
              <w:bottom w:val="nil"/>
            </w:tcBorders>
          </w:tcPr>
          <w:p w:rsidR="0031634A" w:rsidRDefault="0031634A" w:rsidP="0031634A">
            <w:pPr>
              <w:tabs>
                <w:tab w:val="center" w:pos="4767"/>
                <w:tab w:val="center" w:pos="8402"/>
              </w:tabs>
              <w:ind w:left="0" w:firstLine="0"/>
            </w:pPr>
          </w:p>
        </w:tc>
        <w:tc>
          <w:tcPr>
            <w:tcW w:w="7635" w:type="dxa"/>
            <w:tcBorders>
              <w:top w:val="single" w:sz="4" w:space="0" w:color="auto"/>
              <w:bottom w:val="nil"/>
            </w:tcBorders>
          </w:tcPr>
          <w:p w:rsidR="0046174A" w:rsidRDefault="0046174A" w:rsidP="0031634A">
            <w:pPr>
              <w:tabs>
                <w:tab w:val="center" w:pos="6866"/>
              </w:tabs>
              <w:spacing w:after="4" w:line="259" w:lineRule="auto"/>
              <w:ind w:left="0" w:firstLine="0"/>
              <w:jc w:val="both"/>
              <w:rPr>
                <w:u w:val="single"/>
              </w:rPr>
            </w:pPr>
          </w:p>
          <w:p w:rsidR="0031634A" w:rsidRPr="0031634A" w:rsidRDefault="0031634A" w:rsidP="0031634A">
            <w:pPr>
              <w:tabs>
                <w:tab w:val="center" w:pos="6866"/>
              </w:tabs>
              <w:spacing w:after="4" w:line="259" w:lineRule="auto"/>
              <w:ind w:left="0" w:firstLine="0"/>
              <w:jc w:val="both"/>
              <w:rPr>
                <w:u w:val="single"/>
              </w:rPr>
            </w:pPr>
            <w:r w:rsidRPr="0031634A">
              <w:rPr>
                <w:u w:val="single"/>
              </w:rPr>
              <w:t>Vytvořit kurzové rozdíly pro pokladny vedené v cizí měně:</w:t>
            </w:r>
          </w:p>
          <w:p w:rsidR="0031634A" w:rsidRDefault="0031634A" w:rsidP="0031634A">
            <w:pPr>
              <w:spacing w:after="16" w:line="259" w:lineRule="auto"/>
              <w:ind w:left="14" w:firstLine="0"/>
              <w:jc w:val="both"/>
            </w:pPr>
            <w:r>
              <w:t xml:space="preserve">Finance / Platby / Pokladny / Pokladny – tlačítko Kurzový rozdíl (zadat datum </w:t>
            </w:r>
          </w:p>
          <w:p w:rsidR="0031634A" w:rsidRDefault="0031634A" w:rsidP="0031634A">
            <w:pPr>
              <w:spacing w:after="7" w:line="259" w:lineRule="auto"/>
              <w:ind w:left="14" w:firstLine="0"/>
              <w:jc w:val="both"/>
            </w:pPr>
            <w:r>
              <w:t xml:space="preserve">31.12.2016 a účetní kurz) </w:t>
            </w:r>
          </w:p>
          <w:p w:rsidR="0031634A" w:rsidRDefault="0031634A" w:rsidP="0031634A">
            <w:pPr>
              <w:spacing w:after="0" w:line="259" w:lineRule="auto"/>
              <w:ind w:left="14" w:firstLine="0"/>
              <w:jc w:val="both"/>
            </w:pPr>
            <w:r>
              <w:rPr>
                <w:rFonts w:ascii="Times New Roman" w:eastAsia="Times New Roman" w:hAnsi="Times New Roman" w:cs="Times New Roman"/>
                <w:sz w:val="20"/>
              </w:rPr>
              <w:t xml:space="preserve"> </w:t>
            </w:r>
          </w:p>
        </w:tc>
        <w:tc>
          <w:tcPr>
            <w:tcW w:w="1134" w:type="dxa"/>
            <w:tcBorders>
              <w:top w:val="single" w:sz="4" w:space="0" w:color="auto"/>
              <w:bottom w:val="nil"/>
            </w:tcBorders>
          </w:tcPr>
          <w:p w:rsidR="0046174A" w:rsidRDefault="0046174A" w:rsidP="0046174A">
            <w:pPr>
              <w:tabs>
                <w:tab w:val="center" w:pos="4767"/>
                <w:tab w:val="center" w:pos="8402"/>
              </w:tabs>
              <w:ind w:left="0" w:firstLine="0"/>
              <w:jc w:val="both"/>
            </w:pPr>
          </w:p>
          <w:p w:rsidR="0046174A" w:rsidRDefault="0046174A" w:rsidP="0046174A">
            <w:pPr>
              <w:tabs>
                <w:tab w:val="center" w:pos="4767"/>
                <w:tab w:val="center" w:pos="8402"/>
              </w:tabs>
              <w:ind w:left="0" w:firstLine="0"/>
              <w:jc w:val="both"/>
            </w:pPr>
            <w:r>
              <w:t>Štýbnarová</w:t>
            </w:r>
          </w:p>
          <w:p w:rsidR="0031634A" w:rsidRDefault="0031634A" w:rsidP="0031634A">
            <w:pPr>
              <w:tabs>
                <w:tab w:val="center" w:pos="4767"/>
                <w:tab w:val="center" w:pos="8402"/>
              </w:tabs>
              <w:ind w:left="0" w:firstLine="0"/>
              <w:jc w:val="both"/>
            </w:pPr>
          </w:p>
        </w:tc>
      </w:tr>
      <w:tr w:rsidR="0031634A" w:rsidTr="0046174A">
        <w:tc>
          <w:tcPr>
            <w:tcW w:w="1007" w:type="dxa"/>
            <w:tcBorders>
              <w:top w:val="nil"/>
              <w:bottom w:val="nil"/>
            </w:tcBorders>
          </w:tcPr>
          <w:p w:rsidR="0031634A" w:rsidRDefault="0031634A" w:rsidP="0031634A">
            <w:pPr>
              <w:tabs>
                <w:tab w:val="center" w:pos="4767"/>
                <w:tab w:val="center" w:pos="8402"/>
              </w:tabs>
              <w:ind w:left="0" w:firstLine="0"/>
            </w:pPr>
          </w:p>
        </w:tc>
        <w:tc>
          <w:tcPr>
            <w:tcW w:w="7635" w:type="dxa"/>
            <w:tcBorders>
              <w:top w:val="nil"/>
              <w:bottom w:val="single" w:sz="4" w:space="0" w:color="auto"/>
            </w:tcBorders>
          </w:tcPr>
          <w:p w:rsidR="0031634A" w:rsidRDefault="0031634A" w:rsidP="0031634A">
            <w:pPr>
              <w:tabs>
                <w:tab w:val="center" w:pos="6866"/>
              </w:tabs>
              <w:spacing w:after="7" w:line="259" w:lineRule="auto"/>
              <w:ind w:left="0" w:firstLine="0"/>
              <w:jc w:val="both"/>
            </w:pPr>
            <w:r>
              <w:rPr>
                <w:u w:val="single" w:color="00000A"/>
              </w:rPr>
              <w:t>Kurzové rozdíly pohledávek a závazků</w:t>
            </w:r>
            <w:r w:rsidR="008D3A9B">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p>
          <w:p w:rsidR="0031634A" w:rsidRDefault="0031634A" w:rsidP="0031634A">
            <w:pPr>
              <w:spacing w:after="0" w:line="257" w:lineRule="auto"/>
              <w:ind w:left="0" w:firstLine="0"/>
              <w:jc w:val="both"/>
            </w:pPr>
            <w:r>
              <w:t>U pohledávek a závazků vedených v cizí měně provést přepočet a vytvořit kurzové rozdíly k 31.12.2016.</w:t>
            </w:r>
            <w:r>
              <w:rPr>
                <w:rFonts w:ascii="Times New Roman" w:eastAsia="Times New Roman" w:hAnsi="Times New Roman" w:cs="Times New Roman"/>
                <w:sz w:val="20"/>
              </w:rPr>
              <w:t xml:space="preserve"> </w:t>
            </w:r>
          </w:p>
          <w:p w:rsidR="0031634A" w:rsidRDefault="0031634A" w:rsidP="0031634A">
            <w:pPr>
              <w:spacing w:after="7" w:line="259" w:lineRule="auto"/>
              <w:ind w:left="0" w:firstLine="0"/>
              <w:jc w:val="both"/>
            </w:pPr>
            <w:r>
              <w:rPr>
                <w:rFonts w:ascii="Times New Roman" w:eastAsia="Times New Roman" w:hAnsi="Times New Roman" w:cs="Times New Roman"/>
                <w:sz w:val="20"/>
              </w:rPr>
              <w:t xml:space="preserve"> </w:t>
            </w:r>
          </w:p>
          <w:p w:rsidR="0031634A" w:rsidRDefault="0031634A" w:rsidP="0031634A">
            <w:pPr>
              <w:spacing w:after="0" w:line="259" w:lineRule="auto"/>
              <w:ind w:left="0" w:firstLine="0"/>
              <w:jc w:val="both"/>
            </w:pPr>
            <w:r>
              <w:rPr>
                <w:u w:val="single" w:color="00000A"/>
              </w:rPr>
              <w:t>Inventarizace pohledávek a závazků</w:t>
            </w:r>
            <w:r>
              <w:rPr>
                <w:rFonts w:ascii="Times New Roman" w:eastAsia="Times New Roman" w:hAnsi="Times New Roman" w:cs="Times New Roman"/>
                <w:sz w:val="20"/>
              </w:rPr>
              <w:t xml:space="preserve"> </w:t>
            </w:r>
          </w:p>
          <w:p w:rsidR="0031634A" w:rsidRDefault="0031634A" w:rsidP="0031634A">
            <w:pPr>
              <w:spacing w:after="0" w:line="259" w:lineRule="auto"/>
              <w:ind w:left="0" w:firstLine="0"/>
              <w:jc w:val="both"/>
            </w:pPr>
            <w:r>
              <w:t>Provést inventarizaci všech závazků a pohledávek a provést jejich vzájemné odsouhlasení s odběrateli a dodavateli.</w:t>
            </w:r>
            <w:r>
              <w:rPr>
                <w:rFonts w:ascii="Times New Roman" w:eastAsia="Times New Roman" w:hAnsi="Times New Roman" w:cs="Times New Roman"/>
                <w:sz w:val="20"/>
              </w:rPr>
              <w:t xml:space="preserve"> </w:t>
            </w:r>
          </w:p>
        </w:tc>
        <w:tc>
          <w:tcPr>
            <w:tcW w:w="1134" w:type="dxa"/>
            <w:tcBorders>
              <w:top w:val="nil"/>
              <w:bottom w:val="single" w:sz="4" w:space="0" w:color="auto"/>
            </w:tcBorders>
          </w:tcPr>
          <w:p w:rsidR="0031634A" w:rsidRDefault="0031634A" w:rsidP="0031634A">
            <w:pPr>
              <w:tabs>
                <w:tab w:val="center" w:pos="4767"/>
                <w:tab w:val="center" w:pos="8402"/>
              </w:tabs>
              <w:ind w:left="0" w:firstLine="0"/>
              <w:jc w:val="both"/>
            </w:pPr>
          </w:p>
        </w:tc>
      </w:tr>
      <w:tr w:rsidR="0031634A" w:rsidTr="0046174A">
        <w:tc>
          <w:tcPr>
            <w:tcW w:w="1007" w:type="dxa"/>
            <w:tcBorders>
              <w:top w:val="nil"/>
              <w:bottom w:val="nil"/>
            </w:tcBorders>
          </w:tcPr>
          <w:p w:rsidR="0031634A" w:rsidRDefault="0031634A" w:rsidP="0031634A">
            <w:pPr>
              <w:tabs>
                <w:tab w:val="center" w:pos="4767"/>
                <w:tab w:val="center" w:pos="8402"/>
              </w:tabs>
              <w:ind w:left="0" w:firstLine="0"/>
            </w:pPr>
          </w:p>
        </w:tc>
        <w:tc>
          <w:tcPr>
            <w:tcW w:w="7635" w:type="dxa"/>
            <w:tcBorders>
              <w:top w:val="single" w:sz="4" w:space="0" w:color="auto"/>
              <w:bottom w:val="single" w:sz="4" w:space="0" w:color="auto"/>
            </w:tcBorders>
          </w:tcPr>
          <w:p w:rsidR="0046174A" w:rsidRDefault="0031634A" w:rsidP="0031634A">
            <w:pPr>
              <w:tabs>
                <w:tab w:val="center" w:pos="6866"/>
              </w:tabs>
              <w:spacing w:after="0" w:line="259" w:lineRule="auto"/>
              <w:ind w:left="0" w:firstLine="0"/>
              <w:jc w:val="both"/>
              <w:rPr>
                <w:rFonts w:ascii="Times New Roman" w:eastAsia="Times New Roman" w:hAnsi="Times New Roman" w:cs="Times New Roman"/>
                <w:sz w:val="20"/>
              </w:rPr>
            </w:pPr>
            <w:r>
              <w:t>Provést inventurní soupisy pohledávek, závazků.</w:t>
            </w:r>
            <w:r w:rsidR="008D3A9B">
              <w:rPr>
                <w:rFonts w:ascii="Times New Roman" w:eastAsia="Times New Roman" w:hAnsi="Times New Roman" w:cs="Times New Roman"/>
                <w:sz w:val="20"/>
              </w:rPr>
              <w:t xml:space="preserve"> </w:t>
            </w:r>
          </w:p>
          <w:p w:rsidR="0046174A" w:rsidRPr="0046174A" w:rsidRDefault="0046174A" w:rsidP="0031634A">
            <w:pPr>
              <w:tabs>
                <w:tab w:val="center" w:pos="6866"/>
              </w:tabs>
              <w:spacing w:after="0" w:line="259" w:lineRule="auto"/>
              <w:ind w:left="0" w:firstLine="0"/>
              <w:jc w:val="both"/>
              <w:rPr>
                <w:rFonts w:ascii="Times New Roman" w:eastAsia="Times New Roman" w:hAnsi="Times New Roman" w:cs="Times New Roman"/>
                <w:sz w:val="20"/>
              </w:rPr>
            </w:pPr>
          </w:p>
        </w:tc>
        <w:tc>
          <w:tcPr>
            <w:tcW w:w="1134" w:type="dxa"/>
            <w:tcBorders>
              <w:top w:val="single" w:sz="4" w:space="0" w:color="auto"/>
              <w:bottom w:val="single" w:sz="4" w:space="0" w:color="auto"/>
            </w:tcBorders>
          </w:tcPr>
          <w:p w:rsidR="0046174A" w:rsidRDefault="0046174A" w:rsidP="0046174A">
            <w:pPr>
              <w:tabs>
                <w:tab w:val="center" w:pos="4767"/>
                <w:tab w:val="center" w:pos="8402"/>
              </w:tabs>
              <w:ind w:left="0" w:firstLine="0"/>
              <w:jc w:val="both"/>
            </w:pPr>
            <w:r>
              <w:t>Štýbnarová</w:t>
            </w:r>
          </w:p>
          <w:p w:rsidR="0031634A" w:rsidRDefault="0046174A" w:rsidP="0031634A">
            <w:pPr>
              <w:tabs>
                <w:tab w:val="center" w:pos="4767"/>
                <w:tab w:val="center" w:pos="8402"/>
              </w:tabs>
              <w:ind w:left="0" w:firstLine="0"/>
              <w:jc w:val="both"/>
            </w:pPr>
            <w:r>
              <w:t>Buzková</w:t>
            </w:r>
          </w:p>
        </w:tc>
      </w:tr>
      <w:tr w:rsidR="0031634A" w:rsidTr="0046174A">
        <w:tc>
          <w:tcPr>
            <w:tcW w:w="1007" w:type="dxa"/>
            <w:tcBorders>
              <w:top w:val="nil"/>
              <w:bottom w:val="nil"/>
            </w:tcBorders>
          </w:tcPr>
          <w:p w:rsidR="0031634A" w:rsidRDefault="0031634A" w:rsidP="0031634A">
            <w:pPr>
              <w:tabs>
                <w:tab w:val="center" w:pos="4767"/>
                <w:tab w:val="center" w:pos="8402"/>
              </w:tabs>
              <w:ind w:left="0" w:firstLine="0"/>
            </w:pPr>
          </w:p>
        </w:tc>
        <w:tc>
          <w:tcPr>
            <w:tcW w:w="7635" w:type="dxa"/>
            <w:tcBorders>
              <w:top w:val="single" w:sz="4" w:space="0" w:color="auto"/>
              <w:bottom w:val="nil"/>
            </w:tcBorders>
          </w:tcPr>
          <w:p w:rsidR="0031634A" w:rsidRDefault="0031634A" w:rsidP="0031634A">
            <w:pPr>
              <w:spacing w:after="0" w:line="259" w:lineRule="auto"/>
              <w:ind w:left="0" w:firstLine="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c>
          <w:tcPr>
            <w:tcW w:w="1134" w:type="dxa"/>
            <w:tcBorders>
              <w:top w:val="single" w:sz="4" w:space="0" w:color="auto"/>
              <w:bottom w:val="nil"/>
            </w:tcBorders>
          </w:tcPr>
          <w:p w:rsidR="0031634A" w:rsidRDefault="0031634A" w:rsidP="0031634A">
            <w:pPr>
              <w:tabs>
                <w:tab w:val="center" w:pos="4767"/>
                <w:tab w:val="center" w:pos="8402"/>
              </w:tabs>
              <w:ind w:left="0" w:firstLine="0"/>
              <w:jc w:val="both"/>
            </w:pPr>
          </w:p>
        </w:tc>
      </w:tr>
      <w:tr w:rsidR="0031634A" w:rsidTr="0046174A">
        <w:tc>
          <w:tcPr>
            <w:tcW w:w="1007" w:type="dxa"/>
            <w:tcBorders>
              <w:top w:val="nil"/>
              <w:bottom w:val="nil"/>
            </w:tcBorders>
          </w:tcPr>
          <w:p w:rsidR="0031634A" w:rsidRDefault="0031634A" w:rsidP="0031634A">
            <w:pPr>
              <w:tabs>
                <w:tab w:val="center" w:pos="4767"/>
                <w:tab w:val="center" w:pos="8402"/>
              </w:tabs>
              <w:ind w:left="0" w:firstLine="0"/>
            </w:pPr>
          </w:p>
        </w:tc>
        <w:tc>
          <w:tcPr>
            <w:tcW w:w="7635" w:type="dxa"/>
            <w:tcBorders>
              <w:top w:val="nil"/>
              <w:bottom w:val="nil"/>
            </w:tcBorders>
          </w:tcPr>
          <w:p w:rsidR="0031634A" w:rsidRDefault="0031634A" w:rsidP="0031634A">
            <w:pPr>
              <w:tabs>
                <w:tab w:val="center" w:pos="6866"/>
              </w:tabs>
              <w:spacing w:after="6" w:line="259" w:lineRule="auto"/>
              <w:ind w:left="0" w:firstLine="0"/>
              <w:jc w:val="both"/>
            </w:pPr>
            <w:r>
              <w:rPr>
                <w:u w:val="single" w:color="00000A"/>
              </w:rPr>
              <w:t>Počáteční stavy bankovních účtů a pokladen</w:t>
            </w:r>
            <w:r w:rsidR="008D3A9B">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p>
          <w:p w:rsidR="0031634A" w:rsidRDefault="0031634A" w:rsidP="0031634A">
            <w:pPr>
              <w:spacing w:after="0" w:line="259" w:lineRule="auto"/>
              <w:ind w:left="0" w:firstLine="0"/>
              <w:jc w:val="both"/>
            </w:pPr>
            <w:r>
              <w:t>Naplnit počáteční stavy bankovních účtů k 1.1.2017 ve Finance / Platby / Bankovní účty / Bankovní účty vlastní organizace tlačítko Počáteční stav.</w:t>
            </w:r>
            <w:r>
              <w:rPr>
                <w:rFonts w:ascii="Times New Roman" w:eastAsia="Times New Roman" w:hAnsi="Times New Roman" w:cs="Times New Roman"/>
                <w:sz w:val="20"/>
              </w:rPr>
              <w:t xml:space="preserve"> </w:t>
            </w:r>
          </w:p>
        </w:tc>
        <w:tc>
          <w:tcPr>
            <w:tcW w:w="1134" w:type="dxa"/>
            <w:tcBorders>
              <w:top w:val="nil"/>
              <w:bottom w:val="nil"/>
            </w:tcBorders>
          </w:tcPr>
          <w:p w:rsidR="0046174A" w:rsidRDefault="0046174A" w:rsidP="0046174A">
            <w:pPr>
              <w:tabs>
                <w:tab w:val="center" w:pos="4767"/>
                <w:tab w:val="center" w:pos="8402"/>
              </w:tabs>
              <w:ind w:left="0" w:firstLine="0"/>
              <w:jc w:val="both"/>
            </w:pPr>
          </w:p>
          <w:p w:rsidR="0046174A" w:rsidRDefault="0046174A" w:rsidP="0046174A">
            <w:pPr>
              <w:tabs>
                <w:tab w:val="center" w:pos="4767"/>
                <w:tab w:val="center" w:pos="8402"/>
              </w:tabs>
              <w:ind w:left="0" w:firstLine="0"/>
              <w:jc w:val="both"/>
            </w:pPr>
            <w:r>
              <w:t>Štýbnarová</w:t>
            </w:r>
          </w:p>
          <w:p w:rsidR="0031634A" w:rsidRDefault="0031634A" w:rsidP="0031634A">
            <w:pPr>
              <w:tabs>
                <w:tab w:val="center" w:pos="4767"/>
                <w:tab w:val="center" w:pos="8402"/>
              </w:tabs>
              <w:ind w:left="0" w:firstLine="0"/>
              <w:jc w:val="both"/>
            </w:pPr>
          </w:p>
        </w:tc>
      </w:tr>
      <w:tr w:rsidR="0031634A" w:rsidTr="0046174A">
        <w:tc>
          <w:tcPr>
            <w:tcW w:w="1007" w:type="dxa"/>
            <w:tcBorders>
              <w:top w:val="nil"/>
            </w:tcBorders>
          </w:tcPr>
          <w:p w:rsidR="0031634A" w:rsidRDefault="0031634A" w:rsidP="0031634A">
            <w:pPr>
              <w:tabs>
                <w:tab w:val="center" w:pos="4767"/>
                <w:tab w:val="center" w:pos="8402"/>
              </w:tabs>
              <w:ind w:left="0" w:firstLine="0"/>
            </w:pPr>
          </w:p>
        </w:tc>
        <w:tc>
          <w:tcPr>
            <w:tcW w:w="7635" w:type="dxa"/>
            <w:tcBorders>
              <w:top w:val="nil"/>
            </w:tcBorders>
          </w:tcPr>
          <w:p w:rsidR="0031634A" w:rsidRDefault="0031634A" w:rsidP="0031634A">
            <w:pPr>
              <w:spacing w:after="0" w:line="266" w:lineRule="auto"/>
              <w:ind w:left="14" w:firstLine="0"/>
              <w:jc w:val="both"/>
            </w:pPr>
            <w:r>
              <w:t xml:space="preserve">Naplnit počáteční stavy pokladen k 1.1.2017 ve Finance / Platby / Pokladny / </w:t>
            </w:r>
            <w:r>
              <w:tab/>
            </w:r>
            <w:r>
              <w:rPr>
                <w:rFonts w:ascii="Times New Roman" w:eastAsia="Times New Roman" w:hAnsi="Times New Roman" w:cs="Times New Roman"/>
                <w:sz w:val="20"/>
              </w:rPr>
              <w:t xml:space="preserve"> </w:t>
            </w:r>
            <w:r>
              <w:t>Pokladny -  tlačítko Počáteční stav.</w:t>
            </w:r>
          </w:p>
        </w:tc>
        <w:tc>
          <w:tcPr>
            <w:tcW w:w="1134" w:type="dxa"/>
            <w:tcBorders>
              <w:top w:val="nil"/>
            </w:tcBorders>
          </w:tcPr>
          <w:p w:rsidR="0031634A" w:rsidRDefault="0031634A" w:rsidP="0031634A">
            <w:pPr>
              <w:tabs>
                <w:tab w:val="center" w:pos="4767"/>
                <w:tab w:val="center" w:pos="8402"/>
              </w:tabs>
              <w:ind w:left="0" w:firstLine="0"/>
              <w:jc w:val="both"/>
            </w:pPr>
          </w:p>
        </w:tc>
      </w:tr>
    </w:tbl>
    <w:tbl>
      <w:tblPr>
        <w:tblStyle w:val="TableGrid"/>
        <w:tblW w:w="9778" w:type="dxa"/>
        <w:tblInd w:w="-2" w:type="dxa"/>
        <w:tblCellMar>
          <w:top w:w="25" w:type="dxa"/>
        </w:tblCellMar>
        <w:tblLook w:val="04A0"/>
      </w:tblPr>
      <w:tblGrid>
        <w:gridCol w:w="990"/>
        <w:gridCol w:w="7654"/>
        <w:gridCol w:w="1134"/>
      </w:tblGrid>
      <w:tr w:rsidR="00061E94" w:rsidTr="00DD3CB9">
        <w:trPr>
          <w:trHeight w:val="461"/>
        </w:trPr>
        <w:tc>
          <w:tcPr>
            <w:tcW w:w="990" w:type="dxa"/>
            <w:tcBorders>
              <w:top w:val="single" w:sz="4" w:space="0" w:color="auto"/>
              <w:left w:val="single" w:sz="4" w:space="0" w:color="auto"/>
              <w:bottom w:val="nil"/>
              <w:right w:val="single" w:sz="4" w:space="0" w:color="auto"/>
            </w:tcBorders>
          </w:tcPr>
          <w:p w:rsidR="00DD3CB9" w:rsidRDefault="00DD3CB9" w:rsidP="002D3D7D">
            <w:pPr>
              <w:spacing w:after="0" w:line="259" w:lineRule="auto"/>
              <w:ind w:left="0" w:firstLine="0"/>
              <w:jc w:val="both"/>
            </w:pPr>
          </w:p>
          <w:p w:rsidR="00061E94" w:rsidRDefault="00061E94" w:rsidP="002D3D7D">
            <w:pPr>
              <w:spacing w:after="0" w:line="259" w:lineRule="auto"/>
              <w:ind w:left="0" w:firstLine="0"/>
              <w:jc w:val="both"/>
            </w:pPr>
            <w:r>
              <w:t>Majetek</w:t>
            </w:r>
            <w:r>
              <w:rPr>
                <w:rFonts w:ascii="Times New Roman" w:eastAsia="Times New Roman" w:hAnsi="Times New Roman" w:cs="Times New Roman"/>
                <w:sz w:val="20"/>
              </w:rPr>
              <w:t xml:space="preserve"> </w:t>
            </w:r>
          </w:p>
        </w:tc>
        <w:tc>
          <w:tcPr>
            <w:tcW w:w="7654" w:type="dxa"/>
            <w:tcBorders>
              <w:top w:val="single" w:sz="4" w:space="0" w:color="auto"/>
              <w:left w:val="single" w:sz="4" w:space="0" w:color="auto"/>
              <w:bottom w:val="nil"/>
              <w:right w:val="single" w:sz="4" w:space="0" w:color="auto"/>
            </w:tcBorders>
          </w:tcPr>
          <w:p w:rsidR="00DD3CB9" w:rsidRDefault="00DD3CB9" w:rsidP="00DD3CB9">
            <w:pPr>
              <w:tabs>
                <w:tab w:val="center" w:pos="6899"/>
              </w:tabs>
              <w:spacing w:after="14" w:line="259" w:lineRule="auto"/>
              <w:ind w:left="141" w:firstLine="0"/>
              <w:jc w:val="both"/>
              <w:rPr>
                <w:u w:val="single" w:color="00000A"/>
              </w:rPr>
            </w:pPr>
          </w:p>
          <w:p w:rsidR="00061E94" w:rsidRDefault="00061E94" w:rsidP="00DD3CB9">
            <w:pPr>
              <w:tabs>
                <w:tab w:val="center" w:pos="6899"/>
              </w:tabs>
              <w:spacing w:after="14" w:line="259" w:lineRule="auto"/>
              <w:ind w:left="141" w:firstLine="0"/>
              <w:jc w:val="both"/>
            </w:pPr>
            <w:r>
              <w:rPr>
                <w:u w:val="single" w:color="00000A"/>
              </w:rPr>
              <w:t>Inventarizace majetku</w:t>
            </w:r>
            <w:r>
              <w:rPr>
                <w:rFonts w:ascii="Times New Roman" w:eastAsia="Times New Roman" w:hAnsi="Times New Roman" w:cs="Times New Roman"/>
                <w:sz w:val="20"/>
              </w:rPr>
              <w:t xml:space="preserve">  </w:t>
            </w:r>
          </w:p>
          <w:p w:rsidR="00061E94" w:rsidRDefault="00061E94" w:rsidP="00DD3CB9">
            <w:pPr>
              <w:spacing w:after="0" w:line="259" w:lineRule="auto"/>
              <w:ind w:left="141" w:firstLine="0"/>
              <w:jc w:val="both"/>
            </w:pPr>
            <w:r>
              <w:t>Zajistit provedení všech pohybů v evidenci majetku před zahájením inventury.</w:t>
            </w:r>
            <w:r>
              <w:rPr>
                <w:rFonts w:ascii="Times New Roman" w:eastAsia="Times New Roman" w:hAnsi="Times New Roman" w:cs="Times New Roman"/>
                <w:sz w:val="20"/>
              </w:rPr>
              <w:t xml:space="preserve"> </w:t>
            </w:r>
          </w:p>
        </w:tc>
        <w:tc>
          <w:tcPr>
            <w:tcW w:w="1134" w:type="dxa"/>
            <w:tcBorders>
              <w:top w:val="single" w:sz="4" w:space="0" w:color="auto"/>
              <w:left w:val="single" w:sz="4" w:space="0" w:color="auto"/>
              <w:bottom w:val="nil"/>
              <w:right w:val="single" w:sz="4" w:space="0" w:color="auto"/>
            </w:tcBorders>
          </w:tcPr>
          <w:p w:rsidR="00436B65" w:rsidRDefault="00436B65" w:rsidP="0046174A">
            <w:pPr>
              <w:tabs>
                <w:tab w:val="center" w:pos="6899"/>
              </w:tabs>
              <w:spacing w:after="14" w:line="259" w:lineRule="auto"/>
              <w:ind w:left="0" w:firstLine="0"/>
              <w:jc w:val="center"/>
            </w:pPr>
          </w:p>
          <w:p w:rsidR="00061E94" w:rsidRPr="0046174A" w:rsidRDefault="0046174A" w:rsidP="0046174A">
            <w:pPr>
              <w:tabs>
                <w:tab w:val="center" w:pos="6899"/>
              </w:tabs>
              <w:spacing w:after="14" w:line="259" w:lineRule="auto"/>
              <w:ind w:left="0" w:firstLine="0"/>
              <w:jc w:val="center"/>
            </w:pPr>
            <w:r w:rsidRPr="0046174A">
              <w:t>X</w:t>
            </w:r>
          </w:p>
        </w:tc>
      </w:tr>
      <w:tr w:rsidR="00061E94" w:rsidTr="00DD3CB9">
        <w:trPr>
          <w:trHeight w:val="240"/>
        </w:trPr>
        <w:tc>
          <w:tcPr>
            <w:tcW w:w="990" w:type="dxa"/>
            <w:tcBorders>
              <w:top w:val="nil"/>
              <w:left w:val="single" w:sz="4" w:space="0" w:color="auto"/>
              <w:bottom w:val="nil"/>
              <w:right w:val="single" w:sz="4" w:space="0" w:color="auto"/>
            </w:tcBorders>
          </w:tcPr>
          <w:p w:rsidR="00061E94" w:rsidRDefault="00061E94" w:rsidP="002D3D7D">
            <w:pPr>
              <w:spacing w:after="0" w:line="259" w:lineRule="auto"/>
              <w:ind w:left="0" w:firstLine="0"/>
              <w:jc w:val="both"/>
            </w:pPr>
            <w:r>
              <w:rPr>
                <w:rFonts w:ascii="Times New Roman" w:eastAsia="Times New Roman" w:hAnsi="Times New Roman" w:cs="Times New Roman"/>
                <w:sz w:val="20"/>
              </w:rPr>
              <w:t xml:space="preserve"> </w:t>
            </w:r>
          </w:p>
        </w:tc>
        <w:tc>
          <w:tcPr>
            <w:tcW w:w="7654" w:type="dxa"/>
            <w:tcBorders>
              <w:top w:val="nil"/>
              <w:left w:val="single" w:sz="4" w:space="0" w:color="auto"/>
              <w:bottom w:val="nil"/>
              <w:right w:val="single" w:sz="4" w:space="0" w:color="auto"/>
            </w:tcBorders>
          </w:tcPr>
          <w:p w:rsidR="00061E94" w:rsidRDefault="00061E94" w:rsidP="00DD3CB9">
            <w:pPr>
              <w:tabs>
                <w:tab w:val="center" w:pos="6899"/>
              </w:tabs>
              <w:spacing w:after="0" w:line="259" w:lineRule="auto"/>
              <w:ind w:left="141" w:firstLine="0"/>
              <w:jc w:val="both"/>
            </w:pPr>
            <w:r>
              <w:t>Provést inventury ke 31.12.2016, vytisknout potřebné sestavy.</w:t>
            </w:r>
            <w:r>
              <w:rPr>
                <w:rFonts w:ascii="Times New Roman" w:eastAsia="Times New Roman" w:hAnsi="Times New Roman" w:cs="Times New Roman"/>
                <w:sz w:val="20"/>
              </w:rPr>
              <w:t xml:space="preserve">  </w:t>
            </w:r>
          </w:p>
        </w:tc>
        <w:tc>
          <w:tcPr>
            <w:tcW w:w="1134" w:type="dxa"/>
            <w:tcBorders>
              <w:top w:val="nil"/>
              <w:left w:val="single" w:sz="4" w:space="0" w:color="auto"/>
              <w:bottom w:val="nil"/>
              <w:right w:val="single" w:sz="4" w:space="0" w:color="auto"/>
            </w:tcBorders>
          </w:tcPr>
          <w:p w:rsidR="00061E94" w:rsidRDefault="00061E94" w:rsidP="002D3D7D">
            <w:pPr>
              <w:tabs>
                <w:tab w:val="center" w:pos="6899"/>
              </w:tabs>
              <w:spacing w:after="0" w:line="259" w:lineRule="auto"/>
              <w:ind w:left="0" w:firstLine="0"/>
              <w:jc w:val="both"/>
            </w:pPr>
          </w:p>
        </w:tc>
      </w:tr>
      <w:tr w:rsidR="00061E94" w:rsidTr="00DD3CB9">
        <w:trPr>
          <w:trHeight w:val="240"/>
        </w:trPr>
        <w:tc>
          <w:tcPr>
            <w:tcW w:w="990" w:type="dxa"/>
            <w:tcBorders>
              <w:top w:val="nil"/>
              <w:left w:val="single" w:sz="4" w:space="0" w:color="auto"/>
              <w:bottom w:val="nil"/>
              <w:right w:val="single" w:sz="4" w:space="0" w:color="auto"/>
            </w:tcBorders>
          </w:tcPr>
          <w:p w:rsidR="00061E94" w:rsidRDefault="00061E94" w:rsidP="002D3D7D">
            <w:pPr>
              <w:spacing w:after="0" w:line="259" w:lineRule="auto"/>
              <w:ind w:left="0" w:firstLine="0"/>
              <w:jc w:val="both"/>
            </w:pPr>
            <w:r>
              <w:rPr>
                <w:rFonts w:ascii="Times New Roman" w:eastAsia="Times New Roman" w:hAnsi="Times New Roman" w:cs="Times New Roman"/>
                <w:sz w:val="20"/>
              </w:rPr>
              <w:t xml:space="preserve"> </w:t>
            </w:r>
          </w:p>
        </w:tc>
        <w:tc>
          <w:tcPr>
            <w:tcW w:w="7654" w:type="dxa"/>
            <w:tcBorders>
              <w:top w:val="nil"/>
              <w:left w:val="single" w:sz="4" w:space="0" w:color="auto"/>
              <w:bottom w:val="nil"/>
              <w:right w:val="single" w:sz="4" w:space="0" w:color="auto"/>
            </w:tcBorders>
          </w:tcPr>
          <w:p w:rsidR="00061E94" w:rsidRDefault="00061E94" w:rsidP="00DD3CB9">
            <w:pPr>
              <w:tabs>
                <w:tab w:val="center" w:pos="6899"/>
              </w:tabs>
              <w:spacing w:after="0" w:line="259" w:lineRule="auto"/>
              <w:ind w:left="141" w:firstLine="0"/>
              <w:jc w:val="both"/>
            </w:pPr>
            <w:r>
              <w:t>Provést změny v evidenci majetku na základě rozhodnutí inventarizační komise.</w:t>
            </w:r>
            <w:r>
              <w:rPr>
                <w:rFonts w:ascii="Times New Roman" w:eastAsia="Times New Roman" w:hAnsi="Times New Roman" w:cs="Times New Roman"/>
                <w:sz w:val="20"/>
              </w:rPr>
              <w:t xml:space="preserve">  </w:t>
            </w:r>
          </w:p>
        </w:tc>
        <w:tc>
          <w:tcPr>
            <w:tcW w:w="1134" w:type="dxa"/>
            <w:tcBorders>
              <w:top w:val="nil"/>
              <w:left w:val="single" w:sz="4" w:space="0" w:color="auto"/>
              <w:bottom w:val="nil"/>
              <w:right w:val="single" w:sz="4" w:space="0" w:color="auto"/>
            </w:tcBorders>
          </w:tcPr>
          <w:p w:rsidR="00061E94" w:rsidRDefault="00061E94" w:rsidP="002D3D7D">
            <w:pPr>
              <w:tabs>
                <w:tab w:val="center" w:pos="6899"/>
              </w:tabs>
              <w:spacing w:after="0" w:line="259" w:lineRule="auto"/>
              <w:ind w:left="0" w:firstLine="0"/>
              <w:jc w:val="both"/>
            </w:pPr>
          </w:p>
        </w:tc>
      </w:tr>
      <w:tr w:rsidR="00061E94" w:rsidTr="00A40827">
        <w:trPr>
          <w:trHeight w:val="425"/>
        </w:trPr>
        <w:tc>
          <w:tcPr>
            <w:tcW w:w="990" w:type="dxa"/>
            <w:tcBorders>
              <w:top w:val="nil"/>
              <w:left w:val="single" w:sz="4" w:space="0" w:color="auto"/>
              <w:bottom w:val="single" w:sz="4" w:space="0" w:color="auto"/>
              <w:right w:val="single" w:sz="4" w:space="0" w:color="auto"/>
            </w:tcBorders>
          </w:tcPr>
          <w:p w:rsidR="00061E94" w:rsidRDefault="00061E94" w:rsidP="002D3D7D">
            <w:pPr>
              <w:spacing w:after="0" w:line="259" w:lineRule="auto"/>
              <w:ind w:left="0" w:firstLine="0"/>
              <w:jc w:val="both"/>
            </w:pPr>
            <w:r>
              <w:rPr>
                <w:rFonts w:ascii="Times New Roman" w:eastAsia="Times New Roman" w:hAnsi="Times New Roman" w:cs="Times New Roman"/>
                <w:sz w:val="20"/>
              </w:rPr>
              <w:t xml:space="preserve"> </w:t>
            </w:r>
          </w:p>
        </w:tc>
        <w:tc>
          <w:tcPr>
            <w:tcW w:w="7654" w:type="dxa"/>
            <w:tcBorders>
              <w:top w:val="nil"/>
              <w:left w:val="single" w:sz="4" w:space="0" w:color="auto"/>
              <w:bottom w:val="single" w:sz="4" w:space="0" w:color="auto"/>
              <w:right w:val="single" w:sz="4" w:space="0" w:color="auto"/>
            </w:tcBorders>
          </w:tcPr>
          <w:p w:rsidR="00061E94" w:rsidRDefault="00061E94" w:rsidP="00DD3CB9">
            <w:pPr>
              <w:tabs>
                <w:tab w:val="center" w:pos="6899"/>
              </w:tabs>
              <w:spacing w:after="0" w:line="259" w:lineRule="auto"/>
              <w:ind w:left="141" w:firstLine="0"/>
              <w:jc w:val="both"/>
            </w:pPr>
            <w:r>
              <w:t>Po odsouhlasení majetku provést roční závěrku – závěrka období.</w:t>
            </w:r>
            <w:r>
              <w:rPr>
                <w:rFonts w:ascii="Times New Roman" w:eastAsia="Times New Roman" w:hAnsi="Times New Roman" w:cs="Times New Roman"/>
                <w:sz w:val="20"/>
              </w:rPr>
              <w:t xml:space="preserve">  </w:t>
            </w:r>
          </w:p>
        </w:tc>
        <w:tc>
          <w:tcPr>
            <w:tcW w:w="1134" w:type="dxa"/>
            <w:tcBorders>
              <w:top w:val="nil"/>
              <w:left w:val="single" w:sz="4" w:space="0" w:color="auto"/>
              <w:bottom w:val="single" w:sz="4" w:space="0" w:color="auto"/>
              <w:right w:val="single" w:sz="4" w:space="0" w:color="auto"/>
            </w:tcBorders>
          </w:tcPr>
          <w:p w:rsidR="00061E94" w:rsidRDefault="00061E94" w:rsidP="002D3D7D">
            <w:pPr>
              <w:tabs>
                <w:tab w:val="center" w:pos="6899"/>
              </w:tabs>
              <w:spacing w:after="0" w:line="259" w:lineRule="auto"/>
              <w:ind w:left="0" w:firstLine="0"/>
              <w:jc w:val="both"/>
            </w:pPr>
          </w:p>
        </w:tc>
      </w:tr>
      <w:tr w:rsidR="00061E94" w:rsidTr="00DD3CB9">
        <w:trPr>
          <w:trHeight w:val="245"/>
        </w:trPr>
        <w:tc>
          <w:tcPr>
            <w:tcW w:w="990" w:type="dxa"/>
            <w:tcBorders>
              <w:top w:val="single" w:sz="4" w:space="0" w:color="auto"/>
              <w:left w:val="single" w:sz="4" w:space="0" w:color="auto"/>
              <w:bottom w:val="nil"/>
              <w:right w:val="single" w:sz="4" w:space="0" w:color="auto"/>
            </w:tcBorders>
          </w:tcPr>
          <w:p w:rsidR="00DD3CB9" w:rsidRDefault="00DD3CB9" w:rsidP="00DD3CB9">
            <w:pPr>
              <w:spacing w:after="0" w:line="259" w:lineRule="auto"/>
              <w:ind w:left="0" w:firstLine="0"/>
            </w:pPr>
          </w:p>
          <w:p w:rsidR="00061E94" w:rsidRDefault="00061E94" w:rsidP="00DD3CB9">
            <w:pPr>
              <w:spacing w:after="0" w:line="259" w:lineRule="auto"/>
              <w:ind w:left="0" w:firstLine="0"/>
            </w:pPr>
            <w:r>
              <w:t>Prodej a nákup</w:t>
            </w:r>
            <w:r>
              <w:rPr>
                <w:rFonts w:ascii="Times New Roman" w:eastAsia="Times New Roman" w:hAnsi="Times New Roman" w:cs="Times New Roman"/>
                <w:sz w:val="20"/>
              </w:rPr>
              <w:t xml:space="preserve"> </w:t>
            </w:r>
          </w:p>
        </w:tc>
        <w:tc>
          <w:tcPr>
            <w:tcW w:w="7654" w:type="dxa"/>
            <w:tcBorders>
              <w:top w:val="single" w:sz="4" w:space="0" w:color="auto"/>
              <w:left w:val="single" w:sz="4" w:space="0" w:color="auto"/>
              <w:bottom w:val="nil"/>
              <w:right w:val="single" w:sz="4" w:space="0" w:color="auto"/>
            </w:tcBorders>
          </w:tcPr>
          <w:p w:rsidR="00DD3CB9" w:rsidRDefault="00DD3CB9" w:rsidP="00DD3CB9">
            <w:pPr>
              <w:tabs>
                <w:tab w:val="center" w:pos="6899"/>
              </w:tabs>
              <w:spacing w:after="0" w:line="259" w:lineRule="auto"/>
              <w:ind w:left="141" w:firstLine="0"/>
              <w:jc w:val="both"/>
            </w:pPr>
          </w:p>
          <w:p w:rsidR="00061E94" w:rsidRDefault="00061E94" w:rsidP="00DD3CB9">
            <w:pPr>
              <w:tabs>
                <w:tab w:val="center" w:pos="6899"/>
              </w:tabs>
              <w:spacing w:after="0" w:line="259" w:lineRule="auto"/>
              <w:ind w:left="141" w:firstLine="0"/>
              <w:jc w:val="both"/>
            </w:pPr>
            <w:r>
              <w:t>Dokladové řady jsou založeny automaticky po přechodu na nové účetní období.</w:t>
            </w:r>
            <w:r>
              <w:rPr>
                <w:rFonts w:ascii="Times New Roman" w:eastAsia="Times New Roman" w:hAnsi="Times New Roman" w:cs="Times New Roman"/>
                <w:sz w:val="20"/>
              </w:rPr>
              <w:t xml:space="preserve">  </w:t>
            </w:r>
          </w:p>
        </w:tc>
        <w:tc>
          <w:tcPr>
            <w:tcW w:w="1134" w:type="dxa"/>
            <w:tcBorders>
              <w:top w:val="single" w:sz="4" w:space="0" w:color="auto"/>
              <w:left w:val="single" w:sz="4" w:space="0" w:color="auto"/>
              <w:bottom w:val="nil"/>
              <w:right w:val="single" w:sz="4" w:space="0" w:color="auto"/>
            </w:tcBorders>
          </w:tcPr>
          <w:p w:rsidR="00A40827" w:rsidRDefault="00A40827" w:rsidP="0046174A">
            <w:pPr>
              <w:tabs>
                <w:tab w:val="center" w:pos="6899"/>
              </w:tabs>
              <w:spacing w:after="0" w:line="259" w:lineRule="auto"/>
              <w:ind w:left="0" w:firstLine="0"/>
              <w:jc w:val="center"/>
            </w:pPr>
          </w:p>
          <w:p w:rsidR="00061E94" w:rsidRDefault="0046174A" w:rsidP="0046174A">
            <w:pPr>
              <w:tabs>
                <w:tab w:val="center" w:pos="6899"/>
              </w:tabs>
              <w:spacing w:after="0" w:line="259" w:lineRule="auto"/>
              <w:ind w:left="0" w:firstLine="0"/>
              <w:jc w:val="center"/>
            </w:pPr>
            <w:r>
              <w:t>X</w:t>
            </w:r>
          </w:p>
        </w:tc>
      </w:tr>
      <w:tr w:rsidR="00061E94" w:rsidTr="00DD3CB9">
        <w:trPr>
          <w:trHeight w:val="235"/>
        </w:trPr>
        <w:tc>
          <w:tcPr>
            <w:tcW w:w="990" w:type="dxa"/>
            <w:tcBorders>
              <w:top w:val="nil"/>
              <w:left w:val="single" w:sz="4" w:space="0" w:color="auto"/>
              <w:bottom w:val="single" w:sz="4" w:space="0" w:color="auto"/>
              <w:right w:val="single" w:sz="4" w:space="0" w:color="auto"/>
            </w:tcBorders>
          </w:tcPr>
          <w:p w:rsidR="00061E94" w:rsidRDefault="00061E94" w:rsidP="002D3D7D">
            <w:pPr>
              <w:spacing w:after="0" w:line="259" w:lineRule="auto"/>
              <w:ind w:left="0" w:firstLine="0"/>
              <w:jc w:val="both"/>
            </w:pPr>
            <w:r>
              <w:rPr>
                <w:rFonts w:ascii="Times New Roman" w:eastAsia="Times New Roman" w:hAnsi="Times New Roman" w:cs="Times New Roman"/>
                <w:sz w:val="20"/>
              </w:rPr>
              <w:t xml:space="preserve"> </w:t>
            </w:r>
          </w:p>
        </w:tc>
        <w:tc>
          <w:tcPr>
            <w:tcW w:w="7654" w:type="dxa"/>
            <w:tcBorders>
              <w:top w:val="nil"/>
              <w:left w:val="single" w:sz="4" w:space="0" w:color="auto"/>
              <w:bottom w:val="single" w:sz="4" w:space="0" w:color="auto"/>
              <w:right w:val="single" w:sz="4" w:space="0" w:color="auto"/>
            </w:tcBorders>
          </w:tcPr>
          <w:p w:rsidR="00061E94" w:rsidRDefault="00061E94" w:rsidP="00DD3CB9">
            <w:pPr>
              <w:spacing w:after="0" w:line="259" w:lineRule="auto"/>
              <w:ind w:left="141" w:firstLine="0"/>
              <w:jc w:val="both"/>
            </w:pPr>
          </w:p>
        </w:tc>
        <w:tc>
          <w:tcPr>
            <w:tcW w:w="1134" w:type="dxa"/>
            <w:tcBorders>
              <w:top w:val="nil"/>
              <w:left w:val="single" w:sz="4" w:space="0" w:color="auto"/>
              <w:bottom w:val="single" w:sz="4" w:space="0" w:color="auto"/>
              <w:right w:val="single" w:sz="4" w:space="0" w:color="auto"/>
            </w:tcBorders>
          </w:tcPr>
          <w:p w:rsidR="00061E94" w:rsidRDefault="00061E94" w:rsidP="002D3D7D">
            <w:pPr>
              <w:spacing w:after="0" w:line="259" w:lineRule="auto"/>
              <w:ind w:left="0" w:firstLine="0"/>
              <w:jc w:val="both"/>
            </w:pPr>
          </w:p>
        </w:tc>
      </w:tr>
      <w:tr w:rsidR="00061E94" w:rsidRPr="008D3A9B" w:rsidTr="00A40827">
        <w:trPr>
          <w:trHeight w:val="2432"/>
        </w:trPr>
        <w:tc>
          <w:tcPr>
            <w:tcW w:w="990" w:type="dxa"/>
            <w:tcBorders>
              <w:top w:val="single" w:sz="4" w:space="0" w:color="auto"/>
              <w:left w:val="single" w:sz="4" w:space="0" w:color="auto"/>
              <w:bottom w:val="single" w:sz="4" w:space="0" w:color="auto"/>
              <w:right w:val="single" w:sz="4" w:space="0" w:color="auto"/>
            </w:tcBorders>
          </w:tcPr>
          <w:p w:rsidR="00DD3CB9" w:rsidRDefault="00DD3CB9" w:rsidP="008D3A9B">
            <w:pPr>
              <w:ind w:left="0" w:firstLine="0"/>
            </w:pPr>
          </w:p>
          <w:p w:rsidR="00061E94" w:rsidRPr="008D3A9B" w:rsidRDefault="00061E94" w:rsidP="008D3A9B">
            <w:pPr>
              <w:ind w:left="0" w:firstLine="0"/>
            </w:pPr>
            <w:r w:rsidRPr="008D3A9B">
              <w:t xml:space="preserve">Marketing </w:t>
            </w:r>
          </w:p>
        </w:tc>
        <w:tc>
          <w:tcPr>
            <w:tcW w:w="7654" w:type="dxa"/>
            <w:tcBorders>
              <w:top w:val="single" w:sz="4" w:space="0" w:color="auto"/>
              <w:left w:val="single" w:sz="4" w:space="0" w:color="auto"/>
              <w:bottom w:val="single" w:sz="4" w:space="0" w:color="auto"/>
              <w:right w:val="single" w:sz="4" w:space="0" w:color="auto"/>
            </w:tcBorders>
          </w:tcPr>
          <w:p w:rsidR="00DD3CB9" w:rsidRDefault="00DD3CB9" w:rsidP="00DD3CB9">
            <w:pPr>
              <w:ind w:left="141" w:firstLine="0"/>
              <w:jc w:val="both"/>
            </w:pPr>
          </w:p>
          <w:p w:rsidR="00061E94" w:rsidRPr="008D3A9B" w:rsidRDefault="00061E94" w:rsidP="005602AB">
            <w:pPr>
              <w:ind w:left="141" w:right="142" w:firstLine="0"/>
              <w:jc w:val="both"/>
            </w:pPr>
            <w:r w:rsidRPr="008D3A9B">
              <w:t xml:space="preserve">Akce nejsou číslovány (kromě VZ) automaticky. Jejich pořadové značení definuje uživatel. Pokud je identifikátor akce omezen kalendářním rokem, musí se pamatovat na ukončení staré posloupnosti a založení nové (obchodní případy, projekty, úkoly, porady). </w:t>
            </w:r>
          </w:p>
        </w:tc>
        <w:tc>
          <w:tcPr>
            <w:tcW w:w="1134" w:type="dxa"/>
            <w:tcBorders>
              <w:top w:val="single" w:sz="4" w:space="0" w:color="auto"/>
              <w:left w:val="single" w:sz="4" w:space="0" w:color="auto"/>
              <w:bottom w:val="single" w:sz="4" w:space="0" w:color="auto"/>
              <w:right w:val="single" w:sz="4" w:space="0" w:color="auto"/>
            </w:tcBorders>
          </w:tcPr>
          <w:p w:rsidR="00DD3CB9" w:rsidRDefault="00DD3CB9" w:rsidP="0046174A">
            <w:pPr>
              <w:ind w:left="0" w:firstLine="0"/>
              <w:jc w:val="center"/>
            </w:pPr>
          </w:p>
          <w:p w:rsidR="00061E94" w:rsidRPr="008D3A9B" w:rsidRDefault="0046174A" w:rsidP="0046174A">
            <w:pPr>
              <w:ind w:left="0" w:firstLine="0"/>
              <w:jc w:val="center"/>
            </w:pPr>
            <w:r>
              <w:t>X</w:t>
            </w:r>
          </w:p>
        </w:tc>
      </w:tr>
      <w:tr w:rsidR="00061E94" w:rsidTr="00DD3CB9">
        <w:trPr>
          <w:trHeight w:val="248"/>
        </w:trPr>
        <w:tc>
          <w:tcPr>
            <w:tcW w:w="990" w:type="dxa"/>
            <w:tcBorders>
              <w:top w:val="single" w:sz="4" w:space="0" w:color="auto"/>
              <w:left w:val="single" w:sz="4" w:space="0" w:color="auto"/>
              <w:bottom w:val="nil"/>
              <w:right w:val="single" w:sz="4" w:space="0" w:color="auto"/>
            </w:tcBorders>
          </w:tcPr>
          <w:p w:rsidR="00DD3CB9" w:rsidRDefault="00DD3CB9" w:rsidP="002D3D7D">
            <w:pPr>
              <w:spacing w:after="0" w:line="259" w:lineRule="auto"/>
              <w:ind w:left="0" w:firstLine="0"/>
              <w:jc w:val="both"/>
            </w:pPr>
          </w:p>
          <w:p w:rsidR="00061E94" w:rsidRDefault="00061E94" w:rsidP="002D3D7D">
            <w:pPr>
              <w:spacing w:after="0" w:line="259" w:lineRule="auto"/>
              <w:ind w:left="0" w:firstLine="0"/>
              <w:jc w:val="both"/>
            </w:pPr>
            <w:r>
              <w:lastRenderedPageBreak/>
              <w:t>Sklady</w:t>
            </w:r>
            <w:r>
              <w:rPr>
                <w:rFonts w:ascii="Times New Roman" w:eastAsia="Times New Roman" w:hAnsi="Times New Roman" w:cs="Times New Roman"/>
                <w:sz w:val="20"/>
              </w:rPr>
              <w:t xml:space="preserve"> </w:t>
            </w:r>
          </w:p>
        </w:tc>
        <w:tc>
          <w:tcPr>
            <w:tcW w:w="7654" w:type="dxa"/>
            <w:tcBorders>
              <w:top w:val="single" w:sz="4" w:space="0" w:color="auto"/>
              <w:left w:val="single" w:sz="4" w:space="0" w:color="auto"/>
              <w:bottom w:val="nil"/>
              <w:right w:val="single" w:sz="4" w:space="0" w:color="auto"/>
            </w:tcBorders>
          </w:tcPr>
          <w:p w:rsidR="00DD3CB9" w:rsidRDefault="00DD3CB9" w:rsidP="00DD3CB9">
            <w:pPr>
              <w:tabs>
                <w:tab w:val="center" w:pos="6899"/>
              </w:tabs>
              <w:spacing w:after="0" w:line="259" w:lineRule="auto"/>
              <w:ind w:left="141" w:firstLine="0"/>
              <w:jc w:val="both"/>
            </w:pPr>
          </w:p>
          <w:p w:rsidR="00061E94" w:rsidRDefault="00061E94" w:rsidP="00DD3CB9">
            <w:pPr>
              <w:tabs>
                <w:tab w:val="center" w:pos="6899"/>
              </w:tabs>
              <w:spacing w:after="0" w:line="259" w:lineRule="auto"/>
              <w:ind w:left="141" w:firstLine="0"/>
              <w:jc w:val="both"/>
            </w:pPr>
            <w:r>
              <w:lastRenderedPageBreak/>
              <w:t>Dokladové řady jsou založeny automaticky po přechodu na nové účetní období.</w:t>
            </w:r>
            <w:r>
              <w:rPr>
                <w:rFonts w:ascii="Times New Roman" w:eastAsia="Times New Roman" w:hAnsi="Times New Roman" w:cs="Times New Roman"/>
                <w:sz w:val="20"/>
              </w:rPr>
              <w:t xml:space="preserve">  </w:t>
            </w:r>
          </w:p>
        </w:tc>
        <w:tc>
          <w:tcPr>
            <w:tcW w:w="1134" w:type="dxa"/>
            <w:tcBorders>
              <w:top w:val="single" w:sz="4" w:space="0" w:color="auto"/>
              <w:left w:val="single" w:sz="4" w:space="0" w:color="auto"/>
              <w:bottom w:val="nil"/>
              <w:right w:val="single" w:sz="4" w:space="0" w:color="auto"/>
            </w:tcBorders>
          </w:tcPr>
          <w:p w:rsidR="00061E94" w:rsidRDefault="00061E94" w:rsidP="002D3D7D">
            <w:pPr>
              <w:tabs>
                <w:tab w:val="center" w:pos="6899"/>
              </w:tabs>
              <w:spacing w:after="0" w:line="259" w:lineRule="auto"/>
              <w:ind w:left="0" w:firstLine="0"/>
              <w:jc w:val="both"/>
            </w:pPr>
          </w:p>
        </w:tc>
      </w:tr>
      <w:tr w:rsidR="00061E94" w:rsidTr="00DD3CB9">
        <w:trPr>
          <w:trHeight w:val="2404"/>
        </w:trPr>
        <w:tc>
          <w:tcPr>
            <w:tcW w:w="990" w:type="dxa"/>
            <w:tcBorders>
              <w:top w:val="nil"/>
              <w:left w:val="single" w:sz="4" w:space="0" w:color="auto"/>
              <w:bottom w:val="nil"/>
              <w:right w:val="single" w:sz="4" w:space="0" w:color="auto"/>
            </w:tcBorders>
          </w:tcPr>
          <w:p w:rsidR="00061E94" w:rsidRDefault="00061E94" w:rsidP="002D3D7D">
            <w:pPr>
              <w:spacing w:after="0" w:line="259" w:lineRule="auto"/>
              <w:ind w:left="0" w:firstLine="0"/>
              <w:jc w:val="both"/>
            </w:pPr>
          </w:p>
        </w:tc>
        <w:tc>
          <w:tcPr>
            <w:tcW w:w="7654" w:type="dxa"/>
            <w:tcBorders>
              <w:top w:val="nil"/>
              <w:left w:val="single" w:sz="4" w:space="0" w:color="auto"/>
              <w:bottom w:val="single" w:sz="4" w:space="0" w:color="auto"/>
              <w:right w:val="single" w:sz="4" w:space="0" w:color="auto"/>
            </w:tcBorders>
          </w:tcPr>
          <w:p w:rsidR="00061E94" w:rsidRDefault="00061E94" w:rsidP="00DD3CB9">
            <w:pPr>
              <w:tabs>
                <w:tab w:val="center" w:pos="6899"/>
              </w:tabs>
              <w:spacing w:after="36" w:line="259" w:lineRule="auto"/>
              <w:ind w:left="141" w:firstLine="0"/>
              <w:jc w:val="both"/>
            </w:pPr>
            <w:r>
              <w:t>Předpoklady k provedení inventury:</w:t>
            </w:r>
            <w:r>
              <w:rPr>
                <w:rFonts w:ascii="Times New Roman" w:eastAsia="Times New Roman" w:hAnsi="Times New Roman" w:cs="Times New Roman"/>
                <w:sz w:val="20"/>
              </w:rPr>
              <w:t xml:space="preserve">  </w:t>
            </w:r>
          </w:p>
          <w:p w:rsidR="00061E94" w:rsidRDefault="00061E94" w:rsidP="002D3D7D">
            <w:pPr>
              <w:numPr>
                <w:ilvl w:val="0"/>
                <w:numId w:val="2"/>
              </w:numPr>
              <w:spacing w:after="19" w:line="267" w:lineRule="auto"/>
              <w:ind w:right="173" w:hanging="360"/>
              <w:jc w:val="both"/>
            </w:pPr>
            <w:r>
              <w:t>zadat do systému pokud možno všechny doručené oceňovací doklady a ty připojit k dodacím listům a přecenit</w:t>
            </w:r>
            <w:r>
              <w:rPr>
                <w:rFonts w:ascii="Times New Roman" w:eastAsia="Times New Roman" w:hAnsi="Times New Roman" w:cs="Times New Roman"/>
                <w:sz w:val="20"/>
              </w:rPr>
              <w:t xml:space="preserve"> </w:t>
            </w:r>
          </w:p>
          <w:p w:rsidR="00061E94" w:rsidRDefault="00061E94" w:rsidP="002D3D7D">
            <w:pPr>
              <w:numPr>
                <w:ilvl w:val="0"/>
                <w:numId w:val="2"/>
              </w:numPr>
              <w:spacing w:after="13" w:line="273" w:lineRule="auto"/>
              <w:ind w:right="173" w:hanging="360"/>
              <w:jc w:val="both"/>
            </w:pPr>
            <w:r>
              <w:t>na dokladech, ke kterým není doručen oceňovací doklad ke dni provedení inventury, zpřesnit ocenění na základě objednávky, aby byly minimalizovány oceňovací rozdíly</w:t>
            </w:r>
            <w:r>
              <w:rPr>
                <w:rFonts w:ascii="Times New Roman" w:eastAsia="Times New Roman" w:hAnsi="Times New Roman" w:cs="Times New Roman"/>
                <w:sz w:val="20"/>
              </w:rPr>
              <w:t xml:space="preserve"> </w:t>
            </w:r>
          </w:p>
          <w:p w:rsidR="00061E94" w:rsidRDefault="00061E94" w:rsidP="002D3D7D">
            <w:pPr>
              <w:numPr>
                <w:ilvl w:val="0"/>
                <w:numId w:val="2"/>
              </w:numPr>
              <w:spacing w:after="13" w:line="273" w:lineRule="auto"/>
              <w:ind w:right="173" w:hanging="360"/>
              <w:jc w:val="both"/>
            </w:pPr>
            <w:r>
              <w:t>provést odstranění rozpracovaných dokladů do data inventury včetně (rozpracované doklady vyskladnit nebo vymazat položky a doklad přepnout do stavu Zrušen)</w:t>
            </w:r>
            <w:r>
              <w:rPr>
                <w:rFonts w:ascii="Times New Roman" w:eastAsia="Times New Roman" w:hAnsi="Times New Roman" w:cs="Times New Roman"/>
                <w:sz w:val="20"/>
              </w:rPr>
              <w:t xml:space="preserve"> </w:t>
            </w:r>
          </w:p>
          <w:p w:rsidR="00061E94" w:rsidRDefault="00061E94" w:rsidP="002D3D7D">
            <w:pPr>
              <w:numPr>
                <w:ilvl w:val="0"/>
                <w:numId w:val="2"/>
              </w:numPr>
              <w:spacing w:after="0" w:line="259" w:lineRule="auto"/>
              <w:ind w:right="173" w:hanging="360"/>
              <w:jc w:val="both"/>
            </w:pPr>
            <w:r>
              <w:t>provést kontroly skladů</w:t>
            </w:r>
            <w:r>
              <w:rPr>
                <w:rFonts w:ascii="Times New Roman" w:eastAsia="Times New Roman" w:hAnsi="Times New Roman" w:cs="Times New Roman"/>
                <w:sz w:val="20"/>
              </w:rPr>
              <w:t xml:space="preserve"> </w:t>
            </w:r>
          </w:p>
        </w:tc>
        <w:tc>
          <w:tcPr>
            <w:tcW w:w="1134" w:type="dxa"/>
            <w:tcBorders>
              <w:top w:val="nil"/>
              <w:left w:val="single" w:sz="4" w:space="0" w:color="auto"/>
              <w:bottom w:val="single" w:sz="4" w:space="0" w:color="auto"/>
              <w:right w:val="single" w:sz="4" w:space="0" w:color="auto"/>
            </w:tcBorders>
          </w:tcPr>
          <w:p w:rsidR="00061E94" w:rsidRDefault="001822E8" w:rsidP="00DD3CB9">
            <w:pPr>
              <w:tabs>
                <w:tab w:val="center" w:pos="6899"/>
              </w:tabs>
              <w:spacing w:after="36" w:line="259" w:lineRule="auto"/>
              <w:ind w:left="142" w:firstLine="0"/>
            </w:pPr>
            <w:r>
              <w:t>Vedoucí skladů</w:t>
            </w:r>
          </w:p>
        </w:tc>
      </w:tr>
      <w:tr w:rsidR="00061E94" w:rsidTr="00DD3CB9">
        <w:trPr>
          <w:trHeight w:val="720"/>
        </w:trPr>
        <w:tc>
          <w:tcPr>
            <w:tcW w:w="990" w:type="dxa"/>
            <w:tcBorders>
              <w:top w:val="nil"/>
              <w:left w:val="single" w:sz="4" w:space="0" w:color="auto"/>
              <w:bottom w:val="nil"/>
              <w:right w:val="single" w:sz="4" w:space="0" w:color="auto"/>
            </w:tcBorders>
          </w:tcPr>
          <w:p w:rsidR="00061E94" w:rsidRDefault="00061E94" w:rsidP="002D3D7D">
            <w:pPr>
              <w:spacing w:after="0" w:line="259" w:lineRule="auto"/>
              <w:ind w:left="0" w:firstLine="0"/>
              <w:jc w:val="both"/>
            </w:pPr>
            <w:r>
              <w:rPr>
                <w:rFonts w:ascii="Times New Roman" w:eastAsia="Times New Roman" w:hAnsi="Times New Roman" w:cs="Times New Roman"/>
                <w:sz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061E94" w:rsidRDefault="00061E94" w:rsidP="00DD3CB9">
            <w:pPr>
              <w:spacing w:after="0" w:line="259" w:lineRule="auto"/>
              <w:ind w:left="141" w:right="153" w:firstLine="0"/>
              <w:jc w:val="both"/>
            </w:pPr>
            <w:r>
              <w:t xml:space="preserve">Zahájení inventury – založení záznamu v QI, doporučujeme provést inventuru k </w:t>
            </w:r>
            <w:r>
              <w:rPr>
                <w:b/>
              </w:rPr>
              <w:t>30.12.2016</w:t>
            </w:r>
            <w:r>
              <w:t>, aby bylo možné případné dodatečné opravy, vyřešit ještě v období uzavíraného roku.</w:t>
            </w:r>
            <w:r>
              <w:rPr>
                <w:rFonts w:ascii="Times New Roman" w:eastAsia="Times New Roman" w:hAnsi="Times New Roman" w:cs="Times New Roman"/>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1E94" w:rsidRDefault="001822E8" w:rsidP="0046174A">
            <w:pPr>
              <w:spacing w:after="0" w:line="259" w:lineRule="auto"/>
              <w:ind w:left="130" w:firstLine="0"/>
              <w:jc w:val="both"/>
            </w:pPr>
            <w:r>
              <w:t>L.Novák</w:t>
            </w:r>
          </w:p>
        </w:tc>
      </w:tr>
      <w:tr w:rsidR="00061E94" w:rsidTr="00DD3CB9">
        <w:trPr>
          <w:trHeight w:val="240"/>
        </w:trPr>
        <w:tc>
          <w:tcPr>
            <w:tcW w:w="990" w:type="dxa"/>
            <w:tcBorders>
              <w:top w:val="nil"/>
              <w:left w:val="single" w:sz="4" w:space="0" w:color="auto"/>
              <w:bottom w:val="nil"/>
              <w:right w:val="single" w:sz="4" w:space="0" w:color="auto"/>
            </w:tcBorders>
          </w:tcPr>
          <w:p w:rsidR="00061E94" w:rsidRDefault="00061E94" w:rsidP="002D3D7D">
            <w:pPr>
              <w:spacing w:after="0" w:line="259" w:lineRule="auto"/>
              <w:ind w:left="0" w:firstLine="0"/>
              <w:jc w:val="both"/>
            </w:pPr>
            <w:r>
              <w:rPr>
                <w:rFonts w:ascii="Times New Roman" w:eastAsia="Times New Roman" w:hAnsi="Times New Roman" w:cs="Times New Roman"/>
                <w:sz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061E94" w:rsidRDefault="00061E94" w:rsidP="00DD3CB9">
            <w:pPr>
              <w:tabs>
                <w:tab w:val="center" w:pos="6899"/>
              </w:tabs>
              <w:spacing w:after="0" w:line="259" w:lineRule="auto"/>
              <w:ind w:left="141" w:firstLine="0"/>
              <w:jc w:val="both"/>
            </w:pPr>
            <w:r>
              <w:t>Tisk sestav – poklady pro inventuru skladu.</w:t>
            </w:r>
            <w:r>
              <w:rPr>
                <w:rFonts w:ascii="Times New Roman" w:eastAsia="Times New Roman" w:hAnsi="Times New Roman" w:cs="Times New Roman"/>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1E94" w:rsidRDefault="001822E8" w:rsidP="0046174A">
            <w:pPr>
              <w:tabs>
                <w:tab w:val="center" w:pos="6899"/>
              </w:tabs>
              <w:spacing w:after="0" w:line="259" w:lineRule="auto"/>
              <w:ind w:left="130" w:firstLine="0"/>
              <w:jc w:val="both"/>
            </w:pPr>
            <w:r>
              <w:t>L.Novák</w:t>
            </w:r>
          </w:p>
        </w:tc>
      </w:tr>
      <w:tr w:rsidR="00061E94" w:rsidTr="00DD3CB9">
        <w:trPr>
          <w:trHeight w:val="240"/>
        </w:trPr>
        <w:tc>
          <w:tcPr>
            <w:tcW w:w="990" w:type="dxa"/>
            <w:tcBorders>
              <w:top w:val="nil"/>
              <w:left w:val="single" w:sz="4" w:space="0" w:color="auto"/>
              <w:bottom w:val="nil"/>
              <w:right w:val="single" w:sz="4" w:space="0" w:color="auto"/>
            </w:tcBorders>
          </w:tcPr>
          <w:p w:rsidR="00061E94" w:rsidRDefault="00061E94" w:rsidP="002D3D7D">
            <w:pPr>
              <w:spacing w:after="0" w:line="259" w:lineRule="auto"/>
              <w:ind w:left="0" w:firstLine="0"/>
              <w:jc w:val="both"/>
            </w:pPr>
            <w:r>
              <w:rPr>
                <w:rFonts w:ascii="Times New Roman" w:eastAsia="Times New Roman" w:hAnsi="Times New Roman" w:cs="Times New Roman"/>
                <w:sz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061E94" w:rsidRDefault="00061E94" w:rsidP="00DD3CB9">
            <w:pPr>
              <w:tabs>
                <w:tab w:val="center" w:pos="6899"/>
              </w:tabs>
              <w:spacing w:after="0" w:line="259" w:lineRule="auto"/>
              <w:ind w:left="141" w:firstLine="0"/>
              <w:jc w:val="both"/>
            </w:pPr>
            <w:r>
              <w:t>Provedení fyzické inventury – zapsání zjištěného množství.</w:t>
            </w:r>
            <w:r>
              <w:rPr>
                <w:rFonts w:ascii="Times New Roman" w:eastAsia="Times New Roman" w:hAnsi="Times New Roman" w:cs="Times New Roman"/>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1E94" w:rsidRDefault="0046174A" w:rsidP="0046174A">
            <w:pPr>
              <w:tabs>
                <w:tab w:val="center" w:pos="6899"/>
              </w:tabs>
              <w:spacing w:after="0" w:line="259" w:lineRule="auto"/>
              <w:ind w:left="130" w:firstLine="0"/>
              <w:jc w:val="both"/>
            </w:pPr>
            <w:r>
              <w:t>p</w:t>
            </w:r>
            <w:r w:rsidR="001822E8">
              <w:t>ověřené osoby</w:t>
            </w:r>
          </w:p>
        </w:tc>
      </w:tr>
      <w:tr w:rsidR="00061E94" w:rsidTr="00DD3CB9">
        <w:trPr>
          <w:trHeight w:val="534"/>
        </w:trPr>
        <w:tc>
          <w:tcPr>
            <w:tcW w:w="990" w:type="dxa"/>
            <w:tcBorders>
              <w:top w:val="nil"/>
              <w:left w:val="single" w:sz="4" w:space="0" w:color="auto"/>
              <w:bottom w:val="nil"/>
              <w:right w:val="single" w:sz="4" w:space="0" w:color="auto"/>
            </w:tcBorders>
          </w:tcPr>
          <w:p w:rsidR="00061E94" w:rsidRDefault="00061E94" w:rsidP="002D3D7D">
            <w:pPr>
              <w:spacing w:after="0" w:line="259" w:lineRule="auto"/>
              <w:ind w:left="0" w:firstLine="0"/>
              <w:jc w:val="both"/>
            </w:pPr>
            <w:r>
              <w:rPr>
                <w:rFonts w:ascii="Times New Roman" w:eastAsia="Times New Roman" w:hAnsi="Times New Roman" w:cs="Times New Roman"/>
                <w:sz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061E94" w:rsidRDefault="00061E94" w:rsidP="00DD3CB9">
            <w:pPr>
              <w:spacing w:after="0" w:line="259" w:lineRule="auto"/>
              <w:ind w:left="141" w:right="153" w:firstLine="0"/>
              <w:jc w:val="both"/>
            </w:pPr>
            <w:r>
              <w:t>Vygenerování dokladů – skladové výdejky pro inventurní manka a skladové</w:t>
            </w:r>
            <w:r>
              <w:rPr>
                <w:rFonts w:ascii="Times New Roman" w:eastAsia="Times New Roman" w:hAnsi="Times New Roman" w:cs="Times New Roman"/>
                <w:sz w:val="20"/>
              </w:rPr>
              <w:t xml:space="preserve"> </w:t>
            </w:r>
            <w:r>
              <w:t>příjemky pro inventurní přebytky.</w:t>
            </w:r>
            <w:r>
              <w:rPr>
                <w:rFonts w:ascii="Times New Roman" w:eastAsia="Times New Roman" w:hAnsi="Times New Roman" w:cs="Times New Roman"/>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1E94" w:rsidRDefault="001822E8" w:rsidP="0046174A">
            <w:pPr>
              <w:spacing w:after="0" w:line="259" w:lineRule="auto"/>
              <w:ind w:left="130" w:firstLine="0"/>
              <w:jc w:val="both"/>
            </w:pPr>
            <w:r>
              <w:t>L.Novák</w:t>
            </w:r>
          </w:p>
        </w:tc>
      </w:tr>
      <w:tr w:rsidR="00061E94" w:rsidTr="00A40827">
        <w:trPr>
          <w:trHeight w:val="435"/>
        </w:trPr>
        <w:tc>
          <w:tcPr>
            <w:tcW w:w="990" w:type="dxa"/>
            <w:tcBorders>
              <w:top w:val="nil"/>
              <w:left w:val="single" w:sz="4" w:space="0" w:color="auto"/>
              <w:right w:val="single" w:sz="4" w:space="0" w:color="auto"/>
            </w:tcBorders>
          </w:tcPr>
          <w:p w:rsidR="00061E94" w:rsidRDefault="00061E94" w:rsidP="002D3D7D">
            <w:pPr>
              <w:spacing w:after="0" w:line="259" w:lineRule="auto"/>
              <w:ind w:left="0" w:firstLine="0"/>
              <w:jc w:val="both"/>
            </w:pPr>
            <w:r>
              <w:rPr>
                <w:rFonts w:ascii="Times New Roman" w:eastAsia="Times New Roman" w:hAnsi="Times New Roman" w:cs="Times New Roman"/>
                <w:sz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061E94" w:rsidRDefault="00061E94" w:rsidP="00DD3CB9">
            <w:pPr>
              <w:spacing w:after="0" w:line="259" w:lineRule="auto"/>
              <w:ind w:left="141" w:right="153" w:firstLine="0"/>
              <w:jc w:val="both"/>
            </w:pPr>
            <w:r>
              <w:t>Ukončení inventury – promítnutí inventurních dokladů do stavu zásob a vygenerování účetních položek.</w:t>
            </w:r>
            <w:r>
              <w:rPr>
                <w:rFonts w:ascii="Times New Roman" w:eastAsia="Times New Roman" w:hAnsi="Times New Roman" w:cs="Times New Roman"/>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61E94" w:rsidRDefault="001822E8" w:rsidP="0046174A">
            <w:pPr>
              <w:spacing w:after="0" w:line="259" w:lineRule="auto"/>
              <w:ind w:left="130" w:firstLine="0"/>
              <w:jc w:val="both"/>
            </w:pPr>
            <w:r>
              <w:t>L.Novák</w:t>
            </w:r>
          </w:p>
        </w:tc>
      </w:tr>
      <w:tr w:rsidR="001822E8" w:rsidTr="00A40827">
        <w:trPr>
          <w:trHeight w:val="2396"/>
        </w:trPr>
        <w:tc>
          <w:tcPr>
            <w:tcW w:w="990" w:type="dxa"/>
            <w:tcBorders>
              <w:left w:val="single" w:sz="4" w:space="0" w:color="auto"/>
              <w:bottom w:val="single" w:sz="4" w:space="0" w:color="auto"/>
              <w:right w:val="single" w:sz="4" w:space="0" w:color="auto"/>
            </w:tcBorders>
          </w:tcPr>
          <w:p w:rsidR="001822E8" w:rsidRDefault="001822E8" w:rsidP="001822E8">
            <w:pPr>
              <w:spacing w:after="0" w:line="259" w:lineRule="auto"/>
              <w:ind w:left="0" w:firstLine="0"/>
              <w:jc w:val="both"/>
            </w:pPr>
            <w:r>
              <w:rPr>
                <w:rFonts w:ascii="Times New Roman" w:eastAsia="Times New Roman" w:hAnsi="Times New Roman" w:cs="Times New Roman"/>
                <w:sz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1822E8" w:rsidRDefault="001822E8" w:rsidP="00DD3CB9">
            <w:pPr>
              <w:spacing w:after="0" w:line="284" w:lineRule="auto"/>
              <w:ind w:left="141" w:right="153" w:firstLine="0"/>
              <w:jc w:val="both"/>
            </w:pPr>
            <w:r>
              <w:t xml:space="preserve">Oceňovací rozdíly, které jsou zjištěny až po ukončení inventury mohou být promítnuty do stavu zásob až po datu ukončení inventury (tedy v případě inventury prováděné k datu 31.12.2016 až v novém účetním období roku 2015), nebo řešeny jako náklad minulých období. </w:t>
            </w:r>
          </w:p>
          <w:p w:rsidR="001822E8" w:rsidRDefault="001822E8" w:rsidP="00DD3CB9">
            <w:pPr>
              <w:spacing w:after="5" w:line="276" w:lineRule="auto"/>
              <w:ind w:left="141" w:right="186" w:firstLine="0"/>
              <w:jc w:val="both"/>
            </w:pPr>
          </w:p>
          <w:p w:rsidR="001822E8" w:rsidRDefault="001822E8" w:rsidP="00DD3CB9">
            <w:pPr>
              <w:spacing w:after="5" w:line="276" w:lineRule="auto"/>
              <w:ind w:left="141" w:right="186" w:firstLine="0"/>
              <w:jc w:val="both"/>
            </w:pPr>
            <w:r>
              <w:t xml:space="preserve">Podle zákona o účetnictví lze fyzickou inventuru hmotného majetku provést v průběhu posledních čtyř měsíců účetního období, popřípadě v prvních dvou měsících následujícího účetního období. </w:t>
            </w:r>
            <w:r>
              <w:rPr>
                <w:b/>
              </w:rPr>
              <w:t xml:space="preserve">Pro sklady vedené v průměrných cenách lze doporučit provedení fyzické inventury k 30.12.2016 a datum </w:t>
            </w:r>
          </w:p>
          <w:p w:rsidR="001822E8" w:rsidRDefault="001822E8" w:rsidP="00DD3CB9">
            <w:pPr>
              <w:spacing w:after="0" w:line="259" w:lineRule="auto"/>
              <w:ind w:left="141" w:firstLine="0"/>
              <w:jc w:val="both"/>
            </w:pPr>
            <w:r>
              <w:rPr>
                <w:b/>
              </w:rPr>
              <w:t>31.12.2016 ponechat pro závěrečné oceňovací odchylky.</w:t>
            </w:r>
            <w:r>
              <w:rPr>
                <w:rFonts w:ascii="Times New Roman" w:eastAsia="Times New Roman" w:hAnsi="Times New Roman" w:cs="Times New Roman"/>
                <w:b/>
                <w:sz w:val="20"/>
              </w:rPr>
              <w:t xml:space="preserve"> </w:t>
            </w:r>
          </w:p>
          <w:p w:rsidR="001822E8" w:rsidRDefault="001822E8" w:rsidP="00DD3CB9">
            <w:pPr>
              <w:spacing w:after="0" w:line="259" w:lineRule="auto"/>
              <w:ind w:left="141" w:firstLine="0"/>
              <w:jc w:val="both"/>
            </w:pPr>
            <w:r>
              <w:rPr>
                <w:rFonts w:ascii="Times New Roman" w:eastAsia="Times New Roman" w:hAnsi="Times New Roman" w:cs="Times New Roman"/>
                <w:sz w:val="20"/>
              </w:rPr>
              <w:t xml:space="preserve"> </w:t>
            </w:r>
          </w:p>
        </w:tc>
        <w:tc>
          <w:tcPr>
            <w:tcW w:w="1134" w:type="dxa"/>
            <w:tcBorders>
              <w:top w:val="single" w:sz="4" w:space="0" w:color="auto"/>
              <w:left w:val="nil"/>
              <w:bottom w:val="single" w:sz="4" w:space="0" w:color="auto"/>
              <w:right w:val="single" w:sz="4" w:space="0" w:color="auto"/>
            </w:tcBorders>
          </w:tcPr>
          <w:p w:rsidR="001822E8" w:rsidRPr="00415824" w:rsidRDefault="001822E8" w:rsidP="001822E8">
            <w:pPr>
              <w:autoSpaceDE w:val="0"/>
              <w:autoSpaceDN w:val="0"/>
              <w:adjustRightInd w:val="0"/>
              <w:ind w:left="130"/>
              <w:jc w:val="both"/>
              <w:rPr>
                <w:szCs w:val="18"/>
              </w:rPr>
            </w:pPr>
            <w:r>
              <w:rPr>
                <w:szCs w:val="18"/>
              </w:rPr>
              <w:t>Jakšová</w:t>
            </w:r>
          </w:p>
        </w:tc>
      </w:tr>
      <w:tr w:rsidR="001822E8" w:rsidTr="00DD3CB9">
        <w:trPr>
          <w:trHeight w:val="480"/>
        </w:trPr>
        <w:tc>
          <w:tcPr>
            <w:tcW w:w="990" w:type="dxa"/>
            <w:tcBorders>
              <w:top w:val="single" w:sz="4" w:space="0" w:color="auto"/>
              <w:left w:val="nil"/>
              <w:bottom w:val="nil"/>
              <w:right w:val="nil"/>
            </w:tcBorders>
          </w:tcPr>
          <w:p w:rsidR="001822E8" w:rsidRDefault="001822E8" w:rsidP="001822E8">
            <w:pPr>
              <w:spacing w:after="0" w:line="259" w:lineRule="auto"/>
              <w:ind w:left="0" w:firstLine="0"/>
              <w:jc w:val="both"/>
            </w:pPr>
          </w:p>
        </w:tc>
        <w:tc>
          <w:tcPr>
            <w:tcW w:w="7654" w:type="dxa"/>
            <w:tcBorders>
              <w:top w:val="single" w:sz="4" w:space="0" w:color="auto"/>
              <w:left w:val="nil"/>
              <w:bottom w:val="nil"/>
              <w:right w:val="nil"/>
            </w:tcBorders>
          </w:tcPr>
          <w:p w:rsidR="001822E8" w:rsidRDefault="001822E8" w:rsidP="001822E8">
            <w:pPr>
              <w:spacing w:after="0" w:line="259" w:lineRule="auto"/>
              <w:ind w:left="0" w:firstLine="0"/>
              <w:jc w:val="both"/>
            </w:pPr>
          </w:p>
        </w:tc>
        <w:tc>
          <w:tcPr>
            <w:tcW w:w="1134" w:type="dxa"/>
            <w:tcBorders>
              <w:top w:val="single" w:sz="4" w:space="0" w:color="auto"/>
              <w:left w:val="nil"/>
              <w:bottom w:val="nil"/>
              <w:right w:val="nil"/>
            </w:tcBorders>
          </w:tcPr>
          <w:p w:rsidR="001822E8" w:rsidRDefault="001822E8" w:rsidP="001822E8">
            <w:pPr>
              <w:spacing w:after="0" w:line="259" w:lineRule="auto"/>
              <w:ind w:left="0" w:firstLine="0"/>
              <w:jc w:val="both"/>
            </w:pPr>
          </w:p>
        </w:tc>
      </w:tr>
    </w:tbl>
    <w:p w:rsidR="006313CD" w:rsidRDefault="006313CD" w:rsidP="002222F8">
      <w:pPr>
        <w:spacing w:after="0" w:line="259" w:lineRule="auto"/>
        <w:ind w:left="0" w:firstLine="0"/>
      </w:pPr>
    </w:p>
    <w:sectPr w:rsidR="006313CD" w:rsidSect="00DD3CB9">
      <w:headerReference w:type="even" r:id="rId7"/>
      <w:headerReference w:type="default" r:id="rId8"/>
      <w:footerReference w:type="even" r:id="rId9"/>
      <w:footerReference w:type="default" r:id="rId10"/>
      <w:headerReference w:type="first" r:id="rId11"/>
      <w:footerReference w:type="first" r:id="rId12"/>
      <w:pgSz w:w="11906" w:h="16838"/>
      <w:pgMar w:top="2542" w:right="2130" w:bottom="1560" w:left="1325" w:header="708" w:footer="71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D1C" w:rsidRDefault="00DA3D1C">
      <w:pPr>
        <w:spacing w:after="0" w:line="240" w:lineRule="auto"/>
      </w:pPr>
      <w:r>
        <w:separator/>
      </w:r>
    </w:p>
  </w:endnote>
  <w:endnote w:type="continuationSeparator" w:id="0">
    <w:p w:rsidR="00DA3D1C" w:rsidRDefault="00DA3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3CD" w:rsidRDefault="00061E94">
    <w:pPr>
      <w:spacing w:after="0" w:line="259" w:lineRule="auto"/>
      <w:ind w:left="94" w:firstLine="0"/>
    </w:pPr>
    <w:r>
      <w:rPr>
        <w:rFonts w:ascii="Times New Roman" w:eastAsia="Times New Roman" w:hAnsi="Times New Roman" w:cs="Times New Roman"/>
        <w:sz w:val="20"/>
      </w:rPr>
      <w:t xml:space="preserve"> </w:t>
    </w:r>
  </w:p>
  <w:p w:rsidR="006313CD" w:rsidRDefault="00061E94">
    <w:pPr>
      <w:tabs>
        <w:tab w:val="center" w:pos="4632"/>
        <w:tab w:val="right" w:pos="9165"/>
      </w:tabs>
      <w:spacing w:after="0" w:line="259" w:lineRule="auto"/>
      <w:ind w:left="0" w:right="-714" w:firstLine="0"/>
    </w:pPr>
    <w:r>
      <w:t xml:space="preserve">Za objednatele: </w:t>
    </w:r>
    <w:r>
      <w:tab/>
      <w:t xml:space="preserve">Dokument:  </w:t>
    </w:r>
    <w:r>
      <w:rPr>
        <w:rFonts w:ascii="Times New Roman" w:eastAsia="Times New Roman" w:hAnsi="Times New Roman" w:cs="Times New Roman"/>
        <w:sz w:val="20"/>
      </w:rPr>
      <w:t>Přechod na rok 2017.docx</w:t>
    </w:r>
    <w:r>
      <w:t xml:space="preserve"> </w:t>
    </w:r>
    <w:r>
      <w:tab/>
      <w:t xml:space="preserve">Za  zhotovitele:    </w:t>
    </w:r>
    <w:r>
      <w:rPr>
        <w:rFonts w:ascii="Times New Roman" w:eastAsia="Times New Roman" w:hAnsi="Times New Roman" w:cs="Times New Roman"/>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3CD" w:rsidRDefault="00061E94">
    <w:pPr>
      <w:spacing w:after="0" w:line="259" w:lineRule="auto"/>
      <w:ind w:left="94" w:firstLine="0"/>
    </w:pPr>
    <w:r>
      <w:rPr>
        <w:rFonts w:ascii="Times New Roman" w:eastAsia="Times New Roman" w:hAnsi="Times New Roman" w:cs="Times New Roman"/>
        <w:sz w:val="20"/>
      </w:rPr>
      <w:t xml:space="preserve"> </w:t>
    </w:r>
  </w:p>
  <w:p w:rsidR="006313CD" w:rsidRDefault="00061E94">
    <w:pPr>
      <w:tabs>
        <w:tab w:val="center" w:pos="4632"/>
        <w:tab w:val="right" w:pos="9165"/>
      </w:tabs>
      <w:spacing w:after="0" w:line="259" w:lineRule="auto"/>
      <w:ind w:left="0" w:right="-714" w:firstLine="0"/>
    </w:pPr>
    <w:r>
      <w:t xml:space="preserve">Za objednatele: </w:t>
    </w:r>
    <w:r>
      <w:tab/>
      <w:t xml:space="preserve">Dokument:  </w:t>
    </w:r>
    <w:r>
      <w:rPr>
        <w:rFonts w:ascii="Times New Roman" w:eastAsia="Times New Roman" w:hAnsi="Times New Roman" w:cs="Times New Roman"/>
        <w:sz w:val="20"/>
      </w:rPr>
      <w:t>Přechod na rok 2017.docx</w:t>
    </w:r>
    <w:r>
      <w:t xml:space="preserve"> </w:t>
    </w:r>
    <w:r>
      <w:tab/>
      <w:t xml:space="preserve">Za  zhotovitele:    </w:t>
    </w:r>
    <w:r>
      <w:rPr>
        <w:rFonts w:ascii="Times New Roman" w:eastAsia="Times New Roman" w:hAnsi="Times New Roman" w:cs="Times New Roman"/>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3CD" w:rsidRDefault="00061E94">
    <w:pPr>
      <w:spacing w:after="0" w:line="259" w:lineRule="auto"/>
      <w:ind w:left="94" w:firstLine="0"/>
    </w:pPr>
    <w:r>
      <w:rPr>
        <w:rFonts w:ascii="Times New Roman" w:eastAsia="Times New Roman" w:hAnsi="Times New Roman" w:cs="Times New Roman"/>
        <w:sz w:val="20"/>
      </w:rPr>
      <w:t xml:space="preserve"> </w:t>
    </w:r>
  </w:p>
  <w:p w:rsidR="006313CD" w:rsidRDefault="00061E94">
    <w:pPr>
      <w:tabs>
        <w:tab w:val="center" w:pos="4632"/>
        <w:tab w:val="right" w:pos="9165"/>
      </w:tabs>
      <w:spacing w:after="0" w:line="259" w:lineRule="auto"/>
      <w:ind w:left="0" w:right="-714" w:firstLine="0"/>
    </w:pPr>
    <w:r>
      <w:t xml:space="preserve">Za objednatele: </w:t>
    </w:r>
    <w:r>
      <w:tab/>
      <w:t xml:space="preserve">Dokument:  </w:t>
    </w:r>
    <w:r>
      <w:rPr>
        <w:rFonts w:ascii="Times New Roman" w:eastAsia="Times New Roman" w:hAnsi="Times New Roman" w:cs="Times New Roman"/>
        <w:sz w:val="20"/>
      </w:rPr>
      <w:t>Přechod na rok 2017.docx</w:t>
    </w:r>
    <w:r>
      <w:t xml:space="preserve"> </w:t>
    </w:r>
    <w:r>
      <w:tab/>
      <w:t xml:space="preserve">Za  zhotovitele:    </w:t>
    </w:r>
    <w:r>
      <w:rPr>
        <w:rFonts w:ascii="Times New Roman" w:eastAsia="Times New Roman" w:hAnsi="Times New Roman" w:cs="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D1C" w:rsidRDefault="00DA3D1C">
      <w:pPr>
        <w:spacing w:after="0" w:line="240" w:lineRule="auto"/>
      </w:pPr>
      <w:r>
        <w:separator/>
      </w:r>
    </w:p>
  </w:footnote>
  <w:footnote w:type="continuationSeparator" w:id="0">
    <w:p w:rsidR="00DA3D1C" w:rsidRDefault="00DA3D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X="1207" w:tblpY="713"/>
      <w:tblOverlap w:val="never"/>
      <w:tblW w:w="9614" w:type="dxa"/>
      <w:tblInd w:w="0" w:type="dxa"/>
      <w:tblCellMar>
        <w:top w:w="46" w:type="dxa"/>
        <w:left w:w="106" w:type="dxa"/>
        <w:bottom w:w="4" w:type="dxa"/>
        <w:right w:w="115" w:type="dxa"/>
      </w:tblCellMar>
      <w:tblLook w:val="04A0"/>
    </w:tblPr>
    <w:tblGrid>
      <w:gridCol w:w="2273"/>
      <w:gridCol w:w="2795"/>
      <w:gridCol w:w="2273"/>
      <w:gridCol w:w="2273"/>
    </w:tblGrid>
    <w:tr w:rsidR="006313CD">
      <w:trPr>
        <w:trHeight w:val="425"/>
      </w:trPr>
      <w:tc>
        <w:tcPr>
          <w:tcW w:w="2273" w:type="dxa"/>
          <w:tcBorders>
            <w:top w:val="single" w:sz="4" w:space="0" w:color="999999"/>
            <w:left w:val="single" w:sz="4" w:space="0" w:color="999999"/>
            <w:bottom w:val="single" w:sz="4" w:space="0" w:color="999999"/>
            <w:right w:val="single" w:sz="4" w:space="0" w:color="999999"/>
          </w:tcBorders>
          <w:vAlign w:val="bottom"/>
        </w:tcPr>
        <w:p w:rsidR="006313CD" w:rsidRDefault="00061E94">
          <w:pPr>
            <w:spacing w:after="0" w:line="259" w:lineRule="auto"/>
            <w:ind w:left="57" w:firstLine="0"/>
            <w:jc w:val="center"/>
          </w:pPr>
          <w:r>
            <w:rPr>
              <w:noProof/>
            </w:rPr>
            <w:drawing>
              <wp:inline distT="0" distB="0" distL="0" distR="0">
                <wp:extent cx="485775" cy="152400"/>
                <wp:effectExtent l="0" t="0" r="0" b="0"/>
                <wp:docPr id="12"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
                        <a:stretch>
                          <a:fillRect/>
                        </a:stretch>
                      </pic:blipFill>
                      <pic:spPr>
                        <a:xfrm>
                          <a:off x="0" y="0"/>
                          <a:ext cx="485775" cy="152400"/>
                        </a:xfrm>
                        <a:prstGeom prst="rect">
                          <a:avLst/>
                        </a:prstGeom>
                      </pic:spPr>
                    </pic:pic>
                  </a:graphicData>
                </a:graphic>
              </wp:inline>
            </w:drawing>
          </w:r>
          <w:r>
            <w:rPr>
              <w:rFonts w:ascii="Times New Roman" w:eastAsia="Times New Roman" w:hAnsi="Times New Roman" w:cs="Times New Roman"/>
              <w:sz w:val="20"/>
            </w:rPr>
            <w:t xml:space="preserve"> </w:t>
          </w:r>
        </w:p>
      </w:tc>
      <w:tc>
        <w:tcPr>
          <w:tcW w:w="2795"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7" w:firstLine="0"/>
            <w:jc w:val="center"/>
          </w:pPr>
          <w:r>
            <w:rPr>
              <w:b/>
              <w:sz w:val="36"/>
            </w:rPr>
            <w:t>Metodika</w:t>
          </w:r>
          <w:r>
            <w:rPr>
              <w:rFonts w:ascii="Times New Roman" w:eastAsia="Times New Roman" w:hAnsi="Times New Roman" w:cs="Times New Roman"/>
              <w:sz w:val="20"/>
            </w:rPr>
            <w:t xml:space="preserve"> </w:t>
          </w:r>
        </w:p>
      </w:tc>
      <w:tc>
        <w:tcPr>
          <w:tcW w:w="4546" w:type="dxa"/>
          <w:gridSpan w:val="2"/>
          <w:tcBorders>
            <w:top w:val="single" w:sz="4" w:space="0" w:color="999999"/>
            <w:left w:val="single" w:sz="4" w:space="0" w:color="999999"/>
            <w:bottom w:val="single" w:sz="4" w:space="0" w:color="999999"/>
            <w:right w:val="single" w:sz="4" w:space="0" w:color="999999"/>
          </w:tcBorders>
          <w:vAlign w:val="center"/>
        </w:tcPr>
        <w:p w:rsidR="006313CD" w:rsidRDefault="00061E94">
          <w:pPr>
            <w:spacing w:after="0" w:line="259" w:lineRule="auto"/>
            <w:ind w:left="55" w:firstLine="0"/>
            <w:jc w:val="center"/>
          </w:pPr>
          <w:r>
            <w:rPr>
              <w:rFonts w:ascii="Times New Roman" w:eastAsia="Times New Roman" w:hAnsi="Times New Roman" w:cs="Times New Roman"/>
              <w:sz w:val="20"/>
            </w:rPr>
            <w:t xml:space="preserve"> </w:t>
          </w:r>
        </w:p>
      </w:tc>
    </w:tr>
    <w:tr w:rsidR="006313CD">
      <w:trPr>
        <w:trHeight w:val="240"/>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Objednatel:</w:t>
          </w:r>
          <w:r>
            <w:rPr>
              <w:rFonts w:ascii="Times New Roman" w:eastAsia="Times New Roman" w:hAnsi="Times New Roman" w:cs="Times New Roman"/>
              <w:sz w:val="20"/>
            </w:rPr>
            <w:t xml:space="preserve"> </w:t>
          </w:r>
        </w:p>
      </w:tc>
      <w:tc>
        <w:tcPr>
          <w:tcW w:w="2795"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0" w:firstLine="0"/>
          </w:pPr>
          <w:r>
            <w:rPr>
              <w:sz w:val="16"/>
            </w:rPr>
            <w:t>Datum:</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6" w:firstLine="0"/>
            <w:jc w:val="center"/>
          </w:pPr>
          <w:r>
            <w:t>5. 12. 2016</w:t>
          </w:r>
          <w:r>
            <w:rPr>
              <w:rFonts w:ascii="Times New Roman" w:eastAsia="Times New Roman" w:hAnsi="Times New Roman" w:cs="Times New Roman"/>
              <w:sz w:val="20"/>
            </w:rPr>
            <w:t xml:space="preserve"> </w:t>
          </w:r>
        </w:p>
      </w:tc>
    </w:tr>
    <w:tr w:rsidR="006313CD">
      <w:trPr>
        <w:trHeight w:val="223"/>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Projekt:</w:t>
          </w:r>
          <w:r>
            <w:rPr>
              <w:rFonts w:ascii="Times New Roman" w:eastAsia="Times New Roman" w:hAnsi="Times New Roman" w:cs="Times New Roman"/>
              <w:sz w:val="20"/>
            </w:rPr>
            <w:t xml:space="preserve"> </w:t>
          </w:r>
        </w:p>
      </w:tc>
      <w:tc>
        <w:tcPr>
          <w:tcW w:w="2795"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t>QI-IS</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0" w:firstLine="0"/>
          </w:pPr>
          <w:r>
            <w:rPr>
              <w:sz w:val="16"/>
            </w:rPr>
            <w:t>Místo:</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4" w:firstLine="0"/>
            <w:jc w:val="center"/>
          </w:pPr>
          <w:r>
            <w:t>Brno</w:t>
          </w:r>
          <w:r>
            <w:rPr>
              <w:rFonts w:ascii="Times New Roman" w:eastAsia="Times New Roman" w:hAnsi="Times New Roman" w:cs="Times New Roman"/>
              <w:sz w:val="20"/>
            </w:rPr>
            <w:t xml:space="preserve"> </w:t>
          </w:r>
        </w:p>
      </w:tc>
    </w:tr>
    <w:tr w:rsidR="006313CD">
      <w:trPr>
        <w:trHeight w:val="240"/>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Předmět jednání:</w:t>
          </w:r>
          <w:r>
            <w:rPr>
              <w:rFonts w:ascii="Times New Roman" w:eastAsia="Times New Roman" w:hAnsi="Times New Roman" w:cs="Times New Roman"/>
              <w:sz w:val="20"/>
            </w:rPr>
            <w:t xml:space="preserve"> </w:t>
          </w:r>
        </w:p>
      </w:tc>
      <w:tc>
        <w:tcPr>
          <w:tcW w:w="2795"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rPr>
              <w:b/>
            </w:rPr>
            <w:t>Přechod na rok 2017</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0" w:firstLine="0"/>
          </w:pPr>
          <w:r>
            <w:rPr>
              <w:sz w:val="16"/>
            </w:rPr>
            <w:t>Strana:</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E7238">
          <w:pPr>
            <w:spacing w:after="0" w:line="259" w:lineRule="auto"/>
            <w:ind w:left="4" w:firstLine="0"/>
            <w:jc w:val="center"/>
          </w:pPr>
          <w:r w:rsidRPr="000E7238">
            <w:fldChar w:fldCharType="begin"/>
          </w:r>
          <w:r w:rsidR="00061E94">
            <w:instrText xml:space="preserve"> PAGE   \* MERGEFORMAT </w:instrText>
          </w:r>
          <w:r w:rsidRPr="000E7238">
            <w:fldChar w:fldCharType="separate"/>
          </w:r>
          <w:r w:rsidR="00061E94">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061E94">
            <w:rPr>
              <w:rFonts w:ascii="Times New Roman" w:eastAsia="Times New Roman" w:hAnsi="Times New Roman" w:cs="Times New Roman"/>
              <w:sz w:val="20"/>
            </w:rPr>
            <w:t>/</w:t>
          </w:r>
          <w:fldSimple w:instr=" NUMPAGES   \* MERGEFORMAT ">
            <w:r w:rsidR="002F6372" w:rsidRPr="002F6372">
              <w:rPr>
                <w:rFonts w:ascii="Times New Roman" w:eastAsia="Times New Roman" w:hAnsi="Times New Roman" w:cs="Times New Roman"/>
                <w:noProof/>
                <w:sz w:val="20"/>
              </w:rPr>
              <w:t>3</w:t>
            </w:r>
          </w:fldSimple>
          <w:r w:rsidR="00061E94">
            <w:rPr>
              <w:rFonts w:ascii="Times New Roman" w:eastAsia="Times New Roman" w:hAnsi="Times New Roman" w:cs="Times New Roman"/>
              <w:sz w:val="20"/>
            </w:rPr>
            <w:t xml:space="preserve"> </w:t>
          </w:r>
        </w:p>
      </w:tc>
    </w:tr>
    <w:tr w:rsidR="006313CD">
      <w:trPr>
        <w:trHeight w:val="240"/>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Za objednatele:</w:t>
          </w:r>
          <w:r>
            <w:rPr>
              <w:rFonts w:ascii="Times New Roman" w:eastAsia="Times New Roman" w:hAnsi="Times New Roman" w:cs="Times New Roman"/>
              <w:sz w:val="20"/>
            </w:rPr>
            <w:t xml:space="preserve"> </w:t>
          </w:r>
        </w:p>
      </w:tc>
      <w:tc>
        <w:tcPr>
          <w:tcW w:w="7341" w:type="dxa"/>
          <w:gridSpan w:val="3"/>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rPr>
              <w:rFonts w:ascii="Times New Roman" w:eastAsia="Times New Roman" w:hAnsi="Times New Roman" w:cs="Times New Roman"/>
              <w:sz w:val="20"/>
            </w:rPr>
            <w:t xml:space="preserve"> </w:t>
          </w:r>
        </w:p>
      </w:tc>
    </w:tr>
    <w:tr w:rsidR="006313CD">
      <w:trPr>
        <w:trHeight w:val="226"/>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Za zhotovitele:</w:t>
          </w:r>
          <w:r>
            <w:rPr>
              <w:rFonts w:ascii="Times New Roman" w:eastAsia="Times New Roman" w:hAnsi="Times New Roman" w:cs="Times New Roman"/>
              <w:sz w:val="20"/>
            </w:rPr>
            <w:t xml:space="preserve"> </w:t>
          </w:r>
        </w:p>
      </w:tc>
      <w:tc>
        <w:tcPr>
          <w:tcW w:w="7341" w:type="dxa"/>
          <w:gridSpan w:val="3"/>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t xml:space="preserve">OR-NEXT </w:t>
          </w:r>
          <w:r>
            <w:rPr>
              <w:rFonts w:ascii="Times New Roman" w:eastAsia="Times New Roman" w:hAnsi="Times New Roman" w:cs="Times New Roman"/>
              <w:sz w:val="20"/>
            </w:rPr>
            <w:t xml:space="preserve"> </w:t>
          </w:r>
        </w:p>
      </w:tc>
    </w:tr>
  </w:tbl>
  <w:p w:rsidR="006313CD" w:rsidRDefault="00061E94">
    <w:pPr>
      <w:spacing w:after="0" w:line="259" w:lineRule="auto"/>
      <w:ind w:left="94" w:firstLine="0"/>
    </w:pPr>
    <w:r>
      <w:rPr>
        <w:rFonts w:ascii="Times New Roman" w:eastAsia="Times New Roman" w:hAnsi="Times New Roman" w:cs="Times New Roman"/>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X="1207" w:tblpY="713"/>
      <w:tblOverlap w:val="never"/>
      <w:tblW w:w="9614" w:type="dxa"/>
      <w:tblInd w:w="0" w:type="dxa"/>
      <w:tblCellMar>
        <w:top w:w="46" w:type="dxa"/>
        <w:left w:w="106" w:type="dxa"/>
        <w:bottom w:w="4" w:type="dxa"/>
        <w:right w:w="115" w:type="dxa"/>
      </w:tblCellMar>
      <w:tblLook w:val="04A0"/>
    </w:tblPr>
    <w:tblGrid>
      <w:gridCol w:w="2273"/>
      <w:gridCol w:w="2795"/>
      <w:gridCol w:w="2273"/>
      <w:gridCol w:w="2273"/>
    </w:tblGrid>
    <w:tr w:rsidR="006313CD">
      <w:trPr>
        <w:trHeight w:val="425"/>
      </w:trPr>
      <w:tc>
        <w:tcPr>
          <w:tcW w:w="2273" w:type="dxa"/>
          <w:tcBorders>
            <w:top w:val="single" w:sz="4" w:space="0" w:color="999999"/>
            <w:left w:val="single" w:sz="4" w:space="0" w:color="999999"/>
            <w:bottom w:val="single" w:sz="4" w:space="0" w:color="999999"/>
            <w:right w:val="single" w:sz="4" w:space="0" w:color="999999"/>
          </w:tcBorders>
          <w:vAlign w:val="bottom"/>
        </w:tcPr>
        <w:p w:rsidR="006313CD" w:rsidRDefault="00061E94">
          <w:pPr>
            <w:spacing w:after="0" w:line="259" w:lineRule="auto"/>
            <w:ind w:left="57" w:firstLine="0"/>
            <w:jc w:val="center"/>
          </w:pPr>
          <w:r>
            <w:rPr>
              <w:noProof/>
            </w:rPr>
            <w:drawing>
              <wp:inline distT="0" distB="0" distL="0" distR="0">
                <wp:extent cx="485775" cy="152400"/>
                <wp:effectExtent l="0" t="0" r="0" b="0"/>
                <wp:docPr id="13"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
                        <a:stretch>
                          <a:fillRect/>
                        </a:stretch>
                      </pic:blipFill>
                      <pic:spPr>
                        <a:xfrm>
                          <a:off x="0" y="0"/>
                          <a:ext cx="485775" cy="152400"/>
                        </a:xfrm>
                        <a:prstGeom prst="rect">
                          <a:avLst/>
                        </a:prstGeom>
                      </pic:spPr>
                    </pic:pic>
                  </a:graphicData>
                </a:graphic>
              </wp:inline>
            </w:drawing>
          </w:r>
          <w:r>
            <w:rPr>
              <w:rFonts w:ascii="Times New Roman" w:eastAsia="Times New Roman" w:hAnsi="Times New Roman" w:cs="Times New Roman"/>
              <w:sz w:val="20"/>
            </w:rPr>
            <w:t xml:space="preserve"> </w:t>
          </w:r>
        </w:p>
      </w:tc>
      <w:tc>
        <w:tcPr>
          <w:tcW w:w="2795"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7" w:firstLine="0"/>
            <w:jc w:val="center"/>
          </w:pPr>
          <w:r>
            <w:rPr>
              <w:b/>
              <w:sz w:val="36"/>
            </w:rPr>
            <w:t>Metodika</w:t>
          </w:r>
          <w:r>
            <w:rPr>
              <w:rFonts w:ascii="Times New Roman" w:eastAsia="Times New Roman" w:hAnsi="Times New Roman" w:cs="Times New Roman"/>
              <w:sz w:val="20"/>
            </w:rPr>
            <w:t xml:space="preserve"> </w:t>
          </w:r>
        </w:p>
      </w:tc>
      <w:tc>
        <w:tcPr>
          <w:tcW w:w="4546" w:type="dxa"/>
          <w:gridSpan w:val="2"/>
          <w:tcBorders>
            <w:top w:val="single" w:sz="4" w:space="0" w:color="999999"/>
            <w:left w:val="single" w:sz="4" w:space="0" w:color="999999"/>
            <w:bottom w:val="single" w:sz="4" w:space="0" w:color="999999"/>
            <w:right w:val="single" w:sz="4" w:space="0" w:color="999999"/>
          </w:tcBorders>
          <w:vAlign w:val="center"/>
        </w:tcPr>
        <w:p w:rsidR="006313CD" w:rsidRDefault="00061E94">
          <w:pPr>
            <w:spacing w:after="0" w:line="259" w:lineRule="auto"/>
            <w:ind w:left="55" w:firstLine="0"/>
            <w:jc w:val="center"/>
          </w:pPr>
          <w:r>
            <w:rPr>
              <w:rFonts w:ascii="Times New Roman" w:eastAsia="Times New Roman" w:hAnsi="Times New Roman" w:cs="Times New Roman"/>
              <w:sz w:val="20"/>
            </w:rPr>
            <w:t xml:space="preserve"> </w:t>
          </w:r>
        </w:p>
      </w:tc>
    </w:tr>
    <w:tr w:rsidR="006313CD">
      <w:trPr>
        <w:trHeight w:val="240"/>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Objednatel:</w:t>
          </w:r>
          <w:r>
            <w:rPr>
              <w:rFonts w:ascii="Times New Roman" w:eastAsia="Times New Roman" w:hAnsi="Times New Roman" w:cs="Times New Roman"/>
              <w:sz w:val="20"/>
            </w:rPr>
            <w:t xml:space="preserve"> </w:t>
          </w:r>
        </w:p>
      </w:tc>
      <w:tc>
        <w:tcPr>
          <w:tcW w:w="2795"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0" w:firstLine="0"/>
          </w:pPr>
          <w:r>
            <w:rPr>
              <w:sz w:val="16"/>
            </w:rPr>
            <w:t>Datum:</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6" w:firstLine="0"/>
            <w:jc w:val="center"/>
          </w:pPr>
          <w:r>
            <w:t>5. 12. 2016</w:t>
          </w:r>
          <w:r>
            <w:rPr>
              <w:rFonts w:ascii="Times New Roman" w:eastAsia="Times New Roman" w:hAnsi="Times New Roman" w:cs="Times New Roman"/>
              <w:sz w:val="20"/>
            </w:rPr>
            <w:t xml:space="preserve"> </w:t>
          </w:r>
        </w:p>
      </w:tc>
    </w:tr>
    <w:tr w:rsidR="006313CD">
      <w:trPr>
        <w:trHeight w:val="223"/>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Projekt:</w:t>
          </w:r>
          <w:r>
            <w:rPr>
              <w:rFonts w:ascii="Times New Roman" w:eastAsia="Times New Roman" w:hAnsi="Times New Roman" w:cs="Times New Roman"/>
              <w:sz w:val="20"/>
            </w:rPr>
            <w:t xml:space="preserve"> </w:t>
          </w:r>
        </w:p>
      </w:tc>
      <w:tc>
        <w:tcPr>
          <w:tcW w:w="2795"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t>QI-IS</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0" w:firstLine="0"/>
          </w:pPr>
          <w:r>
            <w:rPr>
              <w:sz w:val="16"/>
            </w:rPr>
            <w:t>Místo:</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4" w:firstLine="0"/>
            <w:jc w:val="center"/>
          </w:pPr>
          <w:r>
            <w:t>Brno</w:t>
          </w:r>
          <w:r>
            <w:rPr>
              <w:rFonts w:ascii="Times New Roman" w:eastAsia="Times New Roman" w:hAnsi="Times New Roman" w:cs="Times New Roman"/>
              <w:sz w:val="20"/>
            </w:rPr>
            <w:t xml:space="preserve"> </w:t>
          </w:r>
        </w:p>
      </w:tc>
    </w:tr>
    <w:tr w:rsidR="006313CD">
      <w:trPr>
        <w:trHeight w:val="240"/>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Předmět jednání:</w:t>
          </w:r>
          <w:r>
            <w:rPr>
              <w:rFonts w:ascii="Times New Roman" w:eastAsia="Times New Roman" w:hAnsi="Times New Roman" w:cs="Times New Roman"/>
              <w:sz w:val="20"/>
            </w:rPr>
            <w:t xml:space="preserve"> </w:t>
          </w:r>
        </w:p>
      </w:tc>
      <w:tc>
        <w:tcPr>
          <w:tcW w:w="2795"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rPr>
              <w:b/>
            </w:rPr>
            <w:t>Přechod na rok 2017</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0" w:firstLine="0"/>
          </w:pPr>
          <w:r>
            <w:rPr>
              <w:sz w:val="16"/>
            </w:rPr>
            <w:t>Strana:</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E7238">
          <w:pPr>
            <w:spacing w:after="0" w:line="259" w:lineRule="auto"/>
            <w:ind w:left="4" w:firstLine="0"/>
            <w:jc w:val="center"/>
          </w:pPr>
          <w:r w:rsidRPr="000E7238">
            <w:fldChar w:fldCharType="begin"/>
          </w:r>
          <w:r w:rsidR="00061E94">
            <w:instrText xml:space="preserve"> PAGE   \* MERGEFORMAT </w:instrText>
          </w:r>
          <w:r w:rsidRPr="000E7238">
            <w:fldChar w:fldCharType="separate"/>
          </w:r>
          <w:r w:rsidR="002F6372" w:rsidRPr="002F6372">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sidR="00061E94">
            <w:rPr>
              <w:rFonts w:ascii="Times New Roman" w:eastAsia="Times New Roman" w:hAnsi="Times New Roman" w:cs="Times New Roman"/>
              <w:sz w:val="20"/>
            </w:rPr>
            <w:t>/</w:t>
          </w:r>
          <w:fldSimple w:instr=" NUMPAGES   \* MERGEFORMAT ">
            <w:r w:rsidR="002F6372" w:rsidRPr="002F6372">
              <w:rPr>
                <w:rFonts w:ascii="Times New Roman" w:eastAsia="Times New Roman" w:hAnsi="Times New Roman" w:cs="Times New Roman"/>
                <w:noProof/>
                <w:sz w:val="20"/>
              </w:rPr>
              <w:t>3</w:t>
            </w:r>
          </w:fldSimple>
          <w:r w:rsidR="00061E94">
            <w:rPr>
              <w:rFonts w:ascii="Times New Roman" w:eastAsia="Times New Roman" w:hAnsi="Times New Roman" w:cs="Times New Roman"/>
              <w:sz w:val="20"/>
            </w:rPr>
            <w:t xml:space="preserve"> </w:t>
          </w:r>
        </w:p>
      </w:tc>
    </w:tr>
    <w:tr w:rsidR="006313CD">
      <w:trPr>
        <w:trHeight w:val="240"/>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Za objednatele:</w:t>
          </w:r>
          <w:r>
            <w:rPr>
              <w:rFonts w:ascii="Times New Roman" w:eastAsia="Times New Roman" w:hAnsi="Times New Roman" w:cs="Times New Roman"/>
              <w:sz w:val="20"/>
            </w:rPr>
            <w:t xml:space="preserve"> </w:t>
          </w:r>
        </w:p>
      </w:tc>
      <w:tc>
        <w:tcPr>
          <w:tcW w:w="7341" w:type="dxa"/>
          <w:gridSpan w:val="3"/>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rPr>
              <w:rFonts w:ascii="Times New Roman" w:eastAsia="Times New Roman" w:hAnsi="Times New Roman" w:cs="Times New Roman"/>
              <w:sz w:val="20"/>
            </w:rPr>
            <w:t xml:space="preserve"> </w:t>
          </w:r>
        </w:p>
      </w:tc>
    </w:tr>
    <w:tr w:rsidR="006313CD">
      <w:trPr>
        <w:trHeight w:val="226"/>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Za zhotovitele:</w:t>
          </w:r>
          <w:r>
            <w:rPr>
              <w:rFonts w:ascii="Times New Roman" w:eastAsia="Times New Roman" w:hAnsi="Times New Roman" w:cs="Times New Roman"/>
              <w:sz w:val="20"/>
            </w:rPr>
            <w:t xml:space="preserve"> </w:t>
          </w:r>
        </w:p>
      </w:tc>
      <w:tc>
        <w:tcPr>
          <w:tcW w:w="7341" w:type="dxa"/>
          <w:gridSpan w:val="3"/>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t xml:space="preserve">OR-NEXT </w:t>
          </w:r>
          <w:r>
            <w:rPr>
              <w:rFonts w:ascii="Times New Roman" w:eastAsia="Times New Roman" w:hAnsi="Times New Roman" w:cs="Times New Roman"/>
              <w:sz w:val="20"/>
            </w:rPr>
            <w:t xml:space="preserve"> </w:t>
          </w:r>
        </w:p>
      </w:tc>
    </w:tr>
  </w:tbl>
  <w:p w:rsidR="006313CD" w:rsidRDefault="00061E94">
    <w:pPr>
      <w:spacing w:after="0" w:line="259" w:lineRule="auto"/>
      <w:ind w:left="94" w:firstLine="0"/>
    </w:pPr>
    <w:r>
      <w:rPr>
        <w:rFonts w:ascii="Times New Roman" w:eastAsia="Times New Roman" w:hAnsi="Times New Roman" w:cs="Times New Roman"/>
        <w:sz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X="1207" w:tblpY="713"/>
      <w:tblOverlap w:val="never"/>
      <w:tblW w:w="9614" w:type="dxa"/>
      <w:tblInd w:w="0" w:type="dxa"/>
      <w:tblCellMar>
        <w:top w:w="46" w:type="dxa"/>
        <w:left w:w="106" w:type="dxa"/>
        <w:bottom w:w="4" w:type="dxa"/>
        <w:right w:w="115" w:type="dxa"/>
      </w:tblCellMar>
      <w:tblLook w:val="04A0"/>
    </w:tblPr>
    <w:tblGrid>
      <w:gridCol w:w="2273"/>
      <w:gridCol w:w="2795"/>
      <w:gridCol w:w="2273"/>
      <w:gridCol w:w="2273"/>
    </w:tblGrid>
    <w:tr w:rsidR="006313CD">
      <w:trPr>
        <w:trHeight w:val="425"/>
      </w:trPr>
      <w:tc>
        <w:tcPr>
          <w:tcW w:w="2273" w:type="dxa"/>
          <w:tcBorders>
            <w:top w:val="single" w:sz="4" w:space="0" w:color="999999"/>
            <w:left w:val="single" w:sz="4" w:space="0" w:color="999999"/>
            <w:bottom w:val="single" w:sz="4" w:space="0" w:color="999999"/>
            <w:right w:val="single" w:sz="4" w:space="0" w:color="999999"/>
          </w:tcBorders>
          <w:vAlign w:val="bottom"/>
        </w:tcPr>
        <w:p w:rsidR="006313CD" w:rsidRDefault="00061E94">
          <w:pPr>
            <w:spacing w:after="0" w:line="259" w:lineRule="auto"/>
            <w:ind w:left="57" w:firstLine="0"/>
            <w:jc w:val="center"/>
          </w:pPr>
          <w:r>
            <w:rPr>
              <w:noProof/>
            </w:rPr>
            <w:drawing>
              <wp:inline distT="0" distB="0" distL="0" distR="0">
                <wp:extent cx="485775" cy="152400"/>
                <wp:effectExtent l="0" t="0" r="0" b="0"/>
                <wp:docPr id="14"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
                        <a:stretch>
                          <a:fillRect/>
                        </a:stretch>
                      </pic:blipFill>
                      <pic:spPr>
                        <a:xfrm>
                          <a:off x="0" y="0"/>
                          <a:ext cx="485775" cy="152400"/>
                        </a:xfrm>
                        <a:prstGeom prst="rect">
                          <a:avLst/>
                        </a:prstGeom>
                      </pic:spPr>
                    </pic:pic>
                  </a:graphicData>
                </a:graphic>
              </wp:inline>
            </w:drawing>
          </w:r>
          <w:r>
            <w:rPr>
              <w:rFonts w:ascii="Times New Roman" w:eastAsia="Times New Roman" w:hAnsi="Times New Roman" w:cs="Times New Roman"/>
              <w:sz w:val="20"/>
            </w:rPr>
            <w:t xml:space="preserve"> </w:t>
          </w:r>
        </w:p>
      </w:tc>
      <w:tc>
        <w:tcPr>
          <w:tcW w:w="2795"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7" w:firstLine="0"/>
            <w:jc w:val="center"/>
          </w:pPr>
          <w:r>
            <w:rPr>
              <w:b/>
              <w:sz w:val="36"/>
            </w:rPr>
            <w:t>Metodika</w:t>
          </w:r>
          <w:r>
            <w:rPr>
              <w:rFonts w:ascii="Times New Roman" w:eastAsia="Times New Roman" w:hAnsi="Times New Roman" w:cs="Times New Roman"/>
              <w:sz w:val="20"/>
            </w:rPr>
            <w:t xml:space="preserve"> </w:t>
          </w:r>
        </w:p>
      </w:tc>
      <w:tc>
        <w:tcPr>
          <w:tcW w:w="4546" w:type="dxa"/>
          <w:gridSpan w:val="2"/>
          <w:tcBorders>
            <w:top w:val="single" w:sz="4" w:space="0" w:color="999999"/>
            <w:left w:val="single" w:sz="4" w:space="0" w:color="999999"/>
            <w:bottom w:val="single" w:sz="4" w:space="0" w:color="999999"/>
            <w:right w:val="single" w:sz="4" w:space="0" w:color="999999"/>
          </w:tcBorders>
          <w:vAlign w:val="center"/>
        </w:tcPr>
        <w:p w:rsidR="006313CD" w:rsidRDefault="00061E94">
          <w:pPr>
            <w:spacing w:after="0" w:line="259" w:lineRule="auto"/>
            <w:ind w:left="55" w:firstLine="0"/>
            <w:jc w:val="center"/>
          </w:pPr>
          <w:r>
            <w:rPr>
              <w:rFonts w:ascii="Times New Roman" w:eastAsia="Times New Roman" w:hAnsi="Times New Roman" w:cs="Times New Roman"/>
              <w:sz w:val="20"/>
            </w:rPr>
            <w:t xml:space="preserve"> </w:t>
          </w:r>
        </w:p>
      </w:tc>
    </w:tr>
    <w:tr w:rsidR="006313CD">
      <w:trPr>
        <w:trHeight w:val="240"/>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Objednatel:</w:t>
          </w:r>
          <w:r>
            <w:rPr>
              <w:rFonts w:ascii="Times New Roman" w:eastAsia="Times New Roman" w:hAnsi="Times New Roman" w:cs="Times New Roman"/>
              <w:sz w:val="20"/>
            </w:rPr>
            <w:t xml:space="preserve"> </w:t>
          </w:r>
        </w:p>
      </w:tc>
      <w:tc>
        <w:tcPr>
          <w:tcW w:w="2795"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0" w:firstLine="0"/>
          </w:pPr>
          <w:r>
            <w:rPr>
              <w:sz w:val="16"/>
            </w:rPr>
            <w:t>Datum:</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6" w:firstLine="0"/>
            <w:jc w:val="center"/>
          </w:pPr>
          <w:r>
            <w:t>5. 12. 2016</w:t>
          </w:r>
          <w:r>
            <w:rPr>
              <w:rFonts w:ascii="Times New Roman" w:eastAsia="Times New Roman" w:hAnsi="Times New Roman" w:cs="Times New Roman"/>
              <w:sz w:val="20"/>
            </w:rPr>
            <w:t xml:space="preserve"> </w:t>
          </w:r>
        </w:p>
      </w:tc>
    </w:tr>
    <w:tr w:rsidR="006313CD">
      <w:trPr>
        <w:trHeight w:val="223"/>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Projekt:</w:t>
          </w:r>
          <w:r>
            <w:rPr>
              <w:rFonts w:ascii="Times New Roman" w:eastAsia="Times New Roman" w:hAnsi="Times New Roman" w:cs="Times New Roman"/>
              <w:sz w:val="20"/>
            </w:rPr>
            <w:t xml:space="preserve"> </w:t>
          </w:r>
        </w:p>
      </w:tc>
      <w:tc>
        <w:tcPr>
          <w:tcW w:w="2795"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t>QI-IS</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0" w:firstLine="0"/>
          </w:pPr>
          <w:r>
            <w:rPr>
              <w:sz w:val="16"/>
            </w:rPr>
            <w:t>Místo:</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4" w:firstLine="0"/>
            <w:jc w:val="center"/>
          </w:pPr>
          <w:r>
            <w:t>Brno</w:t>
          </w:r>
          <w:r>
            <w:rPr>
              <w:rFonts w:ascii="Times New Roman" w:eastAsia="Times New Roman" w:hAnsi="Times New Roman" w:cs="Times New Roman"/>
              <w:sz w:val="20"/>
            </w:rPr>
            <w:t xml:space="preserve"> </w:t>
          </w:r>
        </w:p>
      </w:tc>
    </w:tr>
    <w:tr w:rsidR="006313CD">
      <w:trPr>
        <w:trHeight w:val="240"/>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Předmět jednání:</w:t>
          </w:r>
          <w:r>
            <w:rPr>
              <w:rFonts w:ascii="Times New Roman" w:eastAsia="Times New Roman" w:hAnsi="Times New Roman" w:cs="Times New Roman"/>
              <w:sz w:val="20"/>
            </w:rPr>
            <w:t xml:space="preserve"> </w:t>
          </w:r>
        </w:p>
      </w:tc>
      <w:tc>
        <w:tcPr>
          <w:tcW w:w="2795"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rPr>
              <w:b/>
            </w:rPr>
            <w:t>Přechod na rok 2017</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0" w:firstLine="0"/>
          </w:pPr>
          <w:r>
            <w:rPr>
              <w:sz w:val="16"/>
            </w:rPr>
            <w:t>Strana:</w:t>
          </w:r>
          <w:r>
            <w:rPr>
              <w:rFonts w:ascii="Times New Roman" w:eastAsia="Times New Roman" w:hAnsi="Times New Roman" w:cs="Times New Roman"/>
              <w:sz w:val="20"/>
            </w:rPr>
            <w:t xml:space="preserve"> </w:t>
          </w:r>
        </w:p>
      </w:tc>
      <w:tc>
        <w:tcPr>
          <w:tcW w:w="2273" w:type="dxa"/>
          <w:tcBorders>
            <w:top w:val="single" w:sz="4" w:space="0" w:color="999999"/>
            <w:left w:val="single" w:sz="4" w:space="0" w:color="999999"/>
            <w:bottom w:val="single" w:sz="4" w:space="0" w:color="999999"/>
            <w:right w:val="single" w:sz="4" w:space="0" w:color="999999"/>
          </w:tcBorders>
        </w:tcPr>
        <w:p w:rsidR="006313CD" w:rsidRDefault="000E7238">
          <w:pPr>
            <w:spacing w:after="0" w:line="259" w:lineRule="auto"/>
            <w:ind w:left="4" w:firstLine="0"/>
            <w:jc w:val="center"/>
          </w:pPr>
          <w:r w:rsidRPr="000E7238">
            <w:fldChar w:fldCharType="begin"/>
          </w:r>
          <w:r w:rsidR="00061E94">
            <w:instrText xml:space="preserve"> PAGE   \* MERGEFORMAT </w:instrText>
          </w:r>
          <w:r w:rsidRPr="000E7238">
            <w:fldChar w:fldCharType="separate"/>
          </w:r>
          <w:r w:rsidR="00061E94">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061E94">
            <w:rPr>
              <w:rFonts w:ascii="Times New Roman" w:eastAsia="Times New Roman" w:hAnsi="Times New Roman" w:cs="Times New Roman"/>
              <w:sz w:val="20"/>
            </w:rPr>
            <w:t>/</w:t>
          </w:r>
          <w:fldSimple w:instr=" NUMPAGES   \* MERGEFORMAT ">
            <w:r w:rsidR="002F6372" w:rsidRPr="002F6372">
              <w:rPr>
                <w:rFonts w:ascii="Times New Roman" w:eastAsia="Times New Roman" w:hAnsi="Times New Roman" w:cs="Times New Roman"/>
                <w:noProof/>
                <w:sz w:val="20"/>
              </w:rPr>
              <w:t>3</w:t>
            </w:r>
          </w:fldSimple>
          <w:r w:rsidR="00061E94">
            <w:rPr>
              <w:rFonts w:ascii="Times New Roman" w:eastAsia="Times New Roman" w:hAnsi="Times New Roman" w:cs="Times New Roman"/>
              <w:sz w:val="20"/>
            </w:rPr>
            <w:t xml:space="preserve"> </w:t>
          </w:r>
        </w:p>
      </w:tc>
    </w:tr>
    <w:tr w:rsidR="006313CD">
      <w:trPr>
        <w:trHeight w:val="240"/>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Za objednatele:</w:t>
          </w:r>
          <w:r>
            <w:rPr>
              <w:rFonts w:ascii="Times New Roman" w:eastAsia="Times New Roman" w:hAnsi="Times New Roman" w:cs="Times New Roman"/>
              <w:sz w:val="20"/>
            </w:rPr>
            <w:t xml:space="preserve"> </w:t>
          </w:r>
        </w:p>
      </w:tc>
      <w:tc>
        <w:tcPr>
          <w:tcW w:w="7341" w:type="dxa"/>
          <w:gridSpan w:val="3"/>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rPr>
              <w:rFonts w:ascii="Times New Roman" w:eastAsia="Times New Roman" w:hAnsi="Times New Roman" w:cs="Times New Roman"/>
              <w:sz w:val="20"/>
            </w:rPr>
            <w:t xml:space="preserve"> </w:t>
          </w:r>
        </w:p>
      </w:tc>
    </w:tr>
    <w:tr w:rsidR="006313CD">
      <w:trPr>
        <w:trHeight w:val="226"/>
      </w:trPr>
      <w:tc>
        <w:tcPr>
          <w:tcW w:w="2273" w:type="dxa"/>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3" w:firstLine="0"/>
          </w:pPr>
          <w:r>
            <w:rPr>
              <w:sz w:val="16"/>
            </w:rPr>
            <w:t>Za zhotovitele:</w:t>
          </w:r>
          <w:r>
            <w:rPr>
              <w:rFonts w:ascii="Times New Roman" w:eastAsia="Times New Roman" w:hAnsi="Times New Roman" w:cs="Times New Roman"/>
              <w:sz w:val="20"/>
            </w:rPr>
            <w:t xml:space="preserve"> </w:t>
          </w:r>
        </w:p>
      </w:tc>
      <w:tc>
        <w:tcPr>
          <w:tcW w:w="7341" w:type="dxa"/>
          <w:gridSpan w:val="3"/>
          <w:tcBorders>
            <w:top w:val="single" w:sz="4" w:space="0" w:color="999999"/>
            <w:left w:val="single" w:sz="4" w:space="0" w:color="999999"/>
            <w:bottom w:val="single" w:sz="4" w:space="0" w:color="999999"/>
            <w:right w:val="single" w:sz="4" w:space="0" w:color="999999"/>
          </w:tcBorders>
        </w:tcPr>
        <w:p w:rsidR="006313CD" w:rsidRDefault="00061E94">
          <w:pPr>
            <w:spacing w:after="0" w:line="259" w:lineRule="auto"/>
            <w:ind w:left="2" w:firstLine="0"/>
          </w:pPr>
          <w:r>
            <w:t xml:space="preserve">OR-NEXT </w:t>
          </w:r>
          <w:r>
            <w:rPr>
              <w:rFonts w:ascii="Times New Roman" w:eastAsia="Times New Roman" w:hAnsi="Times New Roman" w:cs="Times New Roman"/>
              <w:sz w:val="20"/>
            </w:rPr>
            <w:t xml:space="preserve"> </w:t>
          </w:r>
        </w:p>
      </w:tc>
    </w:tr>
  </w:tbl>
  <w:p w:rsidR="006313CD" w:rsidRDefault="00061E94">
    <w:pPr>
      <w:spacing w:after="0" w:line="259" w:lineRule="auto"/>
      <w:ind w:left="94" w:firstLine="0"/>
    </w:pPr>
    <w:r>
      <w:rPr>
        <w:rFonts w:ascii="Times New Roman" w:eastAsia="Times New Roman" w:hAnsi="Times New Roman" w:cs="Times New Roman"/>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C30"/>
    <w:multiLevelType w:val="hybridMultilevel"/>
    <w:tmpl w:val="48B2682E"/>
    <w:lvl w:ilvl="0" w:tplc="1E924388">
      <w:start w:val="1"/>
      <w:numFmt w:val="decimal"/>
      <w:lvlText w:val="%1."/>
      <w:lvlJc w:val="left"/>
      <w:pPr>
        <w:ind w:left="72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0C849AE0">
      <w:start w:val="1"/>
      <w:numFmt w:val="lowerLetter"/>
      <w:lvlText w:val="%2"/>
      <w:lvlJc w:val="left"/>
      <w:pPr>
        <w:ind w:left="144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B3003F8">
      <w:start w:val="1"/>
      <w:numFmt w:val="lowerRoman"/>
      <w:lvlText w:val="%3"/>
      <w:lvlJc w:val="left"/>
      <w:pPr>
        <w:ind w:left="21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B4EAEB0E">
      <w:start w:val="1"/>
      <w:numFmt w:val="decimal"/>
      <w:lvlText w:val="%4"/>
      <w:lvlJc w:val="left"/>
      <w:pPr>
        <w:ind w:left="28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12CA1BF6">
      <w:start w:val="1"/>
      <w:numFmt w:val="lowerLetter"/>
      <w:lvlText w:val="%5"/>
      <w:lvlJc w:val="left"/>
      <w:pPr>
        <w:ind w:left="360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FC96A324">
      <w:start w:val="1"/>
      <w:numFmt w:val="lowerRoman"/>
      <w:lvlText w:val="%6"/>
      <w:lvlJc w:val="left"/>
      <w:pPr>
        <w:ind w:left="432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196C94E0">
      <w:start w:val="1"/>
      <w:numFmt w:val="decimal"/>
      <w:lvlText w:val="%7"/>
      <w:lvlJc w:val="left"/>
      <w:pPr>
        <w:ind w:left="504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D1A09FEC">
      <w:start w:val="1"/>
      <w:numFmt w:val="lowerLetter"/>
      <w:lvlText w:val="%8"/>
      <w:lvlJc w:val="left"/>
      <w:pPr>
        <w:ind w:left="57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A08A6FF4">
      <w:start w:val="1"/>
      <w:numFmt w:val="lowerRoman"/>
      <w:lvlText w:val="%9"/>
      <w:lvlJc w:val="left"/>
      <w:pPr>
        <w:ind w:left="64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1">
    <w:nsid w:val="0B7A030B"/>
    <w:multiLevelType w:val="hybridMultilevel"/>
    <w:tmpl w:val="C6425F7C"/>
    <w:lvl w:ilvl="0" w:tplc="911C4FA2">
      <w:start w:val="1"/>
      <w:numFmt w:val="bullet"/>
      <w:lvlText w:val="-"/>
      <w:lvlJc w:val="left"/>
      <w:pPr>
        <w:ind w:left="70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800EF59C">
      <w:start w:val="1"/>
      <w:numFmt w:val="bullet"/>
      <w:lvlText w:val="o"/>
      <w:lvlJc w:val="left"/>
      <w:pPr>
        <w:ind w:left="142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ED92BF0A">
      <w:start w:val="1"/>
      <w:numFmt w:val="bullet"/>
      <w:lvlText w:val="▪"/>
      <w:lvlJc w:val="left"/>
      <w:pPr>
        <w:ind w:left="214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7A02FAC4">
      <w:start w:val="1"/>
      <w:numFmt w:val="bullet"/>
      <w:lvlText w:val="•"/>
      <w:lvlJc w:val="left"/>
      <w:pPr>
        <w:ind w:left="286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BEE293C0">
      <w:start w:val="1"/>
      <w:numFmt w:val="bullet"/>
      <w:lvlText w:val="o"/>
      <w:lvlJc w:val="left"/>
      <w:pPr>
        <w:ind w:left="358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AD5E6A66">
      <w:start w:val="1"/>
      <w:numFmt w:val="bullet"/>
      <w:lvlText w:val="▪"/>
      <w:lvlJc w:val="left"/>
      <w:pPr>
        <w:ind w:left="430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5888BE82">
      <w:start w:val="1"/>
      <w:numFmt w:val="bullet"/>
      <w:lvlText w:val="•"/>
      <w:lvlJc w:val="left"/>
      <w:pPr>
        <w:ind w:left="502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22A478E8">
      <w:start w:val="1"/>
      <w:numFmt w:val="bullet"/>
      <w:lvlText w:val="o"/>
      <w:lvlJc w:val="left"/>
      <w:pPr>
        <w:ind w:left="574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BC7EB316">
      <w:start w:val="1"/>
      <w:numFmt w:val="bullet"/>
      <w:lvlText w:val="▪"/>
      <w:lvlJc w:val="left"/>
      <w:pPr>
        <w:ind w:left="646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
    <w:nsid w:val="10AA6EB3"/>
    <w:multiLevelType w:val="hybridMultilevel"/>
    <w:tmpl w:val="92D0CAA4"/>
    <w:lvl w:ilvl="0" w:tplc="AB02F79C">
      <w:start w:val="1"/>
      <w:numFmt w:val="lowerLetter"/>
      <w:lvlText w:val="%1."/>
      <w:lvlJc w:val="left"/>
      <w:pPr>
        <w:ind w:left="636"/>
      </w:pPr>
      <w:rPr>
        <w:rFonts w:ascii="Arial" w:eastAsia="Times New Roman" w:hAnsi="Arial" w:cs="Arial" w:hint="default"/>
        <w:b w:val="0"/>
        <w:i w:val="0"/>
        <w:strike w:val="0"/>
        <w:dstrike w:val="0"/>
        <w:color w:val="00000A"/>
        <w:sz w:val="20"/>
        <w:szCs w:val="20"/>
        <w:u w:val="none" w:color="000000"/>
        <w:bdr w:val="none" w:sz="0" w:space="0" w:color="auto"/>
        <w:shd w:val="clear" w:color="auto" w:fill="auto"/>
        <w:vertAlign w:val="baseline"/>
      </w:rPr>
    </w:lvl>
    <w:lvl w:ilvl="1" w:tplc="084CAED8">
      <w:start w:val="1"/>
      <w:numFmt w:val="lowerLetter"/>
      <w:lvlText w:val="%2"/>
      <w:lvlJc w:val="left"/>
      <w:pPr>
        <w:ind w:left="336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18FE4CE8">
      <w:start w:val="1"/>
      <w:numFmt w:val="lowerRoman"/>
      <w:lvlText w:val="%3"/>
      <w:lvlJc w:val="left"/>
      <w:pPr>
        <w:ind w:left="408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F0EA06AC">
      <w:start w:val="1"/>
      <w:numFmt w:val="decimal"/>
      <w:lvlText w:val="%4"/>
      <w:lvlJc w:val="left"/>
      <w:pPr>
        <w:ind w:left="480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37FA01D4">
      <w:start w:val="1"/>
      <w:numFmt w:val="lowerLetter"/>
      <w:lvlText w:val="%5"/>
      <w:lvlJc w:val="left"/>
      <w:pPr>
        <w:ind w:left="552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7D466168">
      <w:start w:val="1"/>
      <w:numFmt w:val="lowerRoman"/>
      <w:lvlText w:val="%6"/>
      <w:lvlJc w:val="left"/>
      <w:pPr>
        <w:ind w:left="624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673841BA">
      <w:start w:val="1"/>
      <w:numFmt w:val="decimal"/>
      <w:lvlText w:val="%7"/>
      <w:lvlJc w:val="left"/>
      <w:pPr>
        <w:ind w:left="696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D820FF3C">
      <w:start w:val="1"/>
      <w:numFmt w:val="lowerLetter"/>
      <w:lvlText w:val="%8"/>
      <w:lvlJc w:val="left"/>
      <w:pPr>
        <w:ind w:left="768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4ECC61DE">
      <w:start w:val="1"/>
      <w:numFmt w:val="lowerRoman"/>
      <w:lvlText w:val="%9"/>
      <w:lvlJc w:val="left"/>
      <w:pPr>
        <w:ind w:left="8405"/>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313CD"/>
    <w:rsid w:val="00061E94"/>
    <w:rsid w:val="000E7238"/>
    <w:rsid w:val="00133131"/>
    <w:rsid w:val="001822E8"/>
    <w:rsid w:val="002222F8"/>
    <w:rsid w:val="002D3D7D"/>
    <w:rsid w:val="002F6372"/>
    <w:rsid w:val="0031634A"/>
    <w:rsid w:val="00436B65"/>
    <w:rsid w:val="0046174A"/>
    <w:rsid w:val="005602AB"/>
    <w:rsid w:val="006313CD"/>
    <w:rsid w:val="0066280F"/>
    <w:rsid w:val="008433AE"/>
    <w:rsid w:val="008D3A9B"/>
    <w:rsid w:val="00A40827"/>
    <w:rsid w:val="00B90666"/>
    <w:rsid w:val="00C021F1"/>
    <w:rsid w:val="00D87215"/>
    <w:rsid w:val="00DA3D1C"/>
    <w:rsid w:val="00DD3C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7238"/>
    <w:pPr>
      <w:spacing w:after="3" w:line="268" w:lineRule="auto"/>
      <w:ind w:left="10" w:hanging="10"/>
    </w:pPr>
    <w:rPr>
      <w:rFonts w:ascii="Arial" w:eastAsia="Arial" w:hAnsi="Arial" w:cs="Arial"/>
      <w:color w:val="00000A"/>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0E7238"/>
    <w:pPr>
      <w:spacing w:after="0" w:line="240" w:lineRule="auto"/>
    </w:pPr>
    <w:tblPr>
      <w:tblCellMar>
        <w:top w:w="0" w:type="dxa"/>
        <w:left w:w="0" w:type="dxa"/>
        <w:bottom w:w="0" w:type="dxa"/>
        <w:right w:w="0" w:type="dxa"/>
      </w:tblCellMar>
    </w:tblPr>
  </w:style>
  <w:style w:type="table" w:styleId="Mkatabulky">
    <w:name w:val="Table Grid"/>
    <w:basedOn w:val="Normlntabulka"/>
    <w:uiPriority w:val="39"/>
    <w:rsid w:val="00222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F63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6372"/>
    <w:rPr>
      <w:rFonts w:ascii="Tahoma" w:eastAsia="Arial"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6018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ing.karel.mares@gmail.com</dc:creator>
  <cp:lastModifiedBy>01372</cp:lastModifiedBy>
  <cp:revision>2</cp:revision>
  <cp:lastPrinted>2016-12-15T09:25:00Z</cp:lastPrinted>
  <dcterms:created xsi:type="dcterms:W3CDTF">2016-12-15T09:27:00Z</dcterms:created>
  <dcterms:modified xsi:type="dcterms:W3CDTF">2016-12-15T09:27:00Z</dcterms:modified>
</cp:coreProperties>
</file>