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6" w:rsidRPr="007B5AD7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44A90"/>
          <w:sz w:val="24"/>
          <w:szCs w:val="20"/>
        </w:rPr>
      </w:pPr>
      <w:r w:rsidRPr="007B5AD7">
        <w:rPr>
          <w:rFonts w:ascii="Arial" w:hAnsi="Arial" w:cs="Arial"/>
          <w:bCs w:val="0"/>
          <w:color w:val="244A90"/>
          <w:sz w:val="24"/>
          <w:szCs w:val="20"/>
        </w:rPr>
        <w:t>Úsek ředitele</w:t>
      </w:r>
    </w:p>
    <w:p w:rsidR="00383EE6" w:rsidRPr="007B5AD7" w:rsidRDefault="00383EE6" w:rsidP="007B5AD7">
      <w:pPr>
        <w:pStyle w:val="Nadpis4"/>
        <w:spacing w:after="240"/>
        <w:ind w:right="488"/>
        <w:jc w:val="center"/>
        <w:rPr>
          <w:rFonts w:ascii="Arial" w:hAnsi="Arial" w:cs="Arial"/>
          <w:bCs w:val="0"/>
          <w:color w:val="244A90"/>
          <w:sz w:val="32"/>
          <w:szCs w:val="32"/>
        </w:rPr>
      </w:pPr>
      <w:r w:rsidRPr="007B5AD7">
        <w:rPr>
          <w:rFonts w:ascii="Arial" w:hAnsi="Arial" w:cs="Arial"/>
          <w:bCs w:val="0"/>
          <w:color w:val="244A90"/>
          <w:sz w:val="32"/>
          <w:szCs w:val="32"/>
        </w:rPr>
        <w:t xml:space="preserve">Příkaz ředitele č. </w:t>
      </w:r>
      <w:r w:rsidR="007765C2" w:rsidRPr="007B5AD7">
        <w:rPr>
          <w:rFonts w:ascii="Arial" w:hAnsi="Arial" w:cs="Arial"/>
          <w:bCs w:val="0"/>
          <w:color w:val="244A90"/>
          <w:sz w:val="32"/>
          <w:szCs w:val="32"/>
        </w:rPr>
        <w:t>5</w:t>
      </w:r>
      <w:r w:rsidR="00A27F6C" w:rsidRPr="007B5AD7">
        <w:rPr>
          <w:rFonts w:ascii="Arial" w:hAnsi="Arial" w:cs="Arial"/>
          <w:bCs w:val="0"/>
          <w:color w:val="244A90"/>
          <w:sz w:val="32"/>
          <w:szCs w:val="32"/>
        </w:rPr>
        <w:t>/201</w:t>
      </w:r>
      <w:r w:rsidR="007765C2" w:rsidRPr="007B5AD7">
        <w:rPr>
          <w:rFonts w:ascii="Arial" w:hAnsi="Arial" w:cs="Arial"/>
          <w:bCs w:val="0"/>
          <w:color w:val="244A90"/>
          <w:sz w:val="32"/>
          <w:szCs w:val="32"/>
        </w:rPr>
        <w:t>7</w:t>
      </w: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843"/>
        <w:gridCol w:w="3119"/>
        <w:gridCol w:w="4252"/>
      </w:tblGrid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7B5AD7" w:rsidRDefault="00383EE6" w:rsidP="007765C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44A90"/>
                <w:sz w:val="28"/>
                <w:szCs w:val="28"/>
              </w:rPr>
            </w:pPr>
            <w:r w:rsidRPr="007B5AD7">
              <w:rPr>
                <w:rFonts w:ascii="Arial" w:hAnsi="Arial" w:cs="Arial"/>
                <w:b/>
                <w:color w:val="244A90"/>
                <w:sz w:val="28"/>
                <w:szCs w:val="28"/>
              </w:rPr>
              <w:t>Předběžná účetní závěrka k 3</w:t>
            </w:r>
            <w:r w:rsidR="007765C2" w:rsidRPr="007B5AD7">
              <w:rPr>
                <w:rFonts w:ascii="Arial" w:hAnsi="Arial" w:cs="Arial"/>
                <w:b/>
                <w:color w:val="244A90"/>
                <w:sz w:val="28"/>
                <w:szCs w:val="28"/>
              </w:rPr>
              <w:t>1</w:t>
            </w:r>
            <w:r w:rsidRPr="007B5AD7">
              <w:rPr>
                <w:rFonts w:ascii="Arial" w:hAnsi="Arial" w:cs="Arial"/>
                <w:b/>
                <w:color w:val="244A90"/>
                <w:sz w:val="28"/>
                <w:szCs w:val="28"/>
              </w:rPr>
              <w:t xml:space="preserve">. </w:t>
            </w:r>
            <w:r w:rsidR="007765C2" w:rsidRPr="007B5AD7">
              <w:rPr>
                <w:rFonts w:ascii="Arial" w:hAnsi="Arial" w:cs="Arial"/>
                <w:b/>
                <w:color w:val="244A90"/>
                <w:sz w:val="28"/>
                <w:szCs w:val="28"/>
              </w:rPr>
              <w:t>3</w:t>
            </w:r>
            <w:r w:rsidRPr="007B5AD7">
              <w:rPr>
                <w:rFonts w:ascii="Arial" w:hAnsi="Arial" w:cs="Arial"/>
                <w:b/>
                <w:color w:val="244A90"/>
                <w:sz w:val="28"/>
                <w:szCs w:val="28"/>
              </w:rPr>
              <w:t>. 201</w:t>
            </w:r>
            <w:r w:rsidR="007765C2" w:rsidRPr="007B5AD7">
              <w:rPr>
                <w:rFonts w:ascii="Arial" w:hAnsi="Arial" w:cs="Arial"/>
                <w:b/>
                <w:color w:val="244A90"/>
                <w:sz w:val="28"/>
                <w:szCs w:val="28"/>
              </w:rPr>
              <w:t>7</w:t>
            </w:r>
            <w:r w:rsidRPr="007B5AD7">
              <w:rPr>
                <w:rFonts w:ascii="Arial" w:hAnsi="Arial" w:cs="Arial"/>
                <w:b/>
                <w:color w:val="244A90"/>
                <w:sz w:val="28"/>
                <w:szCs w:val="28"/>
              </w:rPr>
              <w:t xml:space="preserve"> </w:t>
            </w:r>
          </w:p>
        </w:tc>
      </w:tr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7B5AD7" w:rsidRDefault="00383EE6" w:rsidP="00D770FB">
            <w:pPr>
              <w:rPr>
                <w:color w:val="244A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7B5AD7" w:rsidRDefault="00383EE6" w:rsidP="00D770FB">
            <w:pPr>
              <w:jc w:val="center"/>
              <w:rPr>
                <w:color w:val="244A90"/>
                <w:sz w:val="22"/>
              </w:rPr>
            </w:pPr>
          </w:p>
        </w:tc>
      </w:tr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383EE6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 xml:space="preserve">Všem </w:t>
            </w:r>
            <w:r w:rsidR="00B26FA9" w:rsidRPr="007B5AD7">
              <w:rPr>
                <w:rFonts w:ascii="Arial" w:hAnsi="Arial" w:cs="Arial"/>
                <w:color w:val="244A90"/>
              </w:rPr>
              <w:t xml:space="preserve">vedoucím </w:t>
            </w:r>
            <w:r w:rsidRPr="007B5AD7">
              <w:rPr>
                <w:rFonts w:ascii="Arial" w:hAnsi="Arial" w:cs="Arial"/>
                <w:color w:val="244A90"/>
              </w:rPr>
              <w:t>zaměstnancům FNOL</w:t>
            </w:r>
          </w:p>
        </w:tc>
      </w:tr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Vydavatel</w:t>
            </w:r>
          </w:p>
        </w:tc>
      </w:tr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FNOL</w:t>
            </w:r>
          </w:p>
        </w:tc>
      </w:tr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ředitel</w:t>
            </w:r>
          </w:p>
        </w:tc>
      </w:tr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Aleš Kotásek, DiS.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doc. MUDr. Roman Havlík, Ph.D.</w:t>
            </w:r>
          </w:p>
        </w:tc>
      </w:tr>
      <w:tr w:rsidR="00383EE6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383EE6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145B7A" w:rsidP="00F13F7D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2</w:t>
            </w:r>
            <w:r w:rsidR="00F13F7D" w:rsidRPr="007B5AD7">
              <w:rPr>
                <w:rFonts w:ascii="Arial" w:hAnsi="Arial" w:cs="Arial"/>
                <w:color w:val="244A90"/>
              </w:rPr>
              <w:t>4</w:t>
            </w:r>
            <w:r w:rsidR="00383EE6" w:rsidRPr="007B5AD7">
              <w:rPr>
                <w:rFonts w:ascii="Arial" w:hAnsi="Arial" w:cs="Arial"/>
                <w:color w:val="244A90"/>
              </w:rPr>
              <w:t xml:space="preserve">. </w:t>
            </w:r>
            <w:r w:rsidRPr="007B5AD7">
              <w:rPr>
                <w:rFonts w:ascii="Arial" w:hAnsi="Arial" w:cs="Arial"/>
                <w:color w:val="244A90"/>
              </w:rPr>
              <w:t>3</w:t>
            </w:r>
            <w:r w:rsidR="00383EE6" w:rsidRPr="007B5AD7">
              <w:rPr>
                <w:rFonts w:ascii="Arial" w:hAnsi="Arial" w:cs="Arial"/>
                <w:color w:val="244A90"/>
              </w:rPr>
              <w:t>. 201</w:t>
            </w:r>
            <w:r w:rsidRPr="007B5AD7">
              <w:rPr>
                <w:rFonts w:ascii="Arial" w:hAnsi="Arial" w:cs="Arial"/>
                <w:color w:val="244A90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7B5AD7" w:rsidRDefault="00145B7A" w:rsidP="00F13F7D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2</w:t>
            </w:r>
            <w:r w:rsidR="00F13F7D" w:rsidRPr="007B5AD7">
              <w:rPr>
                <w:rFonts w:ascii="Arial" w:hAnsi="Arial" w:cs="Arial"/>
                <w:color w:val="244A90"/>
              </w:rPr>
              <w:t>4</w:t>
            </w:r>
            <w:r w:rsidR="00383EE6" w:rsidRPr="007B5AD7">
              <w:rPr>
                <w:rFonts w:ascii="Arial" w:hAnsi="Arial" w:cs="Arial"/>
                <w:color w:val="244A90"/>
              </w:rPr>
              <w:t>.</w:t>
            </w:r>
            <w:r w:rsidR="00D34B71" w:rsidRPr="007B5AD7">
              <w:rPr>
                <w:rFonts w:ascii="Arial" w:hAnsi="Arial" w:cs="Arial"/>
                <w:color w:val="244A90"/>
              </w:rPr>
              <w:t xml:space="preserve"> </w:t>
            </w:r>
            <w:r w:rsidRPr="007B5AD7">
              <w:rPr>
                <w:rFonts w:ascii="Arial" w:hAnsi="Arial" w:cs="Arial"/>
                <w:color w:val="244A90"/>
              </w:rPr>
              <w:t>3</w:t>
            </w:r>
            <w:r w:rsidR="00383EE6" w:rsidRPr="007B5AD7">
              <w:rPr>
                <w:rFonts w:ascii="Arial" w:hAnsi="Arial" w:cs="Arial"/>
                <w:color w:val="244A90"/>
              </w:rPr>
              <w:t>. 201</w:t>
            </w:r>
            <w:r w:rsidRPr="007B5AD7">
              <w:rPr>
                <w:rFonts w:ascii="Arial" w:hAnsi="Arial" w:cs="Arial"/>
                <w:color w:val="244A90"/>
              </w:rPr>
              <w:t>7</w:t>
            </w:r>
          </w:p>
        </w:tc>
      </w:tr>
      <w:tr w:rsidR="00B26FA9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7B5AD7" w:rsidRDefault="00B26FA9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7B5AD7" w:rsidRDefault="00B26FA9" w:rsidP="00FC0505">
            <w:pPr>
              <w:jc w:val="center"/>
              <w:rPr>
                <w:rFonts w:ascii="Arial" w:hAnsi="Arial" w:cs="Arial"/>
                <w:color w:val="244A9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7B5AD7" w:rsidRDefault="00B26FA9" w:rsidP="00FC0505">
            <w:pPr>
              <w:jc w:val="center"/>
              <w:rPr>
                <w:rFonts w:ascii="Arial" w:hAnsi="Arial" w:cs="Arial"/>
                <w:color w:val="244A90"/>
              </w:rPr>
            </w:pPr>
          </w:p>
        </w:tc>
      </w:tr>
      <w:tr w:rsidR="00B26FA9" w:rsidRPr="007B5AD7" w:rsidTr="00D770F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7B5AD7" w:rsidRDefault="00B26FA9" w:rsidP="00D770FB">
            <w:pPr>
              <w:rPr>
                <w:rFonts w:ascii="Arial" w:hAnsi="Arial" w:cs="Arial"/>
                <w:b/>
                <w:color w:val="244A9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7B5AD7" w:rsidRDefault="00B26FA9" w:rsidP="00F13F7D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2</w:t>
            </w:r>
            <w:r w:rsidR="00F13F7D" w:rsidRPr="007B5AD7">
              <w:rPr>
                <w:rFonts w:ascii="Arial" w:hAnsi="Arial" w:cs="Arial"/>
                <w:color w:val="244A90"/>
              </w:rPr>
              <w:t>4</w:t>
            </w:r>
            <w:r w:rsidRPr="007B5AD7">
              <w:rPr>
                <w:rFonts w:ascii="Arial" w:hAnsi="Arial" w:cs="Arial"/>
                <w:color w:val="244A90"/>
              </w:rPr>
              <w:t xml:space="preserve">. </w:t>
            </w:r>
            <w:r w:rsidR="00145B7A" w:rsidRPr="007B5AD7">
              <w:rPr>
                <w:rFonts w:ascii="Arial" w:hAnsi="Arial" w:cs="Arial"/>
                <w:color w:val="244A90"/>
              </w:rPr>
              <w:t>3</w:t>
            </w:r>
            <w:r w:rsidRPr="007B5AD7">
              <w:rPr>
                <w:rFonts w:ascii="Arial" w:hAnsi="Arial" w:cs="Arial"/>
                <w:color w:val="244A9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7B5AD7" w:rsidRDefault="00B26FA9" w:rsidP="00F13F7D">
            <w:pPr>
              <w:jc w:val="center"/>
              <w:rPr>
                <w:rFonts w:ascii="Arial" w:hAnsi="Arial" w:cs="Arial"/>
                <w:color w:val="244A90"/>
              </w:rPr>
            </w:pPr>
            <w:r w:rsidRPr="007B5AD7">
              <w:rPr>
                <w:rFonts w:ascii="Arial" w:hAnsi="Arial" w:cs="Arial"/>
                <w:color w:val="244A90"/>
              </w:rPr>
              <w:t>2</w:t>
            </w:r>
            <w:r w:rsidR="00F13F7D" w:rsidRPr="007B5AD7">
              <w:rPr>
                <w:rFonts w:ascii="Arial" w:hAnsi="Arial" w:cs="Arial"/>
                <w:color w:val="244A90"/>
              </w:rPr>
              <w:t>4</w:t>
            </w:r>
            <w:r w:rsidRPr="007B5AD7">
              <w:rPr>
                <w:rFonts w:ascii="Arial" w:hAnsi="Arial" w:cs="Arial"/>
                <w:color w:val="244A90"/>
              </w:rPr>
              <w:t xml:space="preserve">. </w:t>
            </w:r>
            <w:r w:rsidR="00145B7A" w:rsidRPr="007B5AD7">
              <w:rPr>
                <w:rFonts w:ascii="Arial" w:hAnsi="Arial" w:cs="Arial"/>
                <w:color w:val="244A90"/>
              </w:rPr>
              <w:t>3</w:t>
            </w:r>
            <w:r w:rsidRPr="007B5AD7">
              <w:rPr>
                <w:rFonts w:ascii="Arial" w:hAnsi="Arial" w:cs="Arial"/>
                <w:color w:val="244A9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</w:rPr>
              <w:t>7</w:t>
            </w:r>
          </w:p>
        </w:tc>
      </w:tr>
    </w:tbl>
    <w:p w:rsidR="00383EE6" w:rsidRPr="007B5AD7" w:rsidRDefault="00383EE6">
      <w:pPr>
        <w:pStyle w:val="Zkladntext"/>
        <w:ind w:left="0"/>
        <w:rPr>
          <w:b/>
          <w:color w:val="244A90"/>
          <w:sz w:val="22"/>
        </w:rPr>
      </w:pPr>
    </w:p>
    <w:p w:rsidR="007B5AD7" w:rsidRDefault="007B5AD7">
      <w:pPr>
        <w:pStyle w:val="Zkladntext"/>
        <w:ind w:left="0"/>
        <w:rPr>
          <w:b/>
          <w:color w:val="244A90"/>
          <w:sz w:val="22"/>
        </w:rPr>
      </w:pPr>
    </w:p>
    <w:p w:rsidR="007B5AD7" w:rsidRDefault="007B5AD7">
      <w:pPr>
        <w:pStyle w:val="Zkladntext"/>
        <w:ind w:left="0"/>
        <w:rPr>
          <w:b/>
          <w:color w:val="244A90"/>
          <w:sz w:val="22"/>
        </w:rPr>
      </w:pPr>
    </w:p>
    <w:p w:rsidR="007B5AD7" w:rsidRPr="007B5AD7" w:rsidRDefault="007B5AD7">
      <w:pPr>
        <w:pStyle w:val="Zkladntext"/>
        <w:ind w:left="0"/>
        <w:rPr>
          <w:b/>
          <w:color w:val="244A90"/>
          <w:sz w:val="22"/>
        </w:rPr>
      </w:pPr>
    </w:p>
    <w:p w:rsidR="00A90178" w:rsidRPr="00E45767" w:rsidRDefault="00A90178" w:rsidP="007B5AD7">
      <w:pPr>
        <w:pStyle w:val="Zkladntext"/>
        <w:spacing w:after="60"/>
        <w:ind w:left="0" w:right="567"/>
        <w:rPr>
          <w:rFonts w:ascii="Arial" w:hAnsi="Arial" w:cs="Arial"/>
          <w:b/>
          <w:color w:val="244A90"/>
          <w:sz w:val="23"/>
          <w:szCs w:val="23"/>
        </w:rPr>
      </w:pPr>
      <w:r w:rsidRPr="00E45767">
        <w:rPr>
          <w:rFonts w:ascii="Arial" w:hAnsi="Arial" w:cs="Arial"/>
          <w:b/>
          <w:color w:val="244A90"/>
          <w:sz w:val="23"/>
          <w:szCs w:val="23"/>
        </w:rPr>
        <w:t xml:space="preserve">1. </w:t>
      </w:r>
      <w:r w:rsidR="00A42BD8" w:rsidRPr="00E45767">
        <w:rPr>
          <w:rFonts w:ascii="Arial" w:hAnsi="Arial" w:cs="Arial"/>
          <w:b/>
          <w:color w:val="244A90"/>
          <w:sz w:val="23"/>
          <w:szCs w:val="23"/>
        </w:rPr>
        <w:t xml:space="preserve"> </w:t>
      </w:r>
      <w:r w:rsidRPr="00E45767">
        <w:rPr>
          <w:rFonts w:ascii="Arial" w:hAnsi="Arial" w:cs="Arial"/>
          <w:b/>
          <w:color w:val="244A90"/>
          <w:sz w:val="23"/>
          <w:szCs w:val="23"/>
        </w:rPr>
        <w:t xml:space="preserve">Účel </w:t>
      </w:r>
    </w:p>
    <w:p w:rsidR="00A90178" w:rsidRPr="00E45767" w:rsidRDefault="002A7ABF" w:rsidP="00EB30B3">
      <w:pPr>
        <w:pStyle w:val="Zkladntext"/>
        <w:ind w:left="284"/>
        <w:jc w:val="both"/>
        <w:rPr>
          <w:rFonts w:ascii="Arial" w:hAnsi="Arial" w:cs="Arial"/>
          <w:color w:val="244A90"/>
          <w:sz w:val="23"/>
          <w:szCs w:val="23"/>
        </w:rPr>
      </w:pPr>
      <w:r w:rsidRPr="00E45767">
        <w:rPr>
          <w:rFonts w:ascii="Arial" w:hAnsi="Arial" w:cs="Arial"/>
          <w:color w:val="244A90"/>
          <w:sz w:val="23"/>
          <w:szCs w:val="23"/>
        </w:rPr>
        <w:t>Zpracování účetní závěrky k 3</w:t>
      </w:r>
      <w:r w:rsidR="00145B7A" w:rsidRPr="00E45767">
        <w:rPr>
          <w:rFonts w:ascii="Arial" w:hAnsi="Arial" w:cs="Arial"/>
          <w:color w:val="244A90"/>
          <w:sz w:val="23"/>
          <w:szCs w:val="23"/>
        </w:rPr>
        <w:t>1</w:t>
      </w:r>
      <w:r w:rsidRPr="00E45767">
        <w:rPr>
          <w:rFonts w:ascii="Arial" w:hAnsi="Arial" w:cs="Arial"/>
          <w:color w:val="244A90"/>
          <w:sz w:val="23"/>
          <w:szCs w:val="23"/>
        </w:rPr>
        <w:t>.</w:t>
      </w:r>
      <w:r w:rsidR="00E90B6D" w:rsidRPr="00E45767">
        <w:rPr>
          <w:rFonts w:ascii="Arial" w:hAnsi="Arial" w:cs="Arial"/>
          <w:color w:val="244A90"/>
          <w:sz w:val="23"/>
          <w:szCs w:val="23"/>
        </w:rPr>
        <w:t xml:space="preserve"> </w:t>
      </w:r>
      <w:r w:rsidR="00145B7A" w:rsidRPr="00E45767">
        <w:rPr>
          <w:rFonts w:ascii="Arial" w:hAnsi="Arial" w:cs="Arial"/>
          <w:color w:val="244A90"/>
          <w:sz w:val="23"/>
          <w:szCs w:val="23"/>
        </w:rPr>
        <w:t>3</w:t>
      </w:r>
      <w:r w:rsidRPr="00E45767">
        <w:rPr>
          <w:rFonts w:ascii="Arial" w:hAnsi="Arial" w:cs="Arial"/>
          <w:color w:val="244A90"/>
          <w:sz w:val="23"/>
          <w:szCs w:val="23"/>
        </w:rPr>
        <w:t>.</w:t>
      </w:r>
      <w:r w:rsidR="00E90B6D" w:rsidRPr="00E45767">
        <w:rPr>
          <w:rFonts w:ascii="Arial" w:hAnsi="Arial" w:cs="Arial"/>
          <w:color w:val="244A90"/>
          <w:sz w:val="23"/>
          <w:szCs w:val="23"/>
        </w:rPr>
        <w:t xml:space="preserve"> </w:t>
      </w:r>
      <w:r w:rsidRPr="00E45767">
        <w:rPr>
          <w:rFonts w:ascii="Arial" w:hAnsi="Arial" w:cs="Arial"/>
          <w:color w:val="244A90"/>
          <w:sz w:val="23"/>
          <w:szCs w:val="23"/>
        </w:rPr>
        <w:t>201</w:t>
      </w:r>
      <w:r w:rsidR="00145B7A" w:rsidRPr="00E45767">
        <w:rPr>
          <w:rFonts w:ascii="Arial" w:hAnsi="Arial" w:cs="Arial"/>
          <w:color w:val="244A90"/>
          <w:sz w:val="23"/>
          <w:szCs w:val="23"/>
        </w:rPr>
        <w:t>7</w:t>
      </w:r>
      <w:r w:rsidRPr="00E45767">
        <w:rPr>
          <w:rFonts w:ascii="Arial" w:hAnsi="Arial" w:cs="Arial"/>
          <w:color w:val="244A90"/>
          <w:sz w:val="23"/>
          <w:szCs w:val="23"/>
        </w:rPr>
        <w:t xml:space="preserve"> a předložení výsledku hospodaření </w:t>
      </w:r>
      <w:r w:rsidR="00737A1A">
        <w:rPr>
          <w:rFonts w:ascii="Arial" w:hAnsi="Arial" w:cs="Arial"/>
          <w:color w:val="244A90"/>
          <w:sz w:val="23"/>
          <w:szCs w:val="23"/>
        </w:rPr>
        <w:t>z</w:t>
      </w:r>
      <w:r w:rsidRPr="00E45767">
        <w:rPr>
          <w:rFonts w:ascii="Arial" w:hAnsi="Arial" w:cs="Arial"/>
          <w:color w:val="244A90"/>
          <w:sz w:val="23"/>
          <w:szCs w:val="23"/>
        </w:rPr>
        <w:t>řizova</w:t>
      </w:r>
      <w:r w:rsidR="00737A1A">
        <w:rPr>
          <w:rFonts w:ascii="Arial" w:hAnsi="Arial" w:cs="Arial"/>
          <w:color w:val="244A90"/>
          <w:sz w:val="23"/>
          <w:szCs w:val="23"/>
        </w:rPr>
        <w:t>-</w:t>
      </w:r>
      <w:r w:rsidRPr="00E45767">
        <w:rPr>
          <w:rFonts w:ascii="Arial" w:hAnsi="Arial" w:cs="Arial"/>
          <w:color w:val="244A90"/>
          <w:sz w:val="23"/>
          <w:szCs w:val="23"/>
        </w:rPr>
        <w:t>teli.</w:t>
      </w:r>
    </w:p>
    <w:p w:rsidR="00A90178" w:rsidRPr="00E45767" w:rsidRDefault="00A90178">
      <w:pPr>
        <w:pStyle w:val="Zkladntext"/>
        <w:ind w:left="0"/>
        <w:rPr>
          <w:rFonts w:ascii="Arial" w:hAnsi="Arial"/>
          <w:b/>
          <w:color w:val="244A90"/>
          <w:sz w:val="23"/>
          <w:szCs w:val="23"/>
        </w:rPr>
      </w:pPr>
    </w:p>
    <w:p w:rsidR="001A7B2A" w:rsidRPr="00E45767" w:rsidRDefault="001A7B2A">
      <w:pPr>
        <w:pStyle w:val="Zkladntext"/>
        <w:ind w:left="0"/>
        <w:rPr>
          <w:rFonts w:ascii="Arial" w:hAnsi="Arial"/>
          <w:b/>
          <w:color w:val="244A90"/>
          <w:sz w:val="23"/>
          <w:szCs w:val="23"/>
        </w:rPr>
      </w:pPr>
    </w:p>
    <w:p w:rsidR="00A90178" w:rsidRPr="00E45767" w:rsidRDefault="00A90178" w:rsidP="007B5AD7">
      <w:pPr>
        <w:pStyle w:val="Zkladntext"/>
        <w:spacing w:after="60"/>
        <w:ind w:left="0" w:right="567"/>
        <w:rPr>
          <w:rFonts w:ascii="Arial" w:hAnsi="Arial" w:cs="Arial"/>
          <w:b/>
          <w:color w:val="244A90"/>
          <w:sz w:val="23"/>
          <w:szCs w:val="23"/>
        </w:rPr>
      </w:pPr>
      <w:r w:rsidRPr="00E45767">
        <w:rPr>
          <w:rFonts w:ascii="Arial" w:hAnsi="Arial" w:cs="Arial"/>
          <w:b/>
          <w:color w:val="244A90"/>
          <w:sz w:val="23"/>
          <w:szCs w:val="23"/>
        </w:rPr>
        <w:t>2.</w:t>
      </w:r>
      <w:r w:rsidR="00B26FA9" w:rsidRPr="00E45767">
        <w:rPr>
          <w:rFonts w:ascii="Arial" w:hAnsi="Arial" w:cs="Arial"/>
          <w:b/>
          <w:color w:val="244A90"/>
          <w:sz w:val="23"/>
          <w:szCs w:val="23"/>
        </w:rPr>
        <w:t xml:space="preserve"> </w:t>
      </w:r>
      <w:r w:rsidRPr="00E45767">
        <w:rPr>
          <w:rFonts w:ascii="Arial" w:hAnsi="Arial" w:cs="Arial"/>
          <w:b/>
          <w:color w:val="244A90"/>
          <w:sz w:val="23"/>
          <w:szCs w:val="23"/>
        </w:rPr>
        <w:t xml:space="preserve"> Závaznost  </w:t>
      </w:r>
    </w:p>
    <w:p w:rsidR="00A90178" w:rsidRPr="00E45767" w:rsidRDefault="00A90178" w:rsidP="00A42BD8">
      <w:pPr>
        <w:pStyle w:val="Zkladntext"/>
        <w:ind w:left="284"/>
        <w:rPr>
          <w:rFonts w:ascii="Arial" w:hAnsi="Arial" w:cs="Arial"/>
          <w:color w:val="244A90"/>
          <w:sz w:val="23"/>
          <w:szCs w:val="23"/>
        </w:rPr>
      </w:pPr>
      <w:r w:rsidRPr="00E45767">
        <w:rPr>
          <w:rFonts w:ascii="Arial" w:hAnsi="Arial" w:cs="Arial"/>
          <w:color w:val="244A90"/>
          <w:sz w:val="23"/>
          <w:szCs w:val="23"/>
        </w:rPr>
        <w:t>Vedoucí zaměstnanci FNOL</w:t>
      </w:r>
      <w:r w:rsidR="009E5EC1" w:rsidRPr="00E45767">
        <w:rPr>
          <w:rFonts w:ascii="Arial" w:hAnsi="Arial" w:cs="Arial"/>
          <w:color w:val="244A90"/>
          <w:sz w:val="23"/>
          <w:szCs w:val="23"/>
        </w:rPr>
        <w:t>.</w:t>
      </w:r>
    </w:p>
    <w:p w:rsidR="00A90178" w:rsidRPr="00E45767" w:rsidRDefault="00A90178">
      <w:pPr>
        <w:pStyle w:val="Zkladntext"/>
        <w:ind w:left="0"/>
        <w:rPr>
          <w:rFonts w:ascii="Arial" w:hAnsi="Arial"/>
          <w:b/>
          <w:color w:val="244A90"/>
          <w:sz w:val="23"/>
          <w:szCs w:val="23"/>
        </w:rPr>
      </w:pPr>
    </w:p>
    <w:p w:rsidR="001A7B2A" w:rsidRPr="00E45767" w:rsidRDefault="001A7B2A">
      <w:pPr>
        <w:pStyle w:val="Zkladntext"/>
        <w:ind w:left="0"/>
        <w:rPr>
          <w:rFonts w:ascii="Arial" w:hAnsi="Arial"/>
          <w:b/>
          <w:color w:val="244A90"/>
          <w:sz w:val="23"/>
          <w:szCs w:val="23"/>
        </w:rPr>
      </w:pPr>
    </w:p>
    <w:p w:rsidR="00A90178" w:rsidRPr="00E45767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44A90"/>
          <w:sz w:val="23"/>
          <w:szCs w:val="23"/>
        </w:rPr>
      </w:pPr>
      <w:r w:rsidRPr="00E45767">
        <w:rPr>
          <w:rFonts w:ascii="Arial" w:hAnsi="Arial" w:cs="Arial"/>
          <w:b/>
          <w:color w:val="244A90"/>
          <w:sz w:val="23"/>
          <w:szCs w:val="23"/>
        </w:rPr>
        <w:t>3.</w:t>
      </w:r>
      <w:r w:rsidR="00B26FA9" w:rsidRPr="00E45767">
        <w:rPr>
          <w:rFonts w:ascii="Arial" w:hAnsi="Arial" w:cs="Arial"/>
          <w:b/>
          <w:color w:val="244A90"/>
          <w:sz w:val="23"/>
          <w:szCs w:val="23"/>
        </w:rPr>
        <w:t xml:space="preserve"> </w:t>
      </w:r>
      <w:r w:rsidRPr="00E45767">
        <w:rPr>
          <w:rFonts w:ascii="Arial" w:hAnsi="Arial" w:cs="Arial"/>
          <w:b/>
          <w:color w:val="244A90"/>
          <w:sz w:val="23"/>
          <w:szCs w:val="23"/>
        </w:rPr>
        <w:t xml:space="preserve"> Vlastní text</w:t>
      </w:r>
    </w:p>
    <w:p w:rsidR="006C5C33" w:rsidRPr="00E45767" w:rsidRDefault="006C5C33" w:rsidP="006C5C33">
      <w:pPr>
        <w:pStyle w:val="Zkladntext"/>
        <w:numPr>
          <w:ilvl w:val="1"/>
          <w:numId w:val="20"/>
        </w:numPr>
        <w:jc w:val="both"/>
        <w:rPr>
          <w:rFonts w:ascii="Arial" w:hAnsi="Arial" w:cs="Arial"/>
          <w:color w:val="244A90"/>
          <w:sz w:val="23"/>
          <w:szCs w:val="23"/>
        </w:rPr>
      </w:pPr>
      <w:r w:rsidRPr="00E45767">
        <w:rPr>
          <w:rFonts w:ascii="Arial" w:hAnsi="Arial" w:cs="Arial"/>
          <w:color w:val="244A90"/>
          <w:sz w:val="23"/>
          <w:szCs w:val="23"/>
        </w:rPr>
        <w:t>V souvislosti s ukončením předběžné účetní závěrky, kdy MZ ČR požaduje zaslání úče</w:t>
      </w:r>
      <w:r w:rsidRPr="00E45767">
        <w:rPr>
          <w:rFonts w:ascii="Arial" w:hAnsi="Arial" w:cs="Arial"/>
          <w:color w:val="244A90"/>
          <w:sz w:val="23"/>
          <w:szCs w:val="23"/>
        </w:rPr>
        <w:t>t</w:t>
      </w:r>
      <w:r w:rsidRPr="00E45767">
        <w:rPr>
          <w:rFonts w:ascii="Arial" w:hAnsi="Arial" w:cs="Arial"/>
          <w:color w:val="244A90"/>
          <w:sz w:val="23"/>
          <w:szCs w:val="23"/>
        </w:rPr>
        <w:t>ních výkazů na MÚZO Praha do 2</w:t>
      </w:r>
      <w:r w:rsidR="00145B7A" w:rsidRPr="00E45767">
        <w:rPr>
          <w:rFonts w:ascii="Arial" w:hAnsi="Arial" w:cs="Arial"/>
          <w:color w:val="244A90"/>
          <w:sz w:val="23"/>
          <w:szCs w:val="23"/>
        </w:rPr>
        <w:t>0</w:t>
      </w:r>
      <w:r w:rsidRPr="00E45767">
        <w:rPr>
          <w:rFonts w:ascii="Arial" w:hAnsi="Arial" w:cs="Arial"/>
          <w:color w:val="244A90"/>
          <w:sz w:val="23"/>
          <w:szCs w:val="23"/>
        </w:rPr>
        <w:t>.</w:t>
      </w:r>
      <w:r w:rsidR="00A42BD8" w:rsidRPr="00E45767">
        <w:rPr>
          <w:rFonts w:ascii="Arial" w:hAnsi="Arial" w:cs="Arial"/>
          <w:color w:val="244A90"/>
          <w:sz w:val="23"/>
          <w:szCs w:val="23"/>
        </w:rPr>
        <w:t xml:space="preserve"> </w:t>
      </w:r>
      <w:r w:rsidR="00145B7A" w:rsidRPr="00E45767">
        <w:rPr>
          <w:rFonts w:ascii="Arial" w:hAnsi="Arial" w:cs="Arial"/>
          <w:color w:val="244A90"/>
          <w:sz w:val="23"/>
          <w:szCs w:val="23"/>
        </w:rPr>
        <w:t>4</w:t>
      </w:r>
      <w:r w:rsidRPr="00E45767">
        <w:rPr>
          <w:rFonts w:ascii="Arial" w:hAnsi="Arial" w:cs="Arial"/>
          <w:color w:val="244A90"/>
          <w:sz w:val="23"/>
          <w:szCs w:val="23"/>
        </w:rPr>
        <w:t>.</w:t>
      </w:r>
      <w:r w:rsidR="00A42BD8" w:rsidRPr="00E45767">
        <w:rPr>
          <w:rFonts w:ascii="Arial" w:hAnsi="Arial" w:cs="Arial"/>
          <w:color w:val="244A90"/>
          <w:sz w:val="23"/>
          <w:szCs w:val="23"/>
        </w:rPr>
        <w:t xml:space="preserve"> </w:t>
      </w:r>
      <w:r w:rsidRPr="00E45767">
        <w:rPr>
          <w:rFonts w:ascii="Arial" w:hAnsi="Arial" w:cs="Arial"/>
          <w:color w:val="244A90"/>
          <w:sz w:val="23"/>
          <w:szCs w:val="23"/>
        </w:rPr>
        <w:t>201</w:t>
      </w:r>
      <w:r w:rsidR="00145B7A" w:rsidRPr="00E45767">
        <w:rPr>
          <w:rFonts w:ascii="Arial" w:hAnsi="Arial" w:cs="Arial"/>
          <w:color w:val="244A90"/>
          <w:sz w:val="23"/>
          <w:szCs w:val="23"/>
        </w:rPr>
        <w:t>7</w:t>
      </w:r>
      <w:r w:rsidRPr="00E45767">
        <w:rPr>
          <w:rFonts w:ascii="Arial" w:hAnsi="Arial" w:cs="Arial"/>
          <w:color w:val="244A90"/>
          <w:sz w:val="23"/>
          <w:szCs w:val="23"/>
        </w:rPr>
        <w:t xml:space="preserve">, předkládáme informace </w:t>
      </w:r>
      <w:r w:rsidR="00737A1A">
        <w:rPr>
          <w:rFonts w:ascii="Arial" w:hAnsi="Arial" w:cs="Arial"/>
          <w:color w:val="244A90"/>
          <w:sz w:val="23"/>
          <w:szCs w:val="23"/>
        </w:rPr>
        <w:br/>
      </w:r>
      <w:r w:rsidRPr="00E45767">
        <w:rPr>
          <w:rFonts w:ascii="Arial" w:hAnsi="Arial" w:cs="Arial"/>
          <w:color w:val="244A90"/>
          <w:sz w:val="23"/>
          <w:szCs w:val="23"/>
        </w:rPr>
        <w:t>o termínech závěrky na je</w:t>
      </w:r>
      <w:r w:rsidRPr="00E45767">
        <w:rPr>
          <w:rFonts w:ascii="Arial" w:hAnsi="Arial" w:cs="Arial"/>
          <w:color w:val="244A90"/>
          <w:sz w:val="23"/>
          <w:szCs w:val="23"/>
        </w:rPr>
        <w:t>d</w:t>
      </w:r>
      <w:r w:rsidRPr="00E45767">
        <w:rPr>
          <w:rFonts w:ascii="Arial" w:hAnsi="Arial" w:cs="Arial"/>
          <w:color w:val="244A90"/>
          <w:sz w:val="23"/>
          <w:szCs w:val="23"/>
        </w:rPr>
        <w:t xml:space="preserve">notlivých odborných útvarech FNOL. </w:t>
      </w:r>
    </w:p>
    <w:p w:rsidR="006C5C33" w:rsidRPr="00E45767" w:rsidRDefault="006C5C33" w:rsidP="00BC6189">
      <w:pPr>
        <w:pStyle w:val="Zkladntext"/>
        <w:ind w:left="0"/>
        <w:jc w:val="both"/>
        <w:rPr>
          <w:rFonts w:ascii="Arial" w:hAnsi="Arial"/>
          <w:b/>
          <w:color w:val="244A90"/>
          <w:sz w:val="23"/>
          <w:szCs w:val="23"/>
        </w:rPr>
      </w:pPr>
    </w:p>
    <w:p w:rsidR="00336FA6" w:rsidRPr="00E45767" w:rsidRDefault="00336FA6" w:rsidP="00336FA6">
      <w:pPr>
        <w:pStyle w:val="Zkladntext"/>
        <w:ind w:left="360"/>
        <w:jc w:val="both"/>
        <w:rPr>
          <w:rFonts w:ascii="Arial" w:hAnsi="Arial" w:cs="Arial"/>
          <w:b/>
          <w:color w:val="244A90"/>
          <w:sz w:val="23"/>
          <w:szCs w:val="23"/>
          <w:u w:val="single"/>
        </w:rPr>
      </w:pPr>
      <w:r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>Termín je závazný pro všechny příspěvkové organizace, a proto je třeba, bez možnosti o</w:t>
      </w:r>
      <w:r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>d</w:t>
      </w:r>
      <w:r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>dálení, termín dodržet.</w:t>
      </w:r>
    </w:p>
    <w:p w:rsidR="00336FA6" w:rsidRPr="00E45767" w:rsidRDefault="00336FA6" w:rsidP="00BC6189">
      <w:pPr>
        <w:pStyle w:val="Zkladntext"/>
        <w:ind w:left="0"/>
        <w:jc w:val="both"/>
        <w:rPr>
          <w:rFonts w:ascii="Arial" w:hAnsi="Arial"/>
          <w:b/>
          <w:color w:val="244A90"/>
          <w:sz w:val="23"/>
          <w:szCs w:val="23"/>
        </w:rPr>
      </w:pPr>
    </w:p>
    <w:p w:rsidR="001A7B2A" w:rsidRPr="00E45767" w:rsidRDefault="001A7B2A" w:rsidP="001B6ECE">
      <w:pPr>
        <w:pStyle w:val="Zkladntext"/>
        <w:ind w:left="350" w:firstLine="14"/>
        <w:jc w:val="both"/>
        <w:rPr>
          <w:rFonts w:ascii="Arial" w:hAnsi="Arial" w:cs="Arial"/>
          <w:b/>
          <w:color w:val="244A90"/>
          <w:sz w:val="23"/>
          <w:szCs w:val="23"/>
          <w:u w:val="single"/>
        </w:rPr>
      </w:pPr>
      <w:r w:rsidRPr="00E45767">
        <w:rPr>
          <w:rFonts w:ascii="Arial" w:hAnsi="Arial" w:cs="Arial"/>
          <w:b/>
          <w:color w:val="244A90"/>
          <w:sz w:val="23"/>
          <w:szCs w:val="23"/>
        </w:rPr>
        <w:t>Pokud v požadovaných termínech nebude mít odborný útvar k dispozici všechny</w:t>
      </w:r>
      <w:r w:rsidR="001B6ECE" w:rsidRPr="00E45767">
        <w:rPr>
          <w:rFonts w:ascii="Arial" w:hAnsi="Arial" w:cs="Arial"/>
          <w:b/>
          <w:color w:val="244A90"/>
          <w:sz w:val="23"/>
          <w:szCs w:val="23"/>
        </w:rPr>
        <w:t xml:space="preserve"> </w:t>
      </w:r>
      <w:r w:rsidRPr="00E45767">
        <w:rPr>
          <w:rFonts w:ascii="Arial" w:hAnsi="Arial" w:cs="Arial"/>
          <w:b/>
          <w:color w:val="244A90"/>
          <w:sz w:val="23"/>
          <w:szCs w:val="23"/>
        </w:rPr>
        <w:t>potřebné údaje,</w:t>
      </w:r>
      <w:r w:rsidRPr="00E45767">
        <w:rPr>
          <w:rFonts w:ascii="Arial" w:hAnsi="Arial"/>
          <w:b/>
          <w:color w:val="244A90"/>
          <w:sz w:val="23"/>
          <w:szCs w:val="23"/>
        </w:rPr>
        <w:t xml:space="preserve"> </w:t>
      </w:r>
      <w:r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>musí předat Oddělení účetnictví dohadnou položku s rozpisem na</w:t>
      </w:r>
      <w:r w:rsidR="001B6ECE"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 xml:space="preserve"> </w:t>
      </w:r>
      <w:r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>stř</w:t>
      </w:r>
      <w:r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>e</w:t>
      </w:r>
      <w:r w:rsidRPr="00E45767">
        <w:rPr>
          <w:rFonts w:ascii="Arial" w:hAnsi="Arial" w:cs="Arial"/>
          <w:b/>
          <w:color w:val="244A90"/>
          <w:sz w:val="23"/>
          <w:szCs w:val="23"/>
          <w:u w:val="single"/>
        </w:rPr>
        <w:t>diska.</w:t>
      </w:r>
    </w:p>
    <w:p w:rsidR="001A7B2A" w:rsidRPr="007B5AD7" w:rsidRDefault="001A7B2A" w:rsidP="001A7B2A">
      <w:pPr>
        <w:pStyle w:val="Zkladntext"/>
        <w:ind w:left="0"/>
        <w:rPr>
          <w:color w:val="244A90"/>
          <w:sz w:val="22"/>
        </w:rPr>
      </w:pPr>
    </w:p>
    <w:p w:rsidR="001A7B2A" w:rsidRPr="007B5AD7" w:rsidRDefault="001A7B2A" w:rsidP="001A7B2A">
      <w:pPr>
        <w:pStyle w:val="Zkladntext"/>
        <w:ind w:left="0"/>
        <w:rPr>
          <w:color w:val="244A90"/>
          <w:sz w:val="22"/>
        </w:rPr>
      </w:pPr>
    </w:p>
    <w:p w:rsidR="001A7B2A" w:rsidRDefault="001A7B2A" w:rsidP="001A7B2A">
      <w:pPr>
        <w:pStyle w:val="Zkladntext"/>
        <w:ind w:left="0"/>
        <w:rPr>
          <w:color w:val="244A90"/>
          <w:sz w:val="22"/>
        </w:rPr>
      </w:pPr>
    </w:p>
    <w:p w:rsidR="007B5AD7" w:rsidRDefault="007B5AD7" w:rsidP="001A7B2A">
      <w:pPr>
        <w:pStyle w:val="Zkladntext"/>
        <w:ind w:left="0"/>
        <w:rPr>
          <w:color w:val="244A90"/>
          <w:sz w:val="22"/>
        </w:rPr>
      </w:pPr>
    </w:p>
    <w:p w:rsidR="007B5AD7" w:rsidRPr="007B5AD7" w:rsidRDefault="007B5AD7" w:rsidP="001A7B2A">
      <w:pPr>
        <w:pStyle w:val="Zkladntext"/>
        <w:ind w:left="0"/>
        <w:rPr>
          <w:color w:val="244A90"/>
          <w:sz w:val="22"/>
        </w:rPr>
      </w:pPr>
    </w:p>
    <w:p w:rsidR="001A7B2A" w:rsidRPr="007B5AD7" w:rsidRDefault="001A7B2A" w:rsidP="001A7B2A">
      <w:pPr>
        <w:pStyle w:val="Zkladntext"/>
        <w:ind w:left="0"/>
        <w:rPr>
          <w:color w:val="244A90"/>
          <w:sz w:val="22"/>
        </w:rPr>
      </w:pPr>
    </w:p>
    <w:p w:rsidR="001A7B2A" w:rsidRPr="007B5AD7" w:rsidRDefault="001A7B2A" w:rsidP="001A7B2A">
      <w:pPr>
        <w:pStyle w:val="Zkladntext"/>
        <w:ind w:left="0"/>
        <w:rPr>
          <w:color w:val="244A90"/>
          <w:sz w:val="22"/>
        </w:rPr>
      </w:pPr>
    </w:p>
    <w:p w:rsidR="001A7B2A" w:rsidRPr="007B5AD7" w:rsidRDefault="001A7B2A" w:rsidP="001A7B2A">
      <w:pPr>
        <w:pStyle w:val="Zkladntext"/>
        <w:ind w:left="0"/>
        <w:rPr>
          <w:color w:val="244A90"/>
          <w:sz w:val="22"/>
        </w:rPr>
      </w:pPr>
    </w:p>
    <w:p w:rsidR="001A7B2A" w:rsidRPr="007B5AD7" w:rsidRDefault="001A7B2A" w:rsidP="001A7B2A">
      <w:pPr>
        <w:pStyle w:val="Zkladntext"/>
        <w:ind w:left="0"/>
        <w:rPr>
          <w:color w:val="244A90"/>
          <w:sz w:val="22"/>
        </w:rPr>
      </w:pPr>
    </w:p>
    <w:p w:rsidR="001A7B2A" w:rsidRPr="007B5AD7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44A90"/>
          <w:sz w:val="22"/>
          <w:szCs w:val="22"/>
        </w:rPr>
      </w:pPr>
      <w:r w:rsidRPr="007B5AD7">
        <w:rPr>
          <w:rFonts w:ascii="Arial" w:hAnsi="Arial" w:cs="Arial"/>
          <w:b/>
          <w:color w:val="244A90"/>
          <w:sz w:val="22"/>
          <w:szCs w:val="22"/>
        </w:rPr>
        <w:t>Rozpis termínů Předběžné účetní závěrky k 3</w:t>
      </w:r>
      <w:r w:rsidR="00145B7A" w:rsidRPr="007B5AD7">
        <w:rPr>
          <w:rFonts w:ascii="Arial" w:hAnsi="Arial" w:cs="Arial"/>
          <w:b/>
          <w:color w:val="244A90"/>
          <w:sz w:val="22"/>
          <w:szCs w:val="22"/>
        </w:rPr>
        <w:t>1</w:t>
      </w:r>
      <w:r w:rsidRPr="007B5AD7">
        <w:rPr>
          <w:rFonts w:ascii="Arial" w:hAnsi="Arial" w:cs="Arial"/>
          <w:b/>
          <w:color w:val="244A90"/>
          <w:sz w:val="22"/>
          <w:szCs w:val="22"/>
        </w:rPr>
        <w:t xml:space="preserve">. </w:t>
      </w:r>
      <w:r w:rsidR="00145B7A" w:rsidRPr="007B5AD7">
        <w:rPr>
          <w:rFonts w:ascii="Arial" w:hAnsi="Arial" w:cs="Arial"/>
          <w:b/>
          <w:color w:val="244A90"/>
          <w:sz w:val="22"/>
          <w:szCs w:val="22"/>
        </w:rPr>
        <w:t>3</w:t>
      </w:r>
      <w:r w:rsidRPr="007B5AD7">
        <w:rPr>
          <w:rFonts w:ascii="Arial" w:hAnsi="Arial" w:cs="Arial"/>
          <w:b/>
          <w:color w:val="244A90"/>
          <w:sz w:val="22"/>
          <w:szCs w:val="22"/>
        </w:rPr>
        <w:t>. 201</w:t>
      </w:r>
      <w:r w:rsidR="00145B7A" w:rsidRPr="007B5AD7">
        <w:rPr>
          <w:rFonts w:ascii="Arial" w:hAnsi="Arial" w:cs="Arial"/>
          <w:b/>
          <w:color w:val="244A90"/>
          <w:sz w:val="22"/>
          <w:szCs w:val="22"/>
        </w:rPr>
        <w:t>7</w:t>
      </w:r>
      <w:r w:rsidRPr="007B5AD7">
        <w:rPr>
          <w:rFonts w:ascii="Arial" w:hAnsi="Arial" w:cs="Arial"/>
          <w:b/>
          <w:color w:val="244A90"/>
          <w:sz w:val="22"/>
          <w:szCs w:val="22"/>
        </w:rPr>
        <w:t>:</w:t>
      </w:r>
    </w:p>
    <w:p w:rsidR="00DD4EEB" w:rsidRPr="007B5AD7" w:rsidRDefault="00DD4EEB" w:rsidP="00DD4EEB">
      <w:pPr>
        <w:pStyle w:val="Zkladntext"/>
        <w:ind w:left="0"/>
        <w:rPr>
          <w:rFonts w:ascii="Arial" w:hAnsi="Arial"/>
          <w:b/>
          <w:color w:val="244A90"/>
          <w:sz w:val="22"/>
        </w:rPr>
      </w:pPr>
    </w:p>
    <w:tbl>
      <w:tblPr>
        <w:tblW w:w="955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7373"/>
        <w:gridCol w:w="2177"/>
      </w:tblGrid>
      <w:tr w:rsidR="00DD4EEB" w:rsidRPr="007B5AD7" w:rsidTr="00FF4A88">
        <w:trPr>
          <w:trHeight w:val="270"/>
        </w:trPr>
        <w:tc>
          <w:tcPr>
            <w:tcW w:w="7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D4EEB" w:rsidRPr="007B5AD7" w:rsidRDefault="00DD4EEB">
            <w:pPr>
              <w:rPr>
                <w:rFonts w:ascii="Arial" w:hAnsi="Arial" w:cs="Arial"/>
                <w:b/>
                <w:i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i/>
                <w:color w:val="244A90"/>
                <w:sz w:val="20"/>
                <w:szCs w:val="20"/>
              </w:rPr>
              <w:t>Etapy a oblasti zpracování závěrky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D4EEB" w:rsidRPr="007B5AD7" w:rsidRDefault="00DD4EEB">
            <w:pPr>
              <w:jc w:val="center"/>
              <w:rPr>
                <w:rFonts w:ascii="Arial" w:hAnsi="Arial" w:cs="Arial"/>
                <w:b/>
                <w:i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i/>
                <w:color w:val="244A90"/>
                <w:sz w:val="20"/>
                <w:szCs w:val="20"/>
              </w:rPr>
              <w:t>Termín</w:t>
            </w:r>
          </w:p>
        </w:tc>
      </w:tr>
      <w:tr w:rsidR="00655F24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F24" w:rsidRPr="007B5AD7" w:rsidRDefault="00655F24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Uzavření pokladny:  - vyúčtování nákupů v hotovosti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F24" w:rsidRPr="007B5AD7" w:rsidRDefault="00655F24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3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1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3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655F24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F24" w:rsidRPr="007B5AD7" w:rsidRDefault="00655F24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                                  - odvod tržeb do hlavní pokladny FNOL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F24" w:rsidRPr="007B5AD7" w:rsidRDefault="00145B7A" w:rsidP="001A04C2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31. 3. 2017</w:t>
            </w:r>
          </w:p>
        </w:tc>
      </w:tr>
      <w:tr w:rsidR="00655F24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F24" w:rsidRPr="007B5AD7" w:rsidRDefault="00655F24" w:rsidP="000913DF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                                  - odvod tržeb za regulační poplatky do hlav. pokl. FNOL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F24" w:rsidRPr="007B5AD7" w:rsidRDefault="00145B7A" w:rsidP="001A04C2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31. 3. 2017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Vyúčtování cestovních náhrad zaměstnanců za I.Q.201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, odevzdání na OPMČ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3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</w:t>
            </w:r>
            <w:r w:rsidR="00971D6B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DE651C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Výkaz dentálních slitin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do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3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0913DF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Předání podkladů na OUC k zavedení nově poříz. DM do evidence (stavby, pozemky)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5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0913DF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Předání podkladů na OUC k zavedení nově poříz. DM do evidence (SW, přístroje, ostatní)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5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EF636A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Výkazy </w:t>
            </w:r>
            <w:r w:rsidR="00EF636A">
              <w:rPr>
                <w:rFonts w:ascii="Arial" w:hAnsi="Arial" w:cs="Arial"/>
                <w:color w:val="244A90"/>
                <w:sz w:val="20"/>
                <w:szCs w:val="20"/>
              </w:rPr>
              <w:t>–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 valut, cenin, věcných depozit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do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6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Výkaz spotřeby PHM nebo odborný odhad, interní výkaz dopravy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45B7A" w:rsidP="00971D6B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 6. 4. 2017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Výkazy za výkony v rámci vnitroúčetnictví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do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EF636A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Uzavření skladu v QI </w:t>
            </w:r>
            <w:r w:rsidR="00EF636A">
              <w:rPr>
                <w:rFonts w:ascii="Arial" w:hAnsi="Arial" w:cs="Arial"/>
                <w:b/>
                <w:color w:val="244A90"/>
                <w:sz w:val="20"/>
                <w:szCs w:val="20"/>
              </w:rPr>
              <w:t>–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kontrola na skladech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45B7A" w:rsidP="00971D6B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 7. 4. 2017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EF636A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Uzavření skladů v QI </w:t>
            </w:r>
            <w:r w:rsidR="00EF636A">
              <w:rPr>
                <w:rFonts w:ascii="Arial" w:hAnsi="Arial" w:cs="Arial"/>
                <w:b/>
                <w:color w:val="244A90"/>
                <w:sz w:val="20"/>
                <w:szCs w:val="20"/>
              </w:rPr>
              <w:t>–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uzávěrka na Oddělení účetnictví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0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Předání podkladů k vystav. faktur na OFI nebo předání odhadu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1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="00971D6B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45B7A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B7A" w:rsidRPr="007B5AD7" w:rsidRDefault="00145B7A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Výkaz zásob a spotřeby krve a krevních výrobků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B7A" w:rsidRPr="007B5AD7" w:rsidRDefault="00145B7A" w:rsidP="00971D6B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 11. 4. 2017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EF636A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Vyúčtování soukr. tel., rozpis skuteč</w:t>
            </w:r>
            <w:r w:rsidR="00EF636A">
              <w:rPr>
                <w:rFonts w:ascii="Arial" w:hAnsi="Arial" w:cs="Arial"/>
                <w:color w:val="244A90"/>
                <w:sz w:val="20"/>
                <w:szCs w:val="20"/>
              </w:rPr>
              <w:t xml:space="preserve">ných 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nákl.</w:t>
            </w:r>
            <w:r w:rsidR="00EF636A">
              <w:rPr>
                <w:rFonts w:ascii="Arial" w:hAnsi="Arial" w:cs="Arial"/>
                <w:color w:val="244A90"/>
                <w:sz w:val="20"/>
                <w:szCs w:val="20"/>
              </w:rPr>
              <w:t xml:space="preserve"> 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za tel. nebo odbor.</w:t>
            </w:r>
            <w:r w:rsidR="00EF636A">
              <w:rPr>
                <w:rFonts w:ascii="Arial" w:hAnsi="Arial" w:cs="Arial"/>
                <w:color w:val="244A90"/>
                <w:sz w:val="20"/>
                <w:szCs w:val="20"/>
              </w:rPr>
              <w:t xml:space="preserve"> 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odhad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do 11.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Uzavření zpracování osobních nákladů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11.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Uzavření evidence odbor.</w:t>
            </w:r>
            <w:r w:rsidR="00EF636A">
              <w:rPr>
                <w:rFonts w:ascii="Arial" w:hAnsi="Arial" w:cs="Arial"/>
                <w:color w:val="244A90"/>
                <w:sz w:val="20"/>
                <w:szCs w:val="20"/>
              </w:rPr>
              <w:t xml:space="preserve"> 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útvarů a vrácení dokladů s rozpisem nákl. do OUC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do 11.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Uzavření skladů a meziskl. potrav., doplňkového prodeje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11.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EF636A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Uzavření zpracování vyúčt</w:t>
            </w:r>
            <w:r w:rsidR="00EF636A">
              <w:rPr>
                <w:rFonts w:ascii="Arial" w:hAnsi="Arial" w:cs="Arial"/>
                <w:b/>
                <w:color w:val="244A90"/>
                <w:sz w:val="20"/>
                <w:szCs w:val="20"/>
              </w:rPr>
              <w:t>ování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</w:t>
            </w:r>
            <w:r w:rsidR="00EF636A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zdravotních výkonů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11.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Zpracování podkladů k evidenci DM, uzavření evidence DM včetně odpisů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do 12.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EF636A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Předání odbor. odhadů 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(energie, úklid, telefony, opravy, náhr. díly atd…)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12.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287975" w:rsidP="00287975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Import</w:t>
            </w:r>
            <w:r w:rsidR="001A04C2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dat z 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ostatních</w:t>
            </w:r>
            <w:r w:rsidR="001A04C2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SW</w:t>
            </w:r>
            <w:r w:rsidR="001A04C2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 do QI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od 7. do 12.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723450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Uzavření dat z programu Apotheke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45B7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12. 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Podklad pro zrušení nebo vytvoření dohadných položek za léčebnou péči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 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2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Podklad pro zrušení nebo vytvoření dohadných položek za bonusy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 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2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45B7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Navrácení všech daňových dokladů na Oddělení účetnictví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2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Uzavření FP, FV, pokladny a banky v programu QI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2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Kontrola výkazu DPH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 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3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Kontrola účtování předpisu odvodu do SR za prodej majetku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 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3.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 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Rozpouštění režie HTS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971D6B" w:rsidP="00166B1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do</w:t>
            </w:r>
            <w:r w:rsidR="001A04C2"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 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3</w:t>
            </w:r>
            <w:r w:rsidR="001A04C2"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="001A04C2"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Propočet vedlejší činnosti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66B1A" w:rsidP="00166B1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od 13. </w:t>
            </w:r>
            <w:r w:rsidR="001A04C2" w:rsidRPr="007B5AD7">
              <w:rPr>
                <w:rFonts w:ascii="Arial" w:hAnsi="Arial" w:cs="Arial"/>
                <w:color w:val="244A90"/>
                <w:sz w:val="20"/>
                <w:szCs w:val="20"/>
              </w:rPr>
              <w:t>do 1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8</w:t>
            </w:r>
            <w:r w:rsidR="001A04C2"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. 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4</w:t>
            </w:r>
            <w:r w:rsidR="001A04C2" w:rsidRPr="007B5AD7">
              <w:rPr>
                <w:rFonts w:ascii="Arial" w:hAnsi="Arial" w:cs="Arial"/>
                <w:color w:val="244A90"/>
                <w:sz w:val="20"/>
                <w:szCs w:val="20"/>
              </w:rPr>
              <w:t>. 201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Průběžná kontrola účetních záznamů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5D7D77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v průběhu uz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á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>věrky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Závěrečné kontroly dokladů v programu QI k 3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1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3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8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Vytvoření a kontrola výkazů do SR a PAP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</w:t>
            </w:r>
            <w:r w:rsidR="00971D6B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19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. 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>
            <w:pPr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Zaslání dat k centrálnímu zpracování do MUZO Praha (státní výkazy, PAP)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166B1A">
            <w:pPr>
              <w:jc w:val="right"/>
              <w:rPr>
                <w:rFonts w:ascii="Arial" w:hAnsi="Arial" w:cs="Arial"/>
                <w:b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 xml:space="preserve">do 20. 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4</w:t>
            </w: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. 201</w:t>
            </w:r>
            <w:r w:rsidR="00166B1A"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7</w:t>
            </w:r>
          </w:p>
        </w:tc>
      </w:tr>
      <w:tr w:rsidR="001A04C2" w:rsidRPr="007B5AD7" w:rsidTr="00FF4A88">
        <w:trPr>
          <w:trHeight w:val="255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A04C2" w:rsidP="00EF636A">
            <w:pPr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Zaslání státních výkazů a výkazů PAP zřizovateli (podepsané </w:t>
            </w:r>
            <w:r w:rsidR="00EF636A">
              <w:rPr>
                <w:rFonts w:ascii="Arial" w:hAnsi="Arial" w:cs="Arial"/>
                <w:color w:val="244A90"/>
                <w:sz w:val="20"/>
                <w:szCs w:val="20"/>
              </w:rPr>
              <w:t>–</w:t>
            </w:r>
            <w:r w:rsidRPr="007B5AD7">
              <w:rPr>
                <w:rFonts w:ascii="Arial" w:hAnsi="Arial" w:cs="Arial"/>
                <w:color w:val="244A90"/>
                <w:sz w:val="20"/>
                <w:szCs w:val="20"/>
              </w:rPr>
              <w:t xml:space="preserve"> dopisem)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04C2" w:rsidRPr="007B5AD7" w:rsidRDefault="00166B1A" w:rsidP="00166B1A">
            <w:pPr>
              <w:jc w:val="right"/>
              <w:rPr>
                <w:rFonts w:ascii="Arial" w:hAnsi="Arial" w:cs="Arial"/>
                <w:color w:val="244A90"/>
                <w:sz w:val="20"/>
                <w:szCs w:val="20"/>
              </w:rPr>
            </w:pPr>
            <w:r w:rsidRPr="007B5AD7">
              <w:rPr>
                <w:rFonts w:ascii="Arial" w:hAnsi="Arial" w:cs="Arial"/>
                <w:b/>
                <w:color w:val="244A90"/>
                <w:sz w:val="20"/>
                <w:szCs w:val="20"/>
              </w:rPr>
              <w:t>do 20. 4. 2017</w:t>
            </w:r>
          </w:p>
        </w:tc>
      </w:tr>
    </w:tbl>
    <w:p w:rsidR="006D095D" w:rsidRPr="007B5AD7" w:rsidRDefault="006D095D">
      <w:pPr>
        <w:pStyle w:val="Zkladntext"/>
        <w:ind w:left="0"/>
        <w:rPr>
          <w:rFonts w:ascii="Arial" w:hAnsi="Arial"/>
          <w:b/>
          <w:color w:val="244A90"/>
          <w:sz w:val="24"/>
        </w:rPr>
      </w:pPr>
    </w:p>
    <w:p w:rsidR="003633BB" w:rsidRPr="007B5AD7" w:rsidRDefault="003633BB" w:rsidP="007B5AD7">
      <w:pPr>
        <w:pStyle w:val="Zkladntext"/>
        <w:spacing w:after="60"/>
        <w:ind w:left="0" w:right="567"/>
        <w:rPr>
          <w:rFonts w:ascii="Arial" w:hAnsi="Arial" w:cs="Arial"/>
          <w:b/>
          <w:color w:val="244A90"/>
          <w:sz w:val="24"/>
          <w:szCs w:val="20"/>
        </w:rPr>
      </w:pPr>
      <w:r w:rsidRPr="007B5AD7">
        <w:rPr>
          <w:rFonts w:ascii="Arial" w:hAnsi="Arial" w:cs="Arial"/>
          <w:b/>
          <w:color w:val="244A90"/>
          <w:sz w:val="24"/>
          <w:szCs w:val="20"/>
        </w:rPr>
        <w:t xml:space="preserve">4. </w:t>
      </w:r>
      <w:r w:rsidR="00B26FA9" w:rsidRPr="007B5AD7">
        <w:rPr>
          <w:rFonts w:ascii="Arial" w:hAnsi="Arial" w:cs="Arial"/>
          <w:b/>
          <w:color w:val="244A90"/>
          <w:sz w:val="24"/>
          <w:szCs w:val="20"/>
        </w:rPr>
        <w:t xml:space="preserve"> </w:t>
      </w:r>
      <w:r w:rsidRPr="007B5AD7">
        <w:rPr>
          <w:rFonts w:ascii="Arial" w:hAnsi="Arial" w:cs="Arial"/>
          <w:b/>
          <w:color w:val="244A90"/>
          <w:sz w:val="24"/>
          <w:szCs w:val="20"/>
        </w:rPr>
        <w:t>Seznam příloh</w:t>
      </w:r>
    </w:p>
    <w:p w:rsidR="003633BB" w:rsidRPr="007B5AD7" w:rsidRDefault="00A42BD8" w:rsidP="00A42BD8">
      <w:pPr>
        <w:pStyle w:val="Zkladntext"/>
        <w:ind w:left="284"/>
        <w:rPr>
          <w:rFonts w:ascii="Arial" w:hAnsi="Arial" w:cs="Arial"/>
          <w:color w:val="244A90"/>
          <w:sz w:val="22"/>
          <w:szCs w:val="22"/>
        </w:rPr>
      </w:pPr>
      <w:r w:rsidRPr="007B5AD7">
        <w:rPr>
          <w:rFonts w:ascii="Arial" w:hAnsi="Arial" w:cs="Arial"/>
          <w:color w:val="244A90"/>
          <w:sz w:val="22"/>
          <w:szCs w:val="22"/>
        </w:rPr>
        <w:t xml:space="preserve"> </w:t>
      </w:r>
      <w:r w:rsidR="003633BB" w:rsidRPr="007B5AD7">
        <w:rPr>
          <w:rFonts w:ascii="Arial" w:hAnsi="Arial" w:cs="Arial"/>
          <w:color w:val="244A90"/>
          <w:sz w:val="22"/>
          <w:szCs w:val="22"/>
        </w:rPr>
        <w:t>Bez příloh</w:t>
      </w:r>
      <w:r w:rsidR="00952BBE" w:rsidRPr="007B5AD7">
        <w:rPr>
          <w:rFonts w:ascii="Arial" w:hAnsi="Arial" w:cs="Arial"/>
          <w:color w:val="244A90"/>
          <w:sz w:val="22"/>
          <w:szCs w:val="22"/>
        </w:rPr>
        <w:t>.</w:t>
      </w:r>
    </w:p>
    <w:sectPr w:rsidR="003633BB" w:rsidRPr="007B5AD7" w:rsidSect="007B5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BC" w:rsidRDefault="00A64EBC">
      <w:r>
        <w:separator/>
      </w:r>
    </w:p>
  </w:endnote>
  <w:endnote w:type="continuationSeparator" w:id="0">
    <w:p w:rsidR="00A64EBC" w:rsidRDefault="00A6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D7" w:rsidRDefault="007B5A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5AD7" w:rsidRDefault="007B5AD7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0" w:type="dxa"/>
      <w:tblLook w:val="01E0"/>
    </w:tblPr>
    <w:tblGrid>
      <w:gridCol w:w="2480"/>
      <w:gridCol w:w="2480"/>
      <w:gridCol w:w="3086"/>
      <w:gridCol w:w="1874"/>
    </w:tblGrid>
    <w:tr w:rsidR="007B5AD7" w:rsidRPr="00E96A91" w:rsidTr="007B5AD7">
      <w:trPr>
        <w:trHeight w:val="570"/>
      </w:trPr>
      <w:tc>
        <w:tcPr>
          <w:tcW w:w="2480" w:type="dxa"/>
        </w:tcPr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I. P. Pavlova 185/6</w:t>
          </w:r>
        </w:p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779 00 Olomouc</w:t>
          </w:r>
        </w:p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tel: +420 588 443 151</w:t>
          </w:r>
        </w:p>
      </w:tc>
      <w:tc>
        <w:tcPr>
          <w:tcW w:w="2480" w:type="dxa"/>
        </w:tcPr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fax: +420 585 413 130</w:t>
          </w:r>
        </w:p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b/>
              <w:color w:val="BFBFBF"/>
              <w:sz w:val="15"/>
              <w:szCs w:val="15"/>
            </w:rPr>
            <w:t>e-mail: reditel@fnol.cz</w:t>
          </w:r>
        </w:p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BFBFBF"/>
              <w:sz w:val="20"/>
              <w:szCs w:val="20"/>
            </w:rPr>
          </w:pPr>
          <w:r w:rsidRPr="00E96A91">
            <w:rPr>
              <w:rFonts w:ascii="Arial" w:hAnsi="Arial" w:cs="Arial"/>
              <w:b/>
              <w:color w:val="BFBFBF"/>
              <w:sz w:val="15"/>
              <w:szCs w:val="15"/>
            </w:rPr>
            <w:t>www.fnol.cz</w:t>
          </w:r>
        </w:p>
      </w:tc>
      <w:tc>
        <w:tcPr>
          <w:tcW w:w="3086" w:type="dxa"/>
        </w:tcPr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Bankovní spojení: Česká národní banka</w:t>
          </w:r>
        </w:p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20"/>
              <w:szCs w:val="20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Číslo účtu: 36334811/0710</w:t>
          </w:r>
        </w:p>
      </w:tc>
      <w:tc>
        <w:tcPr>
          <w:tcW w:w="1874" w:type="dxa"/>
        </w:tcPr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IČ: 00098892</w:t>
          </w:r>
        </w:p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20"/>
              <w:szCs w:val="20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t>DIČ: CZ00098892</w:t>
          </w:r>
        </w:p>
        <w:p w:rsidR="007B5AD7" w:rsidRPr="00E96A91" w:rsidRDefault="007B5AD7" w:rsidP="007B5AD7">
          <w:pPr>
            <w:autoSpaceDE w:val="0"/>
            <w:autoSpaceDN w:val="0"/>
            <w:adjustRightInd w:val="0"/>
            <w:rPr>
              <w:rFonts w:ascii="Arial" w:hAnsi="Arial" w:cs="Arial"/>
              <w:color w:val="BFBFBF"/>
              <w:sz w:val="20"/>
              <w:szCs w:val="20"/>
            </w:rPr>
          </w:pPr>
        </w:p>
      </w:tc>
    </w:tr>
    <w:tr w:rsidR="007B5AD7" w:rsidRPr="00E96A91" w:rsidTr="007B5AD7">
      <w:trPr>
        <w:trHeight w:val="548"/>
      </w:trPr>
      <w:tc>
        <w:tcPr>
          <w:tcW w:w="9920" w:type="dxa"/>
          <w:gridSpan w:val="4"/>
          <w:vAlign w:val="bottom"/>
        </w:tcPr>
        <w:p w:rsidR="007B5AD7" w:rsidRPr="00E96A91" w:rsidRDefault="007B5AD7" w:rsidP="007B5AD7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color w:val="BFBFBF"/>
              <w:sz w:val="15"/>
              <w:szCs w:val="15"/>
            </w:rPr>
          </w:pPr>
          <w:r w:rsidRPr="00E96A91">
            <w:rPr>
              <w:rFonts w:ascii="Arial" w:hAnsi="Arial" w:cs="Arial"/>
              <w:color w:val="BFBFBF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2.8pt;height:22.8pt">
                <v:imagedata r:id="rId1" o:title="motto_2"/>
              </v:shape>
            </w:pict>
          </w:r>
        </w:p>
      </w:tc>
    </w:tr>
  </w:tbl>
  <w:p w:rsidR="007B5AD7" w:rsidRDefault="007B5AD7" w:rsidP="007B5AD7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BC" w:rsidRDefault="00A64EBC">
      <w:r>
        <w:separator/>
      </w:r>
    </w:p>
  </w:footnote>
  <w:footnote w:type="continuationSeparator" w:id="0">
    <w:p w:rsidR="00A64EBC" w:rsidRDefault="00A64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D7" w:rsidRDefault="007B5AD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4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D7" w:rsidRDefault="007B5AD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51.4pt;margin-top:-21.75pt;width:172.65pt;height:56.7pt;z-index:5">
          <v:imagedata r:id="rId1" o:title="logo s okraji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D7" w:rsidRDefault="007B5AD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5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7E1B40"/>
    <w:multiLevelType w:val="hybridMultilevel"/>
    <w:tmpl w:val="5FA247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4B2ABA"/>
    <w:multiLevelType w:val="hybridMultilevel"/>
    <w:tmpl w:val="DF322AF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371D6"/>
    <w:multiLevelType w:val="hybridMultilevel"/>
    <w:tmpl w:val="46488B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331AA8"/>
    <w:multiLevelType w:val="hybridMultilevel"/>
    <w:tmpl w:val="AEC2DA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>
    <w:nsid w:val="69691E9B"/>
    <w:multiLevelType w:val="hybridMultilevel"/>
    <w:tmpl w:val="9154BA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415B0"/>
    <w:multiLevelType w:val="hybridMultilevel"/>
    <w:tmpl w:val="4A4CAFD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95"/>
    <w:rsid w:val="000036D3"/>
    <w:rsid w:val="00006A95"/>
    <w:rsid w:val="0001182A"/>
    <w:rsid w:val="00014624"/>
    <w:rsid w:val="00020E46"/>
    <w:rsid w:val="00035A95"/>
    <w:rsid w:val="00037E18"/>
    <w:rsid w:val="00051FE4"/>
    <w:rsid w:val="00057E1E"/>
    <w:rsid w:val="000848F2"/>
    <w:rsid w:val="00085A78"/>
    <w:rsid w:val="000913DF"/>
    <w:rsid w:val="000A7B52"/>
    <w:rsid w:val="000B541A"/>
    <w:rsid w:val="000C07E0"/>
    <w:rsid w:val="000D306D"/>
    <w:rsid w:val="000D5B92"/>
    <w:rsid w:val="000F3892"/>
    <w:rsid w:val="000F611F"/>
    <w:rsid w:val="00103C9F"/>
    <w:rsid w:val="00124366"/>
    <w:rsid w:val="0014215E"/>
    <w:rsid w:val="00143153"/>
    <w:rsid w:val="00145B7A"/>
    <w:rsid w:val="00155B19"/>
    <w:rsid w:val="00166B1A"/>
    <w:rsid w:val="001920D0"/>
    <w:rsid w:val="001A04C2"/>
    <w:rsid w:val="001A2A86"/>
    <w:rsid w:val="001A7B2A"/>
    <w:rsid w:val="001B6ECE"/>
    <w:rsid w:val="001C2441"/>
    <w:rsid w:val="001D0412"/>
    <w:rsid w:val="001E2F74"/>
    <w:rsid w:val="001E2FE5"/>
    <w:rsid w:val="001E4D63"/>
    <w:rsid w:val="00202638"/>
    <w:rsid w:val="00267C2A"/>
    <w:rsid w:val="00272547"/>
    <w:rsid w:val="00273675"/>
    <w:rsid w:val="00287975"/>
    <w:rsid w:val="002A7ABF"/>
    <w:rsid w:val="002B6B94"/>
    <w:rsid w:val="002D2E0D"/>
    <w:rsid w:val="002D6232"/>
    <w:rsid w:val="002D772C"/>
    <w:rsid w:val="002E6291"/>
    <w:rsid w:val="00312347"/>
    <w:rsid w:val="00336A26"/>
    <w:rsid w:val="00336FA6"/>
    <w:rsid w:val="00361425"/>
    <w:rsid w:val="003633BB"/>
    <w:rsid w:val="00383EE6"/>
    <w:rsid w:val="00390505"/>
    <w:rsid w:val="003A5446"/>
    <w:rsid w:val="003E3F9C"/>
    <w:rsid w:val="003F22FE"/>
    <w:rsid w:val="004113D2"/>
    <w:rsid w:val="00413515"/>
    <w:rsid w:val="004335D7"/>
    <w:rsid w:val="004B4D53"/>
    <w:rsid w:val="004C161B"/>
    <w:rsid w:val="004D3108"/>
    <w:rsid w:val="004D6B0F"/>
    <w:rsid w:val="004F382D"/>
    <w:rsid w:val="004F524F"/>
    <w:rsid w:val="005466F8"/>
    <w:rsid w:val="00547F21"/>
    <w:rsid w:val="005515C7"/>
    <w:rsid w:val="00565401"/>
    <w:rsid w:val="00584637"/>
    <w:rsid w:val="0059356B"/>
    <w:rsid w:val="005A39C5"/>
    <w:rsid w:val="005D0DAA"/>
    <w:rsid w:val="005D7D77"/>
    <w:rsid w:val="005F298A"/>
    <w:rsid w:val="00611A1D"/>
    <w:rsid w:val="00636CFE"/>
    <w:rsid w:val="00640F3B"/>
    <w:rsid w:val="00655F24"/>
    <w:rsid w:val="00664715"/>
    <w:rsid w:val="00684519"/>
    <w:rsid w:val="006A228C"/>
    <w:rsid w:val="006A35AC"/>
    <w:rsid w:val="006A6E27"/>
    <w:rsid w:val="006B50BB"/>
    <w:rsid w:val="006C5C33"/>
    <w:rsid w:val="006D095D"/>
    <w:rsid w:val="006D6372"/>
    <w:rsid w:val="006E254D"/>
    <w:rsid w:val="006E6783"/>
    <w:rsid w:val="00723450"/>
    <w:rsid w:val="00737A1A"/>
    <w:rsid w:val="00741E70"/>
    <w:rsid w:val="007478DF"/>
    <w:rsid w:val="0076084E"/>
    <w:rsid w:val="007765C2"/>
    <w:rsid w:val="007827B3"/>
    <w:rsid w:val="0079434D"/>
    <w:rsid w:val="007A77A9"/>
    <w:rsid w:val="007B5AD7"/>
    <w:rsid w:val="007C3F17"/>
    <w:rsid w:val="00805D3F"/>
    <w:rsid w:val="008156F8"/>
    <w:rsid w:val="00835881"/>
    <w:rsid w:val="0085507B"/>
    <w:rsid w:val="008569CC"/>
    <w:rsid w:val="0087422E"/>
    <w:rsid w:val="00882AD8"/>
    <w:rsid w:val="0088445D"/>
    <w:rsid w:val="008973A6"/>
    <w:rsid w:val="008A7C8D"/>
    <w:rsid w:val="008B030B"/>
    <w:rsid w:val="008F5FE6"/>
    <w:rsid w:val="009074C3"/>
    <w:rsid w:val="00911E20"/>
    <w:rsid w:val="00916764"/>
    <w:rsid w:val="00922DE6"/>
    <w:rsid w:val="00950E1C"/>
    <w:rsid w:val="00952BBE"/>
    <w:rsid w:val="00971D6B"/>
    <w:rsid w:val="00977131"/>
    <w:rsid w:val="0097763C"/>
    <w:rsid w:val="009824B0"/>
    <w:rsid w:val="00987E3D"/>
    <w:rsid w:val="009D106E"/>
    <w:rsid w:val="009E095D"/>
    <w:rsid w:val="009E5EC1"/>
    <w:rsid w:val="00A23392"/>
    <w:rsid w:val="00A272A7"/>
    <w:rsid w:val="00A27F6C"/>
    <w:rsid w:val="00A3799C"/>
    <w:rsid w:val="00A42BD8"/>
    <w:rsid w:val="00A54EBA"/>
    <w:rsid w:val="00A63249"/>
    <w:rsid w:val="00A63659"/>
    <w:rsid w:val="00A64EBC"/>
    <w:rsid w:val="00A82D15"/>
    <w:rsid w:val="00A82F76"/>
    <w:rsid w:val="00A8660F"/>
    <w:rsid w:val="00A90178"/>
    <w:rsid w:val="00A91EFD"/>
    <w:rsid w:val="00AA1649"/>
    <w:rsid w:val="00AB00B7"/>
    <w:rsid w:val="00AC5F39"/>
    <w:rsid w:val="00AC5F60"/>
    <w:rsid w:val="00AD649A"/>
    <w:rsid w:val="00AF4848"/>
    <w:rsid w:val="00B03D6D"/>
    <w:rsid w:val="00B26FA9"/>
    <w:rsid w:val="00B43488"/>
    <w:rsid w:val="00B4523B"/>
    <w:rsid w:val="00B6147E"/>
    <w:rsid w:val="00B8060F"/>
    <w:rsid w:val="00B860A4"/>
    <w:rsid w:val="00BA705F"/>
    <w:rsid w:val="00BB08CA"/>
    <w:rsid w:val="00BB2987"/>
    <w:rsid w:val="00BB2997"/>
    <w:rsid w:val="00BB465C"/>
    <w:rsid w:val="00BC3124"/>
    <w:rsid w:val="00BC3F5F"/>
    <w:rsid w:val="00BC6189"/>
    <w:rsid w:val="00BF0A57"/>
    <w:rsid w:val="00BF20A3"/>
    <w:rsid w:val="00BF26EB"/>
    <w:rsid w:val="00C02080"/>
    <w:rsid w:val="00C04521"/>
    <w:rsid w:val="00C04A3D"/>
    <w:rsid w:val="00C0609C"/>
    <w:rsid w:val="00C10510"/>
    <w:rsid w:val="00C44E7F"/>
    <w:rsid w:val="00C463CB"/>
    <w:rsid w:val="00C47E34"/>
    <w:rsid w:val="00C55DA2"/>
    <w:rsid w:val="00C6391C"/>
    <w:rsid w:val="00C63BC0"/>
    <w:rsid w:val="00C65BD1"/>
    <w:rsid w:val="00C742EF"/>
    <w:rsid w:val="00C92949"/>
    <w:rsid w:val="00C94F8C"/>
    <w:rsid w:val="00CD2C4B"/>
    <w:rsid w:val="00CE22B6"/>
    <w:rsid w:val="00CE7C8E"/>
    <w:rsid w:val="00CF55E6"/>
    <w:rsid w:val="00D23CE6"/>
    <w:rsid w:val="00D256EB"/>
    <w:rsid w:val="00D34B71"/>
    <w:rsid w:val="00D54251"/>
    <w:rsid w:val="00D543FD"/>
    <w:rsid w:val="00D66237"/>
    <w:rsid w:val="00D770FB"/>
    <w:rsid w:val="00D80423"/>
    <w:rsid w:val="00D809D4"/>
    <w:rsid w:val="00D9373C"/>
    <w:rsid w:val="00D95EDF"/>
    <w:rsid w:val="00DC0BE8"/>
    <w:rsid w:val="00DC6358"/>
    <w:rsid w:val="00DC6FFD"/>
    <w:rsid w:val="00DD3299"/>
    <w:rsid w:val="00DD4EEB"/>
    <w:rsid w:val="00DE651C"/>
    <w:rsid w:val="00E102FA"/>
    <w:rsid w:val="00E115CB"/>
    <w:rsid w:val="00E13ACB"/>
    <w:rsid w:val="00E3102A"/>
    <w:rsid w:val="00E31CD7"/>
    <w:rsid w:val="00E45767"/>
    <w:rsid w:val="00E551B2"/>
    <w:rsid w:val="00E654F0"/>
    <w:rsid w:val="00E90B6D"/>
    <w:rsid w:val="00EA1466"/>
    <w:rsid w:val="00EA159E"/>
    <w:rsid w:val="00EB26D6"/>
    <w:rsid w:val="00EB30B3"/>
    <w:rsid w:val="00EB4039"/>
    <w:rsid w:val="00EB6965"/>
    <w:rsid w:val="00ED6425"/>
    <w:rsid w:val="00EF5411"/>
    <w:rsid w:val="00EF636A"/>
    <w:rsid w:val="00F13F7D"/>
    <w:rsid w:val="00F25C60"/>
    <w:rsid w:val="00F65398"/>
    <w:rsid w:val="00F944F0"/>
    <w:rsid w:val="00FB3CB0"/>
    <w:rsid w:val="00FB4C49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Standardnpsmoodstavce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Wingdings"/>
      <w:sz w:val="16"/>
      <w:szCs w:val="16"/>
    </w:rPr>
  </w:style>
  <w:style w:type="character" w:styleId="Hypertextovodkaz">
    <w:name w:val="Hyperlink"/>
    <w:basedOn w:val="Standardnpsmoodstavce"/>
    <w:rPr>
      <w:strike w:val="0"/>
      <w:dstrike w:val="0"/>
      <w:color w:val="8D6600"/>
      <w:u w:val="none"/>
      <w:effect w:val="none"/>
    </w:rPr>
  </w:style>
  <w:style w:type="character" w:styleId="Siln">
    <w:name w:val="Strong"/>
    <w:basedOn w:val="Standardnpsmoodstavce"/>
    <w:qFormat/>
    <w:rPr>
      <w:b/>
      <w:bCs/>
    </w:rPr>
  </w:style>
  <w:style w:type="paragraph" w:styleId="Zkladntext">
    <w:name w:val="Body Text"/>
    <w:basedOn w:val="Normln"/>
    <w:pPr>
      <w:ind w:left="709"/>
    </w:pPr>
    <w:rPr>
      <w:sz w:val="20"/>
    </w:rPr>
  </w:style>
  <w:style w:type="paragraph" w:styleId="Datum">
    <w:name w:val="Date"/>
    <w:basedOn w:val="Normln"/>
    <w:next w:val="Normln"/>
  </w:style>
  <w:style w:type="paragraph" w:styleId="Textkomente">
    <w:name w:val="annotation text"/>
    <w:basedOn w:val="Normln"/>
    <w:semiHidden/>
    <w:rPr>
      <w:sz w:val="20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</cp:revision>
  <cp:lastPrinted>2017-03-27T05:55:00Z</cp:lastPrinted>
  <dcterms:created xsi:type="dcterms:W3CDTF">2017-03-27T06:00:00Z</dcterms:created>
  <dcterms:modified xsi:type="dcterms:W3CDTF">2017-03-27T06:00:00Z</dcterms:modified>
</cp:coreProperties>
</file>