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43" w:rsidRDefault="00E17543" w:rsidP="00EA12D1">
      <w:pPr>
        <w:jc w:val="both"/>
      </w:pPr>
      <w:r>
        <w:rPr>
          <w:noProof/>
          <w:lang w:eastAsia="cs-CZ"/>
        </w:rPr>
        <w:t xml:space="preserve">                                                 </w:t>
      </w:r>
      <w:r w:rsidRPr="00E17543">
        <w:rPr>
          <w:noProof/>
          <w:lang w:eastAsia="cs-CZ"/>
        </w:rPr>
        <w:drawing>
          <wp:inline distT="0" distB="0" distL="0" distR="0">
            <wp:extent cx="2524125" cy="2181225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543" w:rsidRDefault="00E17543" w:rsidP="00EA12D1">
      <w:pPr>
        <w:jc w:val="both"/>
      </w:pPr>
    </w:p>
    <w:p w:rsidR="00E17543" w:rsidRDefault="00E17543" w:rsidP="00EA12D1">
      <w:pPr>
        <w:jc w:val="both"/>
      </w:pPr>
    </w:p>
    <w:p w:rsidR="004D44BE" w:rsidRPr="00E17543" w:rsidRDefault="004D44BE" w:rsidP="00E17543">
      <w:pPr>
        <w:jc w:val="center"/>
        <w:rPr>
          <w:b/>
          <w:sz w:val="44"/>
          <w:szCs w:val="44"/>
        </w:rPr>
      </w:pPr>
      <w:r w:rsidRPr="00E17543">
        <w:rPr>
          <w:b/>
          <w:sz w:val="44"/>
          <w:szCs w:val="44"/>
        </w:rPr>
        <w:t>Důvodová zpráva ke stanovení socioekonomických dopadů projektu „Novostavba HOK</w:t>
      </w:r>
      <w:r w:rsidR="00E17543">
        <w:rPr>
          <w:b/>
          <w:sz w:val="44"/>
          <w:szCs w:val="44"/>
        </w:rPr>
        <w:t xml:space="preserve"> FN Olomouc</w:t>
      </w:r>
      <w:r w:rsidRPr="00E17543">
        <w:rPr>
          <w:b/>
          <w:sz w:val="44"/>
          <w:szCs w:val="44"/>
        </w:rPr>
        <w:t>“</w:t>
      </w:r>
    </w:p>
    <w:p w:rsidR="004D44BE" w:rsidRDefault="004D44BE" w:rsidP="00EA12D1">
      <w:pPr>
        <w:jc w:val="both"/>
      </w:pPr>
    </w:p>
    <w:p w:rsidR="00721E05" w:rsidRDefault="00721E05" w:rsidP="00721E05">
      <w:pPr>
        <w:autoSpaceDE w:val="0"/>
        <w:autoSpaceDN w:val="0"/>
        <w:adjustRightInd w:val="0"/>
        <w:spacing w:after="0" w:line="240" w:lineRule="auto"/>
        <w:jc w:val="both"/>
      </w:pPr>
      <w:r w:rsidRPr="00721E05">
        <w:t>Specifickým cílem 5.2 je podpořit roli veřejného sektoru v oblasti energetických</w:t>
      </w:r>
      <w:r>
        <w:t xml:space="preserve"> </w:t>
      </w:r>
      <w:r w:rsidRPr="00721E05">
        <w:t>úspor, jak doporučuje Směrnice 2010/31/EU o energetické náročnosti budov. V současné době se v České republice veřejné budovy ve standardu blížícím se pasivnímu domu téměř nevyskytují. Podpora výstavby veřejných budov ve vysokém energetickém standardu přispěje k jejich většímu rozšíření a propagaci především v rámci státní správy a veřejné samosprávy.</w:t>
      </w:r>
    </w:p>
    <w:p w:rsidR="00BB4AAA" w:rsidRPr="00721E05" w:rsidRDefault="00BB4AAA" w:rsidP="00721E05">
      <w:pPr>
        <w:autoSpaceDE w:val="0"/>
        <w:autoSpaceDN w:val="0"/>
        <w:adjustRightInd w:val="0"/>
        <w:spacing w:after="0" w:line="240" w:lineRule="auto"/>
        <w:jc w:val="both"/>
      </w:pPr>
    </w:p>
    <w:p w:rsidR="00721E05" w:rsidRDefault="00721E05" w:rsidP="00721E05">
      <w:pPr>
        <w:autoSpaceDE w:val="0"/>
        <w:autoSpaceDN w:val="0"/>
        <w:adjustRightInd w:val="0"/>
        <w:spacing w:after="0" w:line="240" w:lineRule="auto"/>
        <w:jc w:val="both"/>
      </w:pPr>
      <w:r w:rsidRPr="00721E05">
        <w:t xml:space="preserve">Dopady na energetické úspory, množství vypuštěných emisí a/nebo úroveň znečištění ovzduší budou vycházet z nezávislých auditů v souladu se Směrnicí o energetické náročnosti budov, ukazujících skutečnou roční spotřebu energie na m² a na porovnání těchto výsledků s průměrnou roční spotřebou budov v referenční třídě C, s přihlédnutím k energetickému mixu vytápění budov v České republice. </w:t>
      </w:r>
    </w:p>
    <w:p w:rsidR="00BB4AAA" w:rsidRPr="00721E05" w:rsidRDefault="00BB4AAA" w:rsidP="00721E05">
      <w:pPr>
        <w:autoSpaceDE w:val="0"/>
        <w:autoSpaceDN w:val="0"/>
        <w:adjustRightInd w:val="0"/>
        <w:spacing w:after="0" w:line="240" w:lineRule="auto"/>
        <w:jc w:val="both"/>
      </w:pPr>
    </w:p>
    <w:p w:rsidR="00721E05" w:rsidRDefault="00CD5B63" w:rsidP="00EA12D1">
      <w:pPr>
        <w:jc w:val="both"/>
      </w:pPr>
      <w:r w:rsidRPr="00CD5B63">
        <w:t xml:space="preserve">Pro </w:t>
      </w:r>
      <w:r w:rsidR="00721E05">
        <w:t>specifický cíl výzvy</w:t>
      </w:r>
      <w:r w:rsidRPr="00CD5B63">
        <w:t xml:space="preserve"> 5.2 je relevantní </w:t>
      </w:r>
      <w:r w:rsidRPr="004C5849">
        <w:t>pouze jeden přínos</w:t>
      </w:r>
      <w:r w:rsidRPr="00CD5B63">
        <w:t xml:space="preserve"> - úspora energií (1311 snížení spotřeby energie pro období 2020-2029). Přínos je v tom, že nižší energetická náročnost budovy v pasivním standardu než budovy v běžném standardu vyžaduje výrobu/spotřebu menšího množství energie a tudíž i adekvátně menšího množství emisí při její výrobě.</w:t>
      </w:r>
    </w:p>
    <w:p w:rsidR="00E069B0" w:rsidRPr="004C5849" w:rsidRDefault="00E069B0" w:rsidP="00EA12D1">
      <w:pPr>
        <w:jc w:val="both"/>
      </w:pPr>
      <w:r w:rsidRPr="004C5849">
        <w:t xml:space="preserve">Pro analýzu CBA bylo použito srovnání energetické náročnosti stávajících prostor ambulancí </w:t>
      </w:r>
      <w:proofErr w:type="spellStart"/>
      <w:r w:rsidRPr="004C5849">
        <w:t>Hematoonkologické</w:t>
      </w:r>
      <w:proofErr w:type="spellEnd"/>
      <w:r w:rsidRPr="004C5849">
        <w:t xml:space="preserve"> kliniky (budova „K“) v přepočtu na podlahovou plochu shodnou s nově vystavěnou budovou.</w:t>
      </w:r>
    </w:p>
    <w:p w:rsidR="00AD3A36" w:rsidRDefault="00AD3A36" w:rsidP="00AD3A36">
      <w:pPr>
        <w:jc w:val="both"/>
      </w:pPr>
      <w:r w:rsidRPr="00CD5B63">
        <w:t xml:space="preserve">Finanční vyjádření přínosu je 260 Kč za uspořený GJ ročně. Celkový socioekonomický přínos je ve finančním vyjádření cca </w:t>
      </w:r>
      <w:r>
        <w:t>343</w:t>
      </w:r>
      <w:r w:rsidRPr="00CD5B63">
        <w:t xml:space="preserve"> tis. Kč ročně. Pokud by stavba byla ve standardním provedení (tzv. referenční budova), byly by výdaje spojené s provozem (zejména energie) vyšší, než jaké budou při výstavbě budovy v pasivním standardu. Dle zpracovaného energetického posudku jsou energetické potřeby referenční budovy</w:t>
      </w:r>
      <w:r>
        <w:t xml:space="preserve"> (objekt K), po přepočtu na shodnou celkovou energeticky vztažnou </w:t>
      </w:r>
      <w:r>
        <w:lastRenderedPageBreak/>
        <w:t>plochu,</w:t>
      </w:r>
      <w:r w:rsidRPr="00CD5B63">
        <w:t xml:space="preserve"> v </w:t>
      </w:r>
      <w:r>
        <w:t>objemu</w:t>
      </w:r>
      <w:r w:rsidRPr="00CD5B63">
        <w:t xml:space="preserve"> </w:t>
      </w:r>
      <w:r>
        <w:t>1806</w:t>
      </w:r>
      <w:r w:rsidRPr="00CD5B63">
        <w:t xml:space="preserve"> GJ ročně. Budova v pasivním standardu má</w:t>
      </w:r>
      <w:r>
        <w:t>, dle energetického posudku,</w:t>
      </w:r>
      <w:r w:rsidRPr="00CD5B63">
        <w:t xml:space="preserve"> přibližně </w:t>
      </w:r>
      <w:r>
        <w:t>27%</w:t>
      </w:r>
      <w:r w:rsidRPr="00CD5B63">
        <w:t xml:space="preserve"> náročnost, konkrétně </w:t>
      </w:r>
      <w:r>
        <w:t>485</w:t>
      </w:r>
      <w:r w:rsidRPr="00CD5B63">
        <w:t xml:space="preserve"> GJ ročně</w:t>
      </w:r>
      <w:r>
        <w:t>.</w:t>
      </w:r>
      <w:r w:rsidRPr="00CD5B63">
        <w:t xml:space="preserve"> </w:t>
      </w:r>
      <w:r>
        <w:t>Ú</w:t>
      </w:r>
      <w:r w:rsidRPr="00CD5B63">
        <w:t xml:space="preserve">spora je tedy </w:t>
      </w:r>
      <w:r>
        <w:t>1321</w:t>
      </w:r>
      <w:r w:rsidRPr="00CD5B63">
        <w:t xml:space="preserve"> GJ. CBA zpracovaná výše uvedeným způsobem nedokáže posoudit a vyhodnotit pozitivní dopady výstavby zdravotnického zařízení. To samo o sobě vyžaduje ve stavebních konstrukcích a dispozicích výrazně jiné potřeby, než běžná budova např. kancelářského charakteru. I z tohoto důvodu relativně vysoké investiční náklady není možné v CBA vykompenzovat jak přímými finančními dopady, tak také socioekonomickými. </w:t>
      </w:r>
    </w:p>
    <w:p w:rsidR="00D157AC" w:rsidRDefault="00D157AC" w:rsidP="00D157AC">
      <w:pPr>
        <w:jc w:val="both"/>
      </w:pPr>
      <w:r w:rsidRPr="004C5849">
        <w:t xml:space="preserve">Do </w:t>
      </w:r>
      <w:proofErr w:type="spellStart"/>
      <w:r w:rsidRPr="004C5849">
        <w:t>socio</w:t>
      </w:r>
      <w:proofErr w:type="spellEnd"/>
      <w:r w:rsidRPr="004C5849">
        <w:t>-ekonomické analýzy byly použity i dopady projektu v podobě snížení emise znečišťujících látek</w:t>
      </w:r>
      <w:r>
        <w:t xml:space="preserve">  SO2, </w:t>
      </w:r>
      <w:proofErr w:type="spellStart"/>
      <w:r>
        <w:t>NO</w:t>
      </w:r>
      <w:r w:rsidRPr="004C5849">
        <w:t>x</w:t>
      </w:r>
      <w:proofErr w:type="spellEnd"/>
      <w:r w:rsidRPr="004C5849">
        <w:t xml:space="preserve">, TZL a CO2. Společnost </w:t>
      </w:r>
      <w:proofErr w:type="spellStart"/>
      <w:r w:rsidRPr="004C5849">
        <w:t>Veolia</w:t>
      </w:r>
      <w:proofErr w:type="spellEnd"/>
      <w:r w:rsidRPr="004C5849">
        <w:t xml:space="preserve"> Energie ČR, a.s. poskytla hodnoty emisí </w:t>
      </w:r>
      <w:r>
        <w:t>za naše oba zdroje TOL+ŠVOL za rok 2018, které nejsou zahrnuty do výzvy 5.2 a jsou obsahem výzvy 5.1.</w:t>
      </w:r>
    </w:p>
    <w:p w:rsidR="00D157AC" w:rsidRPr="004C5849" w:rsidRDefault="00D157AC" w:rsidP="00D157AC">
      <w:pPr>
        <w:jc w:val="both"/>
      </w:pP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94"/>
        <w:gridCol w:w="716"/>
        <w:gridCol w:w="537"/>
        <w:gridCol w:w="723"/>
        <w:gridCol w:w="570"/>
        <w:gridCol w:w="920"/>
        <w:gridCol w:w="960"/>
        <w:gridCol w:w="960"/>
        <w:gridCol w:w="960"/>
        <w:gridCol w:w="960"/>
      </w:tblGrid>
      <w:tr w:rsidR="00D157AC" w:rsidTr="003E69B4">
        <w:trPr>
          <w:trHeight w:val="499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57AC" w:rsidRDefault="00D157AC" w:rsidP="003E69B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Skutečnost 2018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Qvyr</w:t>
            </w:r>
            <w:proofErr w:type="spellEnd"/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SO2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NOx</w:t>
            </w:r>
            <w:proofErr w:type="spellEnd"/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TZL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SO2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NOx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TZL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CO2</w:t>
            </w:r>
          </w:p>
        </w:tc>
      </w:tr>
      <w:tr w:rsidR="00D157AC" w:rsidTr="003E69B4">
        <w:trPr>
          <w:trHeight w:val="499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7AC" w:rsidRDefault="00D157AC" w:rsidP="003E69B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jednotka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TJ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t/TJ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t/TJ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t/TJ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t/TJ</w:t>
            </w:r>
          </w:p>
        </w:tc>
      </w:tr>
      <w:tr w:rsidR="00D157AC" w:rsidTr="003E69B4">
        <w:trPr>
          <w:trHeight w:val="499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57AC" w:rsidRDefault="00D157AC" w:rsidP="003E69B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TOL+ŠVOL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3 099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585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317,4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19,7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313 289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157AC" w:rsidRDefault="00D157AC" w:rsidP="003E69B4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101,1</w:t>
            </w:r>
          </w:p>
        </w:tc>
      </w:tr>
    </w:tbl>
    <w:p w:rsidR="00721E05" w:rsidRDefault="00721E05" w:rsidP="00EA12D1">
      <w:pPr>
        <w:jc w:val="both"/>
      </w:pPr>
    </w:p>
    <w:p w:rsidR="00B170B8" w:rsidRDefault="00CD5B63" w:rsidP="00EA12D1">
      <w:pPr>
        <w:jc w:val="both"/>
      </w:pPr>
      <w:r w:rsidRPr="00CD5B63">
        <w:t xml:space="preserve">Z těchto </w:t>
      </w:r>
      <w:r w:rsidR="00D157AC">
        <w:t xml:space="preserve">všech výše uvedených </w:t>
      </w:r>
      <w:r w:rsidRPr="00CD5B63">
        <w:t>důvodů jsou výsledné hodnoty ukazatelů ekonomické analýzy záporné.</w:t>
      </w:r>
    </w:p>
    <w:p w:rsidR="00E17543" w:rsidRDefault="00E17543" w:rsidP="00EA12D1">
      <w:pPr>
        <w:jc w:val="both"/>
      </w:pPr>
    </w:p>
    <w:p w:rsidR="00ED6D83" w:rsidRDefault="00E17543" w:rsidP="00EA12D1">
      <w:pPr>
        <w:jc w:val="both"/>
      </w:pPr>
      <w:r>
        <w:t>Zpracoval: Ing. Vladimír Olejníček</w:t>
      </w:r>
      <w:r w:rsidR="00ED6D83">
        <w:t xml:space="preserve">, </w:t>
      </w:r>
    </w:p>
    <w:p w:rsidR="00E17543" w:rsidRDefault="00ED6D83" w:rsidP="00EA12D1">
      <w:pPr>
        <w:jc w:val="both"/>
      </w:pPr>
      <w:r>
        <w:t xml:space="preserve">                    vedoucí Útvaru </w:t>
      </w:r>
      <w:proofErr w:type="spellStart"/>
      <w:r>
        <w:t>hospodářsko</w:t>
      </w:r>
      <w:proofErr w:type="spellEnd"/>
      <w:r>
        <w:t xml:space="preserve"> - technické zprávy Fakultní nemocnice Olomouc</w:t>
      </w:r>
    </w:p>
    <w:p w:rsidR="00ED6D83" w:rsidRDefault="00ED6D83" w:rsidP="00EA12D1">
      <w:pPr>
        <w:jc w:val="both"/>
      </w:pPr>
      <w:r>
        <w:t>Dne 11. 2. 2019</w:t>
      </w:r>
    </w:p>
    <w:p w:rsidR="00ED6D83" w:rsidRDefault="00ED6D83" w:rsidP="00ED6D83">
      <w:pPr>
        <w:jc w:val="both"/>
      </w:pPr>
      <w:proofErr w:type="gramStart"/>
      <w:r>
        <w:t>Příloha :</w:t>
      </w:r>
      <w:proofErr w:type="gramEnd"/>
    </w:p>
    <w:p w:rsidR="00ED6D83" w:rsidRDefault="00ED6D83" w:rsidP="00ED6D83">
      <w:pPr>
        <w:jc w:val="both"/>
      </w:pPr>
      <w:r>
        <w:t>PENB pro budovu K</w:t>
      </w:r>
    </w:p>
    <w:p w:rsidR="00ED6D83" w:rsidRDefault="00ED6D83" w:rsidP="00EA12D1">
      <w:pPr>
        <w:jc w:val="both"/>
      </w:pPr>
    </w:p>
    <w:sectPr w:rsidR="00ED6D83" w:rsidSect="0081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6A2C"/>
    <w:multiLevelType w:val="hybridMultilevel"/>
    <w:tmpl w:val="BE263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D6FC8"/>
    <w:multiLevelType w:val="hybridMultilevel"/>
    <w:tmpl w:val="307E9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5B63"/>
    <w:rsid w:val="00366BE1"/>
    <w:rsid w:val="004C5849"/>
    <w:rsid w:val="004D44BE"/>
    <w:rsid w:val="00540AF9"/>
    <w:rsid w:val="00721E05"/>
    <w:rsid w:val="00815384"/>
    <w:rsid w:val="009440A6"/>
    <w:rsid w:val="00AD3A36"/>
    <w:rsid w:val="00B170B8"/>
    <w:rsid w:val="00BB4AAA"/>
    <w:rsid w:val="00C77F9A"/>
    <w:rsid w:val="00CD5B63"/>
    <w:rsid w:val="00D157AC"/>
    <w:rsid w:val="00D27130"/>
    <w:rsid w:val="00E069B0"/>
    <w:rsid w:val="00E17543"/>
    <w:rsid w:val="00E87E6B"/>
    <w:rsid w:val="00EA12D1"/>
    <w:rsid w:val="00ED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3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E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474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Vlčková Renáta, Ing.</dc:creator>
  <cp:lastModifiedBy>62521</cp:lastModifiedBy>
  <cp:revision>7</cp:revision>
  <cp:lastPrinted>2019-02-11T14:35:00Z</cp:lastPrinted>
  <dcterms:created xsi:type="dcterms:W3CDTF">2019-02-11T11:11:00Z</dcterms:created>
  <dcterms:modified xsi:type="dcterms:W3CDTF">2019-02-11T14:35:00Z</dcterms:modified>
</cp:coreProperties>
</file>