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80" w:rsidRDefault="009F6C80" w:rsidP="009845C6">
      <w:pPr>
        <w:pStyle w:val="Obsah1"/>
      </w:pPr>
      <w:bookmarkStart w:id="0" w:name="_Toc138056426"/>
      <w:bookmarkStart w:id="1" w:name="_Toc145742869"/>
    </w:p>
    <w:p w:rsidR="00E07AE6" w:rsidRDefault="00E07AE6" w:rsidP="00E07AE6"/>
    <w:p w:rsidR="00E07AE6" w:rsidRDefault="00E07AE6" w:rsidP="00E07AE6"/>
    <w:p w:rsidR="00E07AE6" w:rsidRDefault="00E07AE6" w:rsidP="00E07AE6"/>
    <w:p w:rsidR="00E07AE6" w:rsidRDefault="00E07AE6" w:rsidP="00E07AE6"/>
    <w:p w:rsidR="00E07AE6" w:rsidRDefault="00E07AE6" w:rsidP="00E07AE6"/>
    <w:p w:rsidR="00E07AE6" w:rsidRDefault="00E07AE6" w:rsidP="00E07AE6"/>
    <w:p w:rsidR="00E07AE6" w:rsidRDefault="00E07AE6" w:rsidP="00E07AE6"/>
    <w:p w:rsidR="00E07AE6" w:rsidRDefault="00E07AE6" w:rsidP="00E07AE6"/>
    <w:p w:rsidR="00E07AE6" w:rsidRPr="00E07AE6" w:rsidRDefault="00E07AE6" w:rsidP="00E07AE6"/>
    <w:p w:rsidR="00B25EB7" w:rsidRPr="00C071E2" w:rsidRDefault="00B25EB7" w:rsidP="00C071E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25EB7" w:rsidRPr="00C071E2" w:rsidRDefault="00B25EB7" w:rsidP="00C071E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25EB7" w:rsidRPr="00C071E2" w:rsidRDefault="00B25EB7" w:rsidP="00C071E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B2726" w:rsidRPr="00C2034C" w:rsidRDefault="00AB2726" w:rsidP="00AB272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B2726" w:rsidRDefault="00AB2726" w:rsidP="00AB272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FN Olomouc – Přístavba objektu „P“ pro ambulance a stacionář HOK</w:t>
      </w:r>
    </w:p>
    <w:p w:rsidR="00AB2726" w:rsidRPr="00C2034C" w:rsidRDefault="00AB2726" w:rsidP="00AB2726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B2726" w:rsidRDefault="00AB2726" w:rsidP="00AB272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Technická zpráva</w:t>
      </w:r>
    </w:p>
    <w:p w:rsidR="00AB2726" w:rsidRPr="00B25EB7" w:rsidRDefault="00AB2726" w:rsidP="00AB2726">
      <w:pPr>
        <w:jc w:val="center"/>
        <w:rPr>
          <w:b/>
          <w:sz w:val="40"/>
          <w:szCs w:val="40"/>
          <w:u w:val="single"/>
        </w:rPr>
      </w:pPr>
    </w:p>
    <w:p w:rsidR="00AB2726" w:rsidRDefault="00AB2726" w:rsidP="00AB2726">
      <w:pPr>
        <w:jc w:val="both"/>
      </w:pPr>
    </w:p>
    <w:p w:rsidR="00B25EB7" w:rsidRPr="00C071E2" w:rsidRDefault="00AB2726" w:rsidP="00AB2726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b/>
          <w:sz w:val="40"/>
          <w:szCs w:val="40"/>
          <w:u w:val="single"/>
        </w:rPr>
        <w:t>D.2.5 Přípojky a přeložky slaboproudých kabelů</w:t>
      </w:r>
    </w:p>
    <w:p w:rsidR="00B25EB7" w:rsidRPr="00C071E2" w:rsidRDefault="00B25EB7" w:rsidP="00C071E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B25EB7" w:rsidRPr="00C071E2" w:rsidRDefault="00B25EB7" w:rsidP="00C071E2">
      <w:pPr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0E2675" w:rsidRDefault="000E2675" w:rsidP="00E07AE6">
      <w:pPr>
        <w:jc w:val="center"/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rPr>
          <w:rFonts w:ascii="Arial Black" w:hAnsi="Arial Black"/>
        </w:rPr>
      </w:pPr>
    </w:p>
    <w:p w:rsidR="000E2675" w:rsidRPr="000E2675" w:rsidRDefault="000E2675" w:rsidP="000E2675">
      <w:pPr>
        <w:tabs>
          <w:tab w:val="left" w:pos="3697"/>
        </w:tabs>
        <w:rPr>
          <w:rFonts w:ascii="Arial Black" w:hAnsi="Arial Black"/>
        </w:rPr>
      </w:pPr>
      <w:r>
        <w:rPr>
          <w:rFonts w:ascii="Arial Black" w:hAnsi="Arial Black"/>
        </w:rPr>
        <w:tab/>
      </w:r>
    </w:p>
    <w:p w:rsidR="00E07AE6" w:rsidRPr="000E2675" w:rsidRDefault="00E07AE6" w:rsidP="000E2675">
      <w:pPr>
        <w:tabs>
          <w:tab w:val="left" w:pos="3697"/>
        </w:tabs>
        <w:rPr>
          <w:rFonts w:ascii="Arial Black" w:hAnsi="Arial Black"/>
        </w:rPr>
        <w:sectPr w:rsidR="00E07AE6" w:rsidRPr="000E2675" w:rsidSect="00554A8E">
          <w:headerReference w:type="default" r:id="rId8"/>
          <w:footerReference w:type="default" r:id="rId9"/>
          <w:pgSz w:w="11906" w:h="16838"/>
          <w:pgMar w:top="1417" w:right="1417" w:bottom="1417" w:left="1417" w:header="1134" w:footer="2098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cs-CZ"/>
        </w:rPr>
        <w:id w:val="-1948168954"/>
        <w:docPartObj>
          <w:docPartGallery w:val="Table of Contents"/>
          <w:docPartUnique/>
        </w:docPartObj>
      </w:sdtPr>
      <w:sdtEndPr/>
      <w:sdtContent>
        <w:p w:rsidR="00A41C36" w:rsidRDefault="00A41C36">
          <w:pPr>
            <w:pStyle w:val="Nadpisobsahu"/>
            <w:rPr>
              <w:rFonts w:ascii="Arial" w:hAnsi="Arial" w:cs="Arial"/>
              <w:color w:val="auto"/>
            </w:rPr>
          </w:pPr>
          <w:r w:rsidRPr="00AA4E63">
            <w:rPr>
              <w:rFonts w:ascii="Arial" w:hAnsi="Arial" w:cs="Arial"/>
              <w:color w:val="auto"/>
            </w:rPr>
            <w:t>Obsah</w:t>
          </w:r>
        </w:p>
        <w:p w:rsidR="00ED0401" w:rsidRDefault="00ED0401" w:rsidP="00ED0401">
          <w:pPr>
            <w:rPr>
              <w:lang w:eastAsia="en-US"/>
            </w:rPr>
          </w:pPr>
        </w:p>
        <w:p w:rsidR="00ED0401" w:rsidRPr="00ED0401" w:rsidRDefault="00ED0401" w:rsidP="00ED0401">
          <w:pPr>
            <w:rPr>
              <w:lang w:eastAsia="en-US"/>
            </w:rPr>
          </w:pPr>
        </w:p>
        <w:p w:rsidR="00AA4E63" w:rsidRPr="00AA4E63" w:rsidRDefault="00AA4E63" w:rsidP="00AA4E63">
          <w:pPr>
            <w:rPr>
              <w:lang w:eastAsia="en-US"/>
            </w:rPr>
          </w:pPr>
        </w:p>
        <w:p w:rsidR="005415DB" w:rsidRDefault="007A55C7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r>
            <w:rPr>
              <w:sz w:val="28"/>
            </w:rPr>
            <w:fldChar w:fldCharType="begin"/>
          </w:r>
          <w:r w:rsidR="00A41C36">
            <w:instrText xml:space="preserve"> TOC \o "1-3" \h \z \u </w:instrText>
          </w:r>
          <w:r>
            <w:rPr>
              <w:sz w:val="28"/>
            </w:rPr>
            <w:fldChar w:fldCharType="separate"/>
          </w:r>
          <w:hyperlink w:anchor="_Toc497743841" w:history="1">
            <w:r w:rsidR="005415DB" w:rsidRPr="00FA300F">
              <w:rPr>
                <w:rStyle w:val="Hypertextovodkaz"/>
              </w:rPr>
              <w:t>1.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IDENTIFIKAČNÍ ÚDAJE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_Toc497743841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3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42" w:history="1">
            <w:r w:rsidR="005415DB" w:rsidRPr="00FA300F">
              <w:rPr>
                <w:rStyle w:val="Hypertextovodkaz"/>
              </w:rPr>
              <w:t>1.1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Stavebník (investor)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_Toc497743842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3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43" w:history="1">
            <w:r w:rsidR="005415DB" w:rsidRPr="00FA300F">
              <w:rPr>
                <w:rStyle w:val="Hypertextovodkaz"/>
              </w:rPr>
              <w:t>1.2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Objednatel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_Toc497743843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3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44" w:history="1">
            <w:r w:rsidR="005415DB" w:rsidRPr="00FA300F">
              <w:rPr>
                <w:rStyle w:val="Hypertextovodkaz"/>
              </w:rPr>
              <w:t>1.3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Zpracovatel projektové dokumentace (projektant)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_Toc497743844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3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45" w:history="1">
            <w:r w:rsidR="005415DB" w:rsidRPr="00FA300F">
              <w:rPr>
                <w:rStyle w:val="Hypertextovodkaz"/>
              </w:rPr>
              <w:t>1.4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Základní údaje o stavbě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_Toc497743845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3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46" w:history="1">
            <w:r w:rsidR="005415DB" w:rsidRPr="00FA300F">
              <w:rPr>
                <w:rStyle w:val="Hypertextovodkaz"/>
              </w:rPr>
              <w:t>2.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ÚVOD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_Toc497743846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4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47" w:history="1">
            <w:r w:rsidR="005415DB" w:rsidRPr="00FA300F">
              <w:rPr>
                <w:rStyle w:val="Hypertextovodkaz"/>
              </w:rPr>
              <w:t>3.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PODKLADY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_Toc497743847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4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48" w:history="1">
            <w:r w:rsidR="005415DB" w:rsidRPr="00FA300F">
              <w:rPr>
                <w:rStyle w:val="Hypertextovodkaz"/>
              </w:rPr>
              <w:t>4.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ZÁKLADNÍ ÚDAJE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_Toc497743848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4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49" w:history="1">
            <w:r w:rsidR="005415DB" w:rsidRPr="00FA300F">
              <w:rPr>
                <w:rStyle w:val="Hypertextovodkaz"/>
              </w:rPr>
              <w:t>5.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VENKOVNÍ ROZVODY SLP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_Toc497743849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5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50" w:history="1">
            <w:r w:rsidR="005415DB" w:rsidRPr="00FA300F">
              <w:rPr>
                <w:rStyle w:val="Hypertextovodkaz"/>
              </w:rPr>
              <w:t>6.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VNITŘNÍ A VENKOVNÍ ROZVODY A JEJICH ULOŽENÍ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_Toc497743850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6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51" w:history="1">
            <w:r w:rsidR="005415DB" w:rsidRPr="00FA300F">
              <w:rPr>
                <w:rStyle w:val="Hypertextovodkaz"/>
              </w:rPr>
              <w:t>7.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OCHRANA ŽIVOTNÍHO PROSTŘEDÍ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_Toc497743851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8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52" w:history="1">
            <w:r w:rsidR="005415DB" w:rsidRPr="00FA300F">
              <w:rPr>
                <w:rStyle w:val="Hypertextovodkaz"/>
              </w:rPr>
              <w:t>8.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TECHNICKÉ A OSTATNÍ PODMÍNKY PROVEDENÍ PRACÍ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_Toc497743852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8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53" w:history="1">
            <w:r w:rsidR="005415DB" w:rsidRPr="00FA300F">
              <w:rPr>
                <w:rStyle w:val="Hypertextovodkaz"/>
              </w:rPr>
              <w:t>8.1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Technické podmínky pro provedení prací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_Toc497743853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8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54" w:history="1">
            <w:r w:rsidR="005415DB" w:rsidRPr="00FA300F">
              <w:rPr>
                <w:rStyle w:val="Hypertextovodkaz"/>
              </w:rPr>
              <w:t>8.2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Měření, revize a zkoušky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_Toc497743854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9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55" w:history="1">
            <w:r w:rsidR="005415DB" w:rsidRPr="00FA300F">
              <w:rPr>
                <w:rStyle w:val="Hypertextovodkaz"/>
              </w:rPr>
              <w:t>8.3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Podmínky dodržení BOZP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_Toc497743855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9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2"/>
            <w:rPr>
              <w:rFonts w:asciiTheme="minorHAnsi" w:eastAsiaTheme="minorEastAsia" w:hAnsiTheme="minorHAnsi" w:cstheme="minorBidi"/>
              <w:smallCaps w:val="0"/>
              <w:sz w:val="22"/>
              <w:szCs w:val="22"/>
            </w:rPr>
          </w:pPr>
          <w:hyperlink w:anchor="_Toc497743856" w:history="1">
            <w:r w:rsidR="005415DB" w:rsidRPr="00FA300F">
              <w:rPr>
                <w:rStyle w:val="Hypertextovodkaz"/>
              </w:rPr>
              <w:t>8.4</w:t>
            </w:r>
            <w:r w:rsidR="005415DB">
              <w:rPr>
                <w:rFonts w:asciiTheme="minorHAnsi" w:eastAsiaTheme="minorEastAsia" w:hAnsiTheme="minorHAnsi" w:cstheme="minorBidi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Kvalifikační požadavky na realizátora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_Toc497743856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9</w:t>
            </w:r>
            <w:r w:rsidR="005415DB">
              <w:rPr>
                <w:webHidden/>
              </w:rPr>
              <w:fldChar w:fldCharType="end"/>
            </w:r>
          </w:hyperlink>
        </w:p>
        <w:p w:rsidR="005415DB" w:rsidRDefault="00930EED">
          <w:pPr>
            <w:pStyle w:val="Obsah1"/>
            <w:rPr>
              <w:rFonts w:asciiTheme="minorHAnsi" w:eastAsiaTheme="minorEastAsia" w:hAnsiTheme="minorHAnsi" w:cstheme="minorBidi"/>
              <w:b w:val="0"/>
              <w:smallCaps w:val="0"/>
              <w:sz w:val="22"/>
              <w:szCs w:val="22"/>
            </w:rPr>
          </w:pPr>
          <w:hyperlink w:anchor="_Toc497743857" w:history="1">
            <w:r w:rsidR="005415DB" w:rsidRPr="00FA300F">
              <w:rPr>
                <w:rStyle w:val="Hypertextovodkaz"/>
              </w:rPr>
              <w:t>9.</w:t>
            </w:r>
            <w:r w:rsidR="005415DB">
              <w:rPr>
                <w:rFonts w:asciiTheme="minorHAnsi" w:eastAsiaTheme="minorEastAsia" w:hAnsiTheme="minorHAnsi" w:cstheme="minorBidi"/>
                <w:b w:val="0"/>
                <w:smallCaps w:val="0"/>
                <w:sz w:val="22"/>
                <w:szCs w:val="22"/>
              </w:rPr>
              <w:tab/>
            </w:r>
            <w:r w:rsidR="005415DB" w:rsidRPr="00FA300F">
              <w:rPr>
                <w:rStyle w:val="Hypertextovodkaz"/>
              </w:rPr>
              <w:t>ZÁVĚR</w:t>
            </w:r>
            <w:r w:rsidR="005415DB">
              <w:rPr>
                <w:webHidden/>
              </w:rPr>
              <w:tab/>
            </w:r>
            <w:r w:rsidR="005415DB">
              <w:rPr>
                <w:webHidden/>
              </w:rPr>
              <w:fldChar w:fldCharType="begin"/>
            </w:r>
            <w:r w:rsidR="005415DB">
              <w:rPr>
                <w:webHidden/>
              </w:rPr>
              <w:instrText xml:space="preserve"> PAGEREF _Toc497743857 \h </w:instrText>
            </w:r>
            <w:r w:rsidR="005415DB">
              <w:rPr>
                <w:webHidden/>
              </w:rPr>
            </w:r>
            <w:r w:rsidR="005415DB">
              <w:rPr>
                <w:webHidden/>
              </w:rPr>
              <w:fldChar w:fldCharType="separate"/>
            </w:r>
            <w:r w:rsidR="006558A2">
              <w:rPr>
                <w:webHidden/>
              </w:rPr>
              <w:t>9</w:t>
            </w:r>
            <w:r w:rsidR="005415DB">
              <w:rPr>
                <w:webHidden/>
              </w:rPr>
              <w:fldChar w:fldCharType="end"/>
            </w:r>
          </w:hyperlink>
        </w:p>
        <w:p w:rsidR="00A41C36" w:rsidRDefault="007A55C7">
          <w:r>
            <w:fldChar w:fldCharType="end"/>
          </w:r>
        </w:p>
      </w:sdtContent>
    </w:sdt>
    <w:p w:rsidR="00A41C36" w:rsidRDefault="00A41C36" w:rsidP="009845C6">
      <w:pPr>
        <w:pStyle w:val="Obsah1"/>
      </w:pPr>
    </w:p>
    <w:p w:rsidR="00056409" w:rsidRDefault="00056409" w:rsidP="009845C6">
      <w:pPr>
        <w:pStyle w:val="Obsah1"/>
      </w:pPr>
    </w:p>
    <w:p w:rsidR="00773F16" w:rsidRDefault="00773F16" w:rsidP="00773F16"/>
    <w:p w:rsidR="00773F16" w:rsidRDefault="00773F16" w:rsidP="00773F16"/>
    <w:p w:rsidR="00773F16" w:rsidRPr="00773F16" w:rsidRDefault="00773F16" w:rsidP="00773F16"/>
    <w:p w:rsidR="00056409" w:rsidRDefault="00056409" w:rsidP="009845C6">
      <w:pPr>
        <w:pStyle w:val="Obsah1"/>
      </w:pPr>
    </w:p>
    <w:p w:rsidR="00056409" w:rsidRDefault="00056409" w:rsidP="009845C6">
      <w:pPr>
        <w:pStyle w:val="Obsah1"/>
      </w:pPr>
    </w:p>
    <w:p w:rsidR="00056409" w:rsidRDefault="00056409" w:rsidP="009845C6">
      <w:pPr>
        <w:pStyle w:val="Obsah1"/>
      </w:pPr>
    </w:p>
    <w:p w:rsidR="00056409" w:rsidRDefault="00056409" w:rsidP="009845C6">
      <w:pPr>
        <w:pStyle w:val="Obsah1"/>
      </w:pPr>
    </w:p>
    <w:p w:rsidR="00056409" w:rsidRDefault="00056409" w:rsidP="009845C6">
      <w:pPr>
        <w:pStyle w:val="Obsah1"/>
      </w:pPr>
    </w:p>
    <w:p w:rsidR="00F26CED" w:rsidRDefault="00F26CED" w:rsidP="00F26CED"/>
    <w:p w:rsidR="00F26CED" w:rsidRDefault="00F26CED" w:rsidP="00F26CED"/>
    <w:p w:rsidR="00F26CED" w:rsidRDefault="00F26CED" w:rsidP="00F26CED"/>
    <w:p w:rsidR="00F26CED" w:rsidRDefault="00F26CED" w:rsidP="00F26CED"/>
    <w:p w:rsidR="001739F0" w:rsidRDefault="001739F0" w:rsidP="00F26CED"/>
    <w:p w:rsidR="001739F0" w:rsidRDefault="001739F0" w:rsidP="00F26CED"/>
    <w:p w:rsidR="001739F0" w:rsidRDefault="001739F0" w:rsidP="00F26CED"/>
    <w:p w:rsidR="001739F0" w:rsidRDefault="001739F0" w:rsidP="00F26CED"/>
    <w:p w:rsidR="001739F0" w:rsidRDefault="001739F0" w:rsidP="00F26CED"/>
    <w:p w:rsidR="001739F0" w:rsidRDefault="001739F0" w:rsidP="00F26CED"/>
    <w:p w:rsidR="001739F0" w:rsidRDefault="001739F0" w:rsidP="00F26CED"/>
    <w:p w:rsidR="001739F0" w:rsidRDefault="001739F0" w:rsidP="00F26CED"/>
    <w:p w:rsidR="00F26CED" w:rsidRDefault="00F26CED" w:rsidP="00F26CED"/>
    <w:p w:rsidR="00F26CED" w:rsidRDefault="00F26CED" w:rsidP="00F26CED"/>
    <w:p w:rsidR="00F26CED" w:rsidRDefault="00F26CED" w:rsidP="00F26CED"/>
    <w:p w:rsidR="00F26CED" w:rsidRDefault="00F26CED" w:rsidP="00F26CED"/>
    <w:bookmarkEnd w:id="0"/>
    <w:bookmarkEnd w:id="1"/>
    <w:p w:rsidR="00181044" w:rsidRDefault="00181044" w:rsidP="00181044"/>
    <w:p w:rsidR="00181044" w:rsidRDefault="00181044" w:rsidP="00181044"/>
    <w:p w:rsidR="00AB2726" w:rsidRPr="00C2034C" w:rsidRDefault="00AB2726" w:rsidP="00AB2726">
      <w:pPr>
        <w:pStyle w:val="Nadpis1"/>
      </w:pPr>
      <w:bookmarkStart w:id="2" w:name="_Toc238454543"/>
      <w:bookmarkStart w:id="3" w:name="_Toc238540979"/>
      <w:bookmarkStart w:id="4" w:name="_Toc484778842"/>
      <w:bookmarkStart w:id="5" w:name="_Toc497743841"/>
      <w:r w:rsidRPr="00C2034C">
        <w:lastRenderedPageBreak/>
        <w:t>IDENTIFIKAČNÍ ÚDAJE</w:t>
      </w:r>
      <w:bookmarkEnd w:id="2"/>
      <w:bookmarkEnd w:id="3"/>
      <w:bookmarkEnd w:id="4"/>
      <w:bookmarkEnd w:id="5"/>
    </w:p>
    <w:p w:rsidR="00AB2726" w:rsidRPr="00C2034C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rPr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</w:r>
      <w:bookmarkStart w:id="6" w:name="_Toc238529475"/>
      <w:r>
        <w:rPr>
          <w:sz w:val="24"/>
          <w:szCs w:val="24"/>
        </w:rPr>
        <w:t>Identifikační údaje o žadateli a zpracovateli dokumentace, označení stavby</w:t>
      </w: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pStyle w:val="Nadpis2"/>
      </w:pPr>
      <w:bookmarkStart w:id="7" w:name="_Toc484694737"/>
      <w:bookmarkStart w:id="8" w:name="_Toc484778843"/>
      <w:bookmarkStart w:id="9" w:name="_Toc497743842"/>
      <w:r>
        <w:t>Stavebník (investor)</w:t>
      </w:r>
      <w:bookmarkEnd w:id="7"/>
      <w:bookmarkEnd w:id="8"/>
      <w:bookmarkEnd w:id="9"/>
    </w:p>
    <w:p w:rsidR="00AB2726" w:rsidRDefault="00AB2726" w:rsidP="00AB2726"/>
    <w:p w:rsidR="00AB2726" w:rsidRDefault="00AB2726" w:rsidP="00AB2726">
      <w:pPr>
        <w:rPr>
          <w:sz w:val="24"/>
          <w:szCs w:val="24"/>
        </w:rPr>
      </w:pPr>
      <w:r>
        <w:tab/>
      </w:r>
      <w:r>
        <w:rPr>
          <w:sz w:val="24"/>
          <w:szCs w:val="24"/>
        </w:rPr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FN Olomouc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I.P. Pavlova 6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775 20 Olomouc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000 98 892</w:t>
      </w: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pStyle w:val="Nadpis2"/>
      </w:pPr>
      <w:bookmarkStart w:id="10" w:name="_Toc484694738"/>
      <w:bookmarkStart w:id="11" w:name="_Toc484778844"/>
      <w:bookmarkStart w:id="12" w:name="_Toc497743843"/>
      <w:r>
        <w:t>Objednatel</w:t>
      </w:r>
      <w:bookmarkEnd w:id="10"/>
      <w:bookmarkEnd w:id="11"/>
      <w:bookmarkEnd w:id="12"/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Adam Rujbr Architects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Srbská 22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612 00 Brno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269 20 522</w:t>
      </w: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pStyle w:val="Nadpis2"/>
      </w:pPr>
      <w:bookmarkStart w:id="13" w:name="_Toc484694739"/>
      <w:bookmarkStart w:id="14" w:name="_Toc484778845"/>
      <w:bookmarkStart w:id="15" w:name="_Toc497743844"/>
      <w:r>
        <w:t>Zpracovatel projektové dokumentace (projektant)</w:t>
      </w:r>
      <w:bookmarkEnd w:id="13"/>
      <w:bookmarkEnd w:id="14"/>
      <w:bookmarkEnd w:id="15"/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Název: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MERIT GROUP, a.s.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Sídlo: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Březinova 136/7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772 00 Olomouc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646 09 995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Vypracoval: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Michal Svoboda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323D83">
          <w:rPr>
            <w:rStyle w:val="Hypertextovodkaz"/>
            <w:sz w:val="24"/>
            <w:szCs w:val="24"/>
          </w:rPr>
          <w:t>michal.svoboda@merit.cz</w:t>
        </w:r>
      </w:hyperlink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Pr="00AA16C3" w:rsidRDefault="00AB2726" w:rsidP="00AB2726">
      <w:pPr>
        <w:pStyle w:val="Nadpis2"/>
      </w:pPr>
      <w:bookmarkStart w:id="16" w:name="_Toc484694740"/>
      <w:bookmarkStart w:id="17" w:name="_Toc484778846"/>
      <w:bookmarkStart w:id="18" w:name="_Toc497743845"/>
      <w:r>
        <w:t>Základní údaje o stavbě</w:t>
      </w:r>
      <w:bookmarkEnd w:id="16"/>
      <w:bookmarkEnd w:id="17"/>
      <w:bookmarkEnd w:id="18"/>
      <w:r>
        <w:tab/>
      </w: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ind w:left="2832" w:hanging="2127"/>
        <w:rPr>
          <w:sz w:val="24"/>
          <w:szCs w:val="24"/>
        </w:rPr>
      </w:pPr>
      <w:r>
        <w:rPr>
          <w:sz w:val="24"/>
          <w:szCs w:val="24"/>
        </w:rPr>
        <w:t>Název stavby: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FN Olomouc – Přístavba objektu „P“ pro ambulance a stacionář HOK</w:t>
      </w:r>
    </w:p>
    <w:p w:rsidR="00AB2726" w:rsidRDefault="00AB2726" w:rsidP="00AB2726">
      <w:pPr>
        <w:ind w:left="2832" w:hanging="2124"/>
        <w:rPr>
          <w:sz w:val="24"/>
          <w:szCs w:val="24"/>
        </w:rPr>
      </w:pPr>
      <w:r>
        <w:rPr>
          <w:sz w:val="24"/>
          <w:szCs w:val="24"/>
        </w:rPr>
        <w:t>Druh stavby:</w:t>
      </w:r>
      <w:r>
        <w:rPr>
          <w:sz w:val="24"/>
          <w:szCs w:val="24"/>
        </w:rPr>
        <w:tab/>
        <w:t xml:space="preserve">přístavba objektu ve FN Olomouc pro přemístění ambulance a stacionáře HOK 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Místo stavby: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Olomouc</w:t>
      </w:r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  <w:t>Účel stavby: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přístavba zdravotnického objektu </w:t>
      </w:r>
    </w:p>
    <w:p w:rsidR="00AB2726" w:rsidRDefault="00AB2726" w:rsidP="00AB2726">
      <w:pPr>
        <w:rPr>
          <w:b/>
          <w:sz w:val="24"/>
          <w:szCs w:val="24"/>
        </w:rPr>
      </w:pPr>
      <w:r>
        <w:rPr>
          <w:sz w:val="24"/>
          <w:szCs w:val="24"/>
        </w:rPr>
        <w:tab/>
        <w:t>Stupeň dokumentace:</w:t>
      </w:r>
      <w:r>
        <w:rPr>
          <w:sz w:val="24"/>
          <w:szCs w:val="24"/>
        </w:rPr>
        <w:tab/>
      </w:r>
      <w:r w:rsidR="006558A2">
        <w:rPr>
          <w:sz w:val="24"/>
          <w:szCs w:val="24"/>
        </w:rPr>
        <w:t>dokumentace pro provedení stavby</w:t>
      </w:r>
    </w:p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/>
    <w:p w:rsidR="00AB2726" w:rsidRDefault="00AB2726" w:rsidP="00AB2726">
      <w:pPr>
        <w:pStyle w:val="Nadpis1"/>
      </w:pPr>
      <w:bookmarkStart w:id="19" w:name="_Toc484778847"/>
      <w:bookmarkStart w:id="20" w:name="_Toc497743846"/>
      <w:r w:rsidRPr="00C2034C">
        <w:lastRenderedPageBreak/>
        <w:t>ÚVOD</w:t>
      </w:r>
      <w:bookmarkEnd w:id="6"/>
      <w:bookmarkEnd w:id="19"/>
      <w:bookmarkEnd w:id="20"/>
      <w:r w:rsidRPr="00C2034C">
        <w:t xml:space="preserve"> </w:t>
      </w:r>
    </w:p>
    <w:p w:rsidR="00AB2726" w:rsidRPr="00EC0045" w:rsidRDefault="00AB2726" w:rsidP="00AB2726"/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  <w:t xml:space="preserve">Předmětem této technické zprávy je </w:t>
      </w:r>
      <w:r>
        <w:rPr>
          <w:rFonts w:ascii="Arial" w:hAnsi="Arial" w:cs="Arial"/>
          <w:sz w:val="24"/>
          <w:szCs w:val="24"/>
        </w:rPr>
        <w:t>přeložení areálo</w:t>
      </w:r>
      <w:r w:rsidR="003C7B97">
        <w:rPr>
          <w:rFonts w:ascii="Arial" w:hAnsi="Arial" w:cs="Arial"/>
          <w:sz w:val="24"/>
          <w:szCs w:val="24"/>
        </w:rPr>
        <w:t>vých slaboproudých kabelů, které</w:t>
      </w:r>
      <w:r>
        <w:rPr>
          <w:rFonts w:ascii="Arial" w:hAnsi="Arial" w:cs="Arial"/>
          <w:sz w:val="24"/>
          <w:szCs w:val="24"/>
        </w:rPr>
        <w:t xml:space="preserve"> jsou v kolizi s plánovanou přístavbou objektu „P“ a mechanická ochrana dotčených kabelů. V kolizi s přístavbou jsou: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-optické a metalické kabely FN Olomouc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-optické kabely RIO media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-optické kabely MERIT GROUP a.s. 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B2726" w:rsidRPr="00C2034C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Dokumentace je zpracována ve stupni </w:t>
      </w:r>
      <w:r w:rsidR="006558A2">
        <w:rPr>
          <w:rFonts w:ascii="Arial" w:hAnsi="Arial" w:cs="Arial"/>
          <w:sz w:val="24"/>
          <w:szCs w:val="24"/>
        </w:rPr>
        <w:t>dokumentace pro provedení stavby</w:t>
      </w:r>
      <w:bookmarkStart w:id="21" w:name="_GoBack"/>
      <w:bookmarkEnd w:id="21"/>
      <w:r>
        <w:rPr>
          <w:rFonts w:ascii="Arial" w:hAnsi="Arial" w:cs="Arial"/>
          <w:sz w:val="24"/>
          <w:szCs w:val="24"/>
        </w:rPr>
        <w:t>.</w:t>
      </w:r>
    </w:p>
    <w:p w:rsidR="00AB2726" w:rsidRPr="00C2034C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</w:r>
    </w:p>
    <w:p w:rsidR="00AB2726" w:rsidRPr="00C2034C" w:rsidRDefault="00AB2726" w:rsidP="00AB2726">
      <w:pPr>
        <w:pStyle w:val="Nadpis1"/>
        <w:jc w:val="both"/>
        <w:rPr>
          <w:rFonts w:cs="Arial"/>
        </w:rPr>
      </w:pPr>
      <w:bookmarkStart w:id="22" w:name="_Toc238529476"/>
      <w:bookmarkStart w:id="23" w:name="_Toc484778848"/>
      <w:bookmarkStart w:id="24" w:name="_Toc497743847"/>
      <w:r w:rsidRPr="00C2034C">
        <w:rPr>
          <w:rFonts w:cs="Arial"/>
        </w:rPr>
        <w:t>PODKLADY</w:t>
      </w:r>
      <w:bookmarkEnd w:id="22"/>
      <w:bookmarkEnd w:id="23"/>
      <w:bookmarkEnd w:id="24"/>
    </w:p>
    <w:p w:rsidR="00AB2726" w:rsidRPr="00EC0045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C2034C">
        <w:rPr>
          <w:rFonts w:ascii="Arial" w:hAnsi="Arial" w:cs="Arial"/>
          <w:sz w:val="24"/>
          <w:szCs w:val="24"/>
        </w:rPr>
        <w:t>ožadavky investora</w:t>
      </w:r>
      <w:r>
        <w:rPr>
          <w:rFonts w:ascii="Arial" w:hAnsi="Arial" w:cs="Arial"/>
          <w:sz w:val="24"/>
          <w:szCs w:val="24"/>
        </w:rPr>
        <w:t xml:space="preserve"> a správců sítí</w:t>
      </w:r>
    </w:p>
    <w:p w:rsidR="00AB2726" w:rsidRPr="00C2034C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Vyjádření správců sítí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Koordinační situace</w:t>
      </w:r>
    </w:p>
    <w:p w:rsidR="00AB2726" w:rsidRPr="00C2034C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C2034C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</w:r>
    </w:p>
    <w:p w:rsidR="00AB2726" w:rsidRPr="00C2034C" w:rsidRDefault="00AB2726" w:rsidP="00AB2726">
      <w:pPr>
        <w:pStyle w:val="Nadpis1"/>
        <w:jc w:val="both"/>
        <w:rPr>
          <w:rFonts w:cs="Arial"/>
        </w:rPr>
      </w:pPr>
      <w:bookmarkStart w:id="25" w:name="_Toc238529477"/>
      <w:bookmarkStart w:id="26" w:name="_Toc484778849"/>
      <w:bookmarkStart w:id="27" w:name="_Toc497743848"/>
      <w:r w:rsidRPr="00C2034C">
        <w:rPr>
          <w:rFonts w:cs="Arial"/>
        </w:rPr>
        <w:t>ZÁKLADNÍ ÚDAJE</w:t>
      </w:r>
      <w:bookmarkEnd w:id="25"/>
      <w:bookmarkEnd w:id="26"/>
      <w:bookmarkEnd w:id="27"/>
    </w:p>
    <w:p w:rsidR="00AB2726" w:rsidRPr="00C2034C" w:rsidRDefault="00AB2726" w:rsidP="00AB2726">
      <w:pPr>
        <w:jc w:val="both"/>
        <w:rPr>
          <w:rFonts w:ascii="Arial" w:hAnsi="Arial" w:cs="Arial"/>
        </w:rPr>
      </w:pPr>
    </w:p>
    <w:p w:rsidR="00AB2726" w:rsidRPr="008C373C" w:rsidRDefault="00AB2726" w:rsidP="00AB2726">
      <w:pPr>
        <w:ind w:left="1416" w:hanging="7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8C373C">
        <w:rPr>
          <w:rFonts w:ascii="Arial" w:hAnsi="Arial" w:cs="Arial"/>
          <w:sz w:val="24"/>
          <w:szCs w:val="24"/>
        </w:rPr>
        <w:t xml:space="preserve">ochrana proti přetížení – pojistkami nebo jističi s charakteristikou vhodnou pro </w:t>
      </w:r>
      <w:r w:rsidRPr="008C373C">
        <w:rPr>
          <w:rFonts w:ascii="Arial" w:hAnsi="Arial" w:cs="Arial"/>
          <w:sz w:val="24"/>
          <w:szCs w:val="24"/>
        </w:rPr>
        <w:tab/>
        <w:t>chráněné zařízení (dodávka silnoproudu)</w:t>
      </w:r>
    </w:p>
    <w:p w:rsidR="00AB2726" w:rsidRPr="008C373C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8C373C">
        <w:rPr>
          <w:rFonts w:ascii="Arial" w:hAnsi="Arial" w:cs="Arial"/>
          <w:sz w:val="24"/>
          <w:szCs w:val="24"/>
        </w:rPr>
        <w:tab/>
        <w:t>-</w:t>
      </w:r>
      <w:r w:rsidRPr="008C373C">
        <w:rPr>
          <w:rFonts w:ascii="Arial" w:hAnsi="Arial" w:cs="Arial"/>
          <w:sz w:val="24"/>
          <w:szCs w:val="24"/>
        </w:rPr>
        <w:tab/>
        <w:t>ochrana proti nebezpečnému dotykovému napětí:</w:t>
      </w:r>
    </w:p>
    <w:p w:rsidR="00AB2726" w:rsidRPr="008C373C" w:rsidRDefault="00AB2726" w:rsidP="00AB2726">
      <w:pPr>
        <w:ind w:left="1410"/>
        <w:jc w:val="both"/>
        <w:rPr>
          <w:rFonts w:ascii="Arial" w:hAnsi="Arial" w:cs="Arial"/>
          <w:sz w:val="24"/>
          <w:szCs w:val="24"/>
        </w:rPr>
      </w:pPr>
      <w:r w:rsidRPr="008C373C">
        <w:rPr>
          <w:rFonts w:ascii="Arial" w:hAnsi="Arial" w:cs="Arial"/>
          <w:sz w:val="24"/>
          <w:szCs w:val="24"/>
        </w:rPr>
        <w:t xml:space="preserve">všechny neživé části budou připojeny k ochrannému obvodu a v místech kde </w:t>
      </w:r>
      <w:r>
        <w:rPr>
          <w:rFonts w:ascii="Arial" w:hAnsi="Arial" w:cs="Arial"/>
          <w:sz w:val="24"/>
          <w:szCs w:val="24"/>
        </w:rPr>
        <w:t>j</w:t>
      </w:r>
      <w:r w:rsidRPr="008C373C">
        <w:rPr>
          <w:rFonts w:ascii="Arial" w:hAnsi="Arial" w:cs="Arial"/>
          <w:sz w:val="24"/>
          <w:szCs w:val="24"/>
        </w:rPr>
        <w:t>e nebezpečné prostředí bude provedena zvýšená ochrana pospojováním, proudovým chráničem případně SELV napětím. Průřez kabelů bude koordinován s jistícím prvkem a zkratovými poměry aby impedance poruchových smyček kabelových obvodů vyhověla podmínce bezpečného vypnutí v souladu s požadavky ČSN 33 2000-4-41</w:t>
      </w:r>
      <w:r>
        <w:rPr>
          <w:rFonts w:ascii="Arial" w:hAnsi="Arial" w:cs="Arial"/>
          <w:sz w:val="24"/>
          <w:szCs w:val="24"/>
        </w:rPr>
        <w:t xml:space="preserve"> ed. 2</w:t>
      </w:r>
    </w:p>
    <w:p w:rsidR="00AB2726" w:rsidRPr="008C373C" w:rsidRDefault="00AB2726" w:rsidP="00AB2726">
      <w:pPr>
        <w:ind w:left="1410" w:hanging="705"/>
        <w:jc w:val="both"/>
        <w:rPr>
          <w:rFonts w:ascii="Arial" w:hAnsi="Arial" w:cs="Arial"/>
          <w:sz w:val="24"/>
          <w:szCs w:val="24"/>
        </w:rPr>
      </w:pPr>
      <w:r w:rsidRPr="008C373C">
        <w:rPr>
          <w:rFonts w:ascii="Arial" w:hAnsi="Arial" w:cs="Arial"/>
          <w:sz w:val="24"/>
          <w:szCs w:val="24"/>
        </w:rPr>
        <w:t>-</w:t>
      </w:r>
      <w:r w:rsidRPr="008C373C">
        <w:rPr>
          <w:rFonts w:ascii="Arial" w:hAnsi="Arial" w:cs="Arial"/>
          <w:sz w:val="24"/>
          <w:szCs w:val="24"/>
        </w:rPr>
        <w:tab/>
        <w:t>ochrana před nebezpečným dotykovým napětím dle ČSN 33 2000-4-41</w:t>
      </w:r>
      <w:r>
        <w:rPr>
          <w:rFonts w:ascii="Arial" w:hAnsi="Arial" w:cs="Arial"/>
          <w:sz w:val="24"/>
          <w:szCs w:val="24"/>
        </w:rPr>
        <w:t xml:space="preserve"> ed.2</w:t>
      </w:r>
    </w:p>
    <w:p w:rsidR="00AB2726" w:rsidRPr="008C373C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8C373C">
        <w:rPr>
          <w:rFonts w:ascii="Arial" w:hAnsi="Arial" w:cs="Arial"/>
          <w:sz w:val="24"/>
          <w:szCs w:val="24"/>
        </w:rPr>
        <w:tab/>
        <w:t>-</w:t>
      </w:r>
      <w:r w:rsidRPr="008C373C">
        <w:rPr>
          <w:rFonts w:ascii="Arial" w:hAnsi="Arial" w:cs="Arial"/>
          <w:sz w:val="24"/>
          <w:szCs w:val="24"/>
        </w:rPr>
        <w:tab/>
        <w:t xml:space="preserve">základní – </w:t>
      </w:r>
      <w:r>
        <w:rPr>
          <w:rFonts w:ascii="Arial" w:hAnsi="Arial" w:cs="Arial"/>
          <w:sz w:val="24"/>
          <w:szCs w:val="24"/>
        </w:rPr>
        <w:t>automatickým</w:t>
      </w:r>
      <w:r w:rsidRPr="008C373C">
        <w:rPr>
          <w:rFonts w:ascii="Arial" w:hAnsi="Arial" w:cs="Arial"/>
          <w:sz w:val="24"/>
          <w:szCs w:val="24"/>
        </w:rPr>
        <w:t xml:space="preserve"> odpojením od zdroje</w:t>
      </w:r>
    </w:p>
    <w:p w:rsidR="00AB2726" w:rsidRPr="008C373C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8C373C">
        <w:rPr>
          <w:rFonts w:ascii="Arial" w:hAnsi="Arial" w:cs="Arial"/>
          <w:sz w:val="24"/>
          <w:szCs w:val="24"/>
        </w:rPr>
        <w:tab/>
        <w:t xml:space="preserve">- </w:t>
      </w:r>
      <w:r w:rsidRPr="008C373C">
        <w:rPr>
          <w:rFonts w:ascii="Arial" w:hAnsi="Arial" w:cs="Arial"/>
          <w:sz w:val="24"/>
          <w:szCs w:val="24"/>
        </w:rPr>
        <w:tab/>
        <w:t>zvýšená – doplňujícím pospojováním, proudovým chráničem</w:t>
      </w:r>
    </w:p>
    <w:p w:rsidR="00AB2726" w:rsidRPr="008C373C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8C373C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8C373C">
        <w:rPr>
          <w:rFonts w:ascii="Arial" w:hAnsi="Arial" w:cs="Arial"/>
          <w:sz w:val="24"/>
          <w:szCs w:val="24"/>
        </w:rPr>
        <w:t>Elektroinstalace musí být provedena v souladu s ČSN 33 2130</w:t>
      </w:r>
      <w:r>
        <w:rPr>
          <w:rFonts w:ascii="Arial" w:hAnsi="Arial" w:cs="Arial"/>
          <w:sz w:val="24"/>
          <w:szCs w:val="24"/>
        </w:rPr>
        <w:t xml:space="preserve"> ed. 2</w:t>
      </w:r>
      <w:r w:rsidRPr="008C373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souborem norem </w:t>
      </w:r>
      <w:r w:rsidRPr="008C373C">
        <w:rPr>
          <w:rFonts w:ascii="Arial" w:hAnsi="Arial" w:cs="Arial"/>
          <w:sz w:val="24"/>
          <w:szCs w:val="24"/>
        </w:rPr>
        <w:t>ČSN 33 2000, ČSN 34 230</w:t>
      </w:r>
      <w:r>
        <w:rPr>
          <w:rFonts w:ascii="Arial" w:hAnsi="Arial" w:cs="Arial"/>
          <w:sz w:val="24"/>
          <w:szCs w:val="24"/>
        </w:rPr>
        <w:t>0</w:t>
      </w:r>
      <w:r w:rsidRPr="008C373C">
        <w:rPr>
          <w:rFonts w:ascii="Arial" w:hAnsi="Arial" w:cs="Arial"/>
          <w:sz w:val="24"/>
          <w:szCs w:val="24"/>
        </w:rPr>
        <w:t xml:space="preserve"> a přidružených souvisejících norem.</w:t>
      </w:r>
    </w:p>
    <w:p w:rsidR="00AB2726" w:rsidRPr="0096460B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C2034C" w:rsidRDefault="00AB2726" w:rsidP="00AB2726">
      <w:pPr>
        <w:jc w:val="both"/>
        <w:rPr>
          <w:rFonts w:ascii="Arial" w:hAnsi="Arial" w:cs="Arial"/>
        </w:rPr>
      </w:pPr>
    </w:p>
    <w:p w:rsidR="00AB2726" w:rsidRPr="00C2034C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Default="00AB2726" w:rsidP="00AB2726">
      <w:pPr>
        <w:jc w:val="both"/>
        <w:rPr>
          <w:rFonts w:ascii="Arial" w:hAnsi="Arial" w:cs="Arial"/>
        </w:rPr>
      </w:pPr>
    </w:p>
    <w:p w:rsidR="00AB2726" w:rsidRPr="00C2034C" w:rsidRDefault="00AB2726" w:rsidP="00AB2726">
      <w:pPr>
        <w:pStyle w:val="Nadpis1"/>
        <w:jc w:val="both"/>
        <w:rPr>
          <w:rFonts w:cs="Arial"/>
        </w:rPr>
      </w:pPr>
      <w:bookmarkStart w:id="28" w:name="_Toc238529478"/>
      <w:bookmarkStart w:id="29" w:name="_Toc484778850"/>
      <w:bookmarkStart w:id="30" w:name="_Toc497743849"/>
      <w:r w:rsidRPr="00C2034C">
        <w:rPr>
          <w:rFonts w:cs="Arial"/>
        </w:rPr>
        <w:lastRenderedPageBreak/>
        <w:t>VENKOVNÍ ROZVODY SLP</w:t>
      </w:r>
      <w:bookmarkEnd w:id="28"/>
      <w:bookmarkEnd w:id="29"/>
      <w:bookmarkEnd w:id="30"/>
      <w:r w:rsidRPr="00C2034C">
        <w:rPr>
          <w:rFonts w:cs="Arial"/>
        </w:rPr>
        <w:t xml:space="preserve"> </w:t>
      </w:r>
    </w:p>
    <w:p w:rsidR="00AB2726" w:rsidRPr="00C2034C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Napojení přístavby je řešeno v rámci vnitřních rozvodů. 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Před započetím stavebních prací budou správci dotčených sítí vyzváni k vytyčení inženýrských sítí. Na základě vytyčení budou sítě ručně obnaženy a</w:t>
      </w:r>
      <w:r w:rsidR="00D7088F">
        <w:rPr>
          <w:rFonts w:ascii="Arial" w:hAnsi="Arial" w:cs="Arial"/>
          <w:sz w:val="24"/>
          <w:szCs w:val="24"/>
        </w:rPr>
        <w:t xml:space="preserve"> vyvěšeny s ohledem na délkové rezervy tak, aby bylo možné zhotovit 1.pp včetně kolektoru. N</w:t>
      </w:r>
      <w:r>
        <w:rPr>
          <w:rFonts w:ascii="Arial" w:hAnsi="Arial" w:cs="Arial"/>
          <w:sz w:val="24"/>
          <w:szCs w:val="24"/>
        </w:rPr>
        <w:t>ásledně budou připraveny nové trasy, které nebudou v kolizi se stavbou případně piloty, výtahovou šachtou,..</w:t>
      </w:r>
      <w:r w:rsidR="00D7088F">
        <w:rPr>
          <w:rFonts w:ascii="Arial" w:hAnsi="Arial" w:cs="Arial"/>
          <w:sz w:val="24"/>
          <w:szCs w:val="24"/>
        </w:rPr>
        <w:t xml:space="preserve"> do kterých budou kabely uloženy.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 jižní straně přístavby dojde ke kolizi s kabely společnosti MERIT GROUP a.s.. Tato trasa bude přeložena jižněji, tak aby byla mimo půdorys přístavby. Při překládání trasy budou zohledněny stávající stromy. Při překládání bude stávající chránička délkově nadstavena a optický kabel bude dle možností po potažen z kabelové rezervy v ul. Brněnská. Po přeložení bude nová poloha po dobu provádění stavby zřetelně označena.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5415DB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Kabely FN Ol a RIO Media uložené v blízkosti stávající budovy „P“ budou stranově přeloženy na základě vytyčení stavby, tak aby nebyly v kolizi s</w:t>
      </w:r>
      <w:r w:rsidR="005415D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piloty</w:t>
      </w:r>
      <w:r w:rsidR="005415DB">
        <w:rPr>
          <w:rFonts w:ascii="Arial" w:hAnsi="Arial" w:cs="Arial"/>
          <w:sz w:val="24"/>
          <w:szCs w:val="24"/>
        </w:rPr>
        <w:t>, pasy a</w:t>
      </w:r>
      <w:r>
        <w:rPr>
          <w:rFonts w:ascii="Arial" w:hAnsi="Arial" w:cs="Arial"/>
          <w:sz w:val="24"/>
          <w:szCs w:val="24"/>
        </w:rPr>
        <w:t xml:space="preserve"> potrubní poštou. V nové trase budou chráničky a kabely uloženy pod přístavbou ve dvou betonových žlabech uložených na sobě. Betonové žlaby budou uloženy do betonového lože s tím, že budou vzájemně o ½ délky posunuty. </w:t>
      </w:r>
    </w:p>
    <w:p w:rsidR="005415DB" w:rsidRDefault="005415DB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2726" w:rsidRDefault="005415DB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24009">
        <w:rPr>
          <w:rFonts w:ascii="Arial" w:hAnsi="Arial" w:cs="Arial"/>
          <w:b/>
          <w:color w:val="FF0000"/>
          <w:sz w:val="24"/>
          <w:szCs w:val="24"/>
        </w:rPr>
        <w:t>Veškeré stavební práce v</w:t>
      </w:r>
      <w:r>
        <w:rPr>
          <w:rFonts w:ascii="Arial" w:hAnsi="Arial" w:cs="Arial"/>
          <w:b/>
          <w:color w:val="FF0000"/>
          <w:sz w:val="24"/>
          <w:szCs w:val="24"/>
        </w:rPr>
        <w:t> ochranných pásmech venkovních SLP rozvodů</w:t>
      </w:r>
      <w:r w:rsidRPr="00D24009">
        <w:rPr>
          <w:rFonts w:ascii="Arial" w:hAnsi="Arial" w:cs="Arial"/>
          <w:b/>
          <w:color w:val="FF0000"/>
          <w:sz w:val="24"/>
          <w:szCs w:val="24"/>
        </w:rPr>
        <w:t xml:space="preserve"> budou s 5-denním předstihem hlášeny správcům sítí společností MERIT GROUP a.s. (p. Vychodil. 603 278 953)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D24009">
        <w:rPr>
          <w:rFonts w:ascii="Arial" w:hAnsi="Arial" w:cs="Arial"/>
          <w:b/>
          <w:color w:val="FF0000"/>
          <w:sz w:val="24"/>
          <w:szCs w:val="24"/>
        </w:rPr>
        <w:t xml:space="preserve"> RIO MEDIA a.s. (p. Komínek 725 326 223)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a FNOl ( p. Miklík 607 592 344)</w:t>
      </w:r>
      <w:r w:rsidRPr="00D24009">
        <w:rPr>
          <w:rFonts w:ascii="Arial" w:hAnsi="Arial" w:cs="Arial"/>
          <w:b/>
          <w:color w:val="FF0000"/>
          <w:sz w:val="24"/>
          <w:szCs w:val="24"/>
        </w:rPr>
        <w:t xml:space="preserve">. Práce v těchto </w:t>
      </w:r>
      <w:r>
        <w:rPr>
          <w:rFonts w:ascii="Arial" w:hAnsi="Arial" w:cs="Arial"/>
          <w:b/>
          <w:color w:val="FF0000"/>
          <w:sz w:val="24"/>
          <w:szCs w:val="24"/>
        </w:rPr>
        <w:t>ochranných pásmech</w:t>
      </w:r>
      <w:r w:rsidRPr="00D24009">
        <w:rPr>
          <w:rFonts w:ascii="Arial" w:hAnsi="Arial" w:cs="Arial"/>
          <w:b/>
          <w:color w:val="FF0000"/>
          <w:sz w:val="24"/>
          <w:szCs w:val="24"/>
        </w:rPr>
        <w:t xml:space="preserve"> budou prováděny na základě písemného souhlasu správců ve stavebním deníku.</w:t>
      </w:r>
      <w:r>
        <w:rPr>
          <w:rFonts w:ascii="Arial" w:hAnsi="Arial" w:cs="Arial"/>
          <w:sz w:val="24"/>
          <w:szCs w:val="24"/>
        </w:rPr>
        <w:t xml:space="preserve"> </w:t>
      </w:r>
      <w:r w:rsidR="00AB2726">
        <w:rPr>
          <w:rFonts w:ascii="Arial" w:hAnsi="Arial" w:cs="Arial"/>
          <w:sz w:val="24"/>
          <w:szCs w:val="24"/>
        </w:rPr>
        <w:t xml:space="preserve"> 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Součástí přístavby je i vybudování nových příjezdových komunikací, které jsou v kolizi se stávajícími rozvody zemních sdělovacích kabelů. Tyto kabely budou před započetím prací ručně obnaženy a pomocí půlených chrániček dodatečně mechanicky ochráněny. 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034C">
        <w:rPr>
          <w:rFonts w:ascii="Arial" w:hAnsi="Arial" w:cs="Arial"/>
          <w:sz w:val="24"/>
          <w:szCs w:val="24"/>
        </w:rPr>
        <w:t>Způsob uložení kabelových vedení musí odpovídat ČSN 332000-5-52, ČSN 73 6005 a ČSN 73 7505. V místech, kde dojde ke křižování nebo souběhu sdělovacích kabelů s ostatními inž</w:t>
      </w:r>
      <w:r>
        <w:rPr>
          <w:rFonts w:ascii="Arial" w:hAnsi="Arial" w:cs="Arial"/>
          <w:sz w:val="24"/>
          <w:szCs w:val="24"/>
        </w:rPr>
        <w:t>enýrskými s</w:t>
      </w:r>
      <w:r w:rsidRPr="00C2034C">
        <w:rPr>
          <w:rFonts w:ascii="Arial" w:hAnsi="Arial" w:cs="Arial"/>
          <w:sz w:val="24"/>
          <w:szCs w:val="24"/>
        </w:rPr>
        <w:t>ítěmi</w:t>
      </w:r>
      <w:r>
        <w:rPr>
          <w:rFonts w:ascii="Arial" w:hAnsi="Arial" w:cs="Arial"/>
          <w:sz w:val="24"/>
          <w:szCs w:val="24"/>
        </w:rPr>
        <w:t xml:space="preserve"> </w:t>
      </w:r>
      <w:r w:rsidRPr="00C2034C">
        <w:rPr>
          <w:rFonts w:ascii="Arial" w:hAnsi="Arial" w:cs="Arial"/>
          <w:sz w:val="24"/>
          <w:szCs w:val="24"/>
        </w:rPr>
        <w:t xml:space="preserve">budou zohledněny požadavky příslušného správce sítě </w:t>
      </w:r>
      <w:r>
        <w:rPr>
          <w:rFonts w:ascii="Arial" w:hAnsi="Arial" w:cs="Arial"/>
          <w:sz w:val="24"/>
          <w:szCs w:val="24"/>
        </w:rPr>
        <w:t>(</w:t>
      </w:r>
      <w:r w:rsidRPr="00C2034C">
        <w:rPr>
          <w:rFonts w:ascii="Arial" w:hAnsi="Arial" w:cs="Arial"/>
          <w:sz w:val="24"/>
          <w:szCs w:val="24"/>
        </w:rPr>
        <w:t xml:space="preserve">požadované odstupy kabelů a </w:t>
      </w:r>
      <w:r>
        <w:rPr>
          <w:rFonts w:ascii="Arial" w:hAnsi="Arial" w:cs="Arial"/>
          <w:sz w:val="24"/>
          <w:szCs w:val="24"/>
        </w:rPr>
        <w:t>o</w:t>
      </w:r>
      <w:r w:rsidRPr="00C2034C">
        <w:rPr>
          <w:rFonts w:ascii="Arial" w:hAnsi="Arial" w:cs="Arial"/>
          <w:sz w:val="24"/>
          <w:szCs w:val="24"/>
        </w:rPr>
        <w:t>chranná pás</w:t>
      </w:r>
      <w:r>
        <w:rPr>
          <w:rFonts w:ascii="Arial" w:hAnsi="Arial" w:cs="Arial"/>
          <w:sz w:val="24"/>
          <w:szCs w:val="24"/>
        </w:rPr>
        <w:t>m</w:t>
      </w:r>
      <w:r w:rsidRPr="00C2034C">
        <w:rPr>
          <w:rFonts w:ascii="Arial" w:hAnsi="Arial" w:cs="Arial"/>
          <w:sz w:val="24"/>
          <w:szCs w:val="24"/>
        </w:rPr>
        <w:t xml:space="preserve">a apod.). </w:t>
      </w: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2034C">
        <w:rPr>
          <w:rFonts w:ascii="Arial" w:hAnsi="Arial" w:cs="Arial"/>
          <w:sz w:val="24"/>
          <w:szCs w:val="24"/>
        </w:rPr>
        <w:t>Pokládka kabelů a kabelových chrániček HDPE bude prováděna ručně a dle příslušných technických informací. Před započetím prací musí být vytyčeny a řádně označeny veškeré inženýrské sítě. Při pracích je nutno postupovat tak, aby nedošlo k jejich dotčení a porušení.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5415DB" w:rsidRDefault="005415DB" w:rsidP="00AB2726">
      <w:pPr>
        <w:jc w:val="both"/>
        <w:rPr>
          <w:rFonts w:ascii="Arial" w:hAnsi="Arial" w:cs="Arial"/>
          <w:sz w:val="24"/>
          <w:szCs w:val="24"/>
        </w:rPr>
      </w:pPr>
    </w:p>
    <w:p w:rsidR="005415DB" w:rsidRDefault="005415DB" w:rsidP="00AB2726">
      <w:pPr>
        <w:jc w:val="both"/>
        <w:rPr>
          <w:rFonts w:ascii="Arial" w:hAnsi="Arial" w:cs="Arial"/>
          <w:sz w:val="24"/>
          <w:szCs w:val="24"/>
        </w:rPr>
      </w:pPr>
    </w:p>
    <w:p w:rsidR="005415DB" w:rsidRDefault="005415DB" w:rsidP="00AB2726">
      <w:pPr>
        <w:jc w:val="both"/>
        <w:rPr>
          <w:rFonts w:ascii="Arial" w:hAnsi="Arial" w:cs="Arial"/>
          <w:sz w:val="24"/>
          <w:szCs w:val="24"/>
        </w:rPr>
      </w:pPr>
    </w:p>
    <w:p w:rsidR="005415DB" w:rsidRDefault="005415DB" w:rsidP="00AB2726">
      <w:pPr>
        <w:jc w:val="both"/>
        <w:rPr>
          <w:rFonts w:ascii="Arial" w:hAnsi="Arial" w:cs="Arial"/>
          <w:sz w:val="24"/>
          <w:szCs w:val="24"/>
        </w:rPr>
      </w:pPr>
    </w:p>
    <w:p w:rsidR="005415DB" w:rsidRDefault="005415DB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pStyle w:val="Nadpis1"/>
        <w:rPr>
          <w:rFonts w:cs="Arial"/>
        </w:rPr>
      </w:pPr>
      <w:bookmarkStart w:id="31" w:name="_Toc318193498"/>
      <w:bookmarkStart w:id="32" w:name="_Toc484778851"/>
      <w:bookmarkStart w:id="33" w:name="_Toc497743850"/>
      <w:bookmarkStart w:id="34" w:name="_Toc238529480"/>
      <w:r w:rsidRPr="008546B0">
        <w:rPr>
          <w:rFonts w:cs="Arial"/>
        </w:rPr>
        <w:lastRenderedPageBreak/>
        <w:t>VNITŘNÍ A VENKOVNÍ ROZVODY A JEJICH ULOŽENÍ</w:t>
      </w:r>
      <w:bookmarkEnd w:id="31"/>
      <w:bookmarkEnd w:id="32"/>
      <w:bookmarkEnd w:id="33"/>
    </w:p>
    <w:p w:rsidR="00AB2726" w:rsidRDefault="00AB2726" w:rsidP="00AB2726">
      <w:pPr>
        <w:rPr>
          <w:sz w:val="24"/>
          <w:szCs w:val="24"/>
        </w:rPr>
      </w:pPr>
    </w:p>
    <w:p w:rsidR="00AB2726" w:rsidRPr="008546B0" w:rsidRDefault="00AB2726" w:rsidP="00AB2726">
      <w:pPr>
        <w:pStyle w:val="Odstavec1"/>
        <w:ind w:firstLine="708"/>
        <w:rPr>
          <w:rFonts w:ascii="Arial" w:hAnsi="Arial" w:cs="Arial"/>
        </w:rPr>
      </w:pPr>
      <w:r w:rsidRPr="008546B0">
        <w:rPr>
          <w:rFonts w:ascii="Arial" w:hAnsi="Arial" w:cs="Arial"/>
        </w:rPr>
        <w:t>Při souběhu a křižování sdělovacích vedení s ostatními podzemními sítěmi budou respektovány vzdálenosti stanovené ČSN 73 60 05- viz následující tabulky: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Nejmenší dovolené vodorovné vzdálenosti při souběhu podzemních vedení v m  1)  dle  ČSN 73 60 05:</w:t>
      </w:r>
    </w:p>
    <w:p w:rsidR="00AB2726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souběh s vedením sdělovacím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4155"/>
      </w:tblGrid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silové kabely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1 kV</w:t>
            </w:r>
          </w:p>
        </w:tc>
        <w:tc>
          <w:tcPr>
            <w:tcW w:w="41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0,30 3)      ,0,10  4)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silové kabely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10 kV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0,80 3)     , 0,30 4)                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silové kabely 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35 kV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0,80 3)   , 0,30 4)</w:t>
            </w:r>
          </w:p>
        </w:tc>
      </w:tr>
      <w:tr w:rsidR="00AB2726" w:rsidRPr="008546B0" w:rsidTr="00976D20">
        <w:trPr>
          <w:cantSplit/>
          <w:trHeight w:val="480"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silové kabely 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110 kV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0,80   7)8) 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sdělovací kabely             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    10)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plynovod 2)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0,005MPa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0,40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plynovod 2)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0,3MPa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0,40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vodovodní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potrubí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0,40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Tepelná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vedení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0,80  11)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Kabelovody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0,30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Koleje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tramvajové dráhy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    1,00</w:t>
            </w:r>
          </w:p>
        </w:tc>
      </w:tr>
    </w:tbl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1)Vzdálenosti se měří mezi vnějšími povrchy kabelů, potrubí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2)Vysokotlaké plynovody :dovolená jen vysokotlaká přípojka do regulační stanice.Nejmenší dovolené vzdálenosti při souběhu s podzemními vedeními podle ČSN  38 64 10, tab. 5 se v položkách 2,3,4, a 7 zkracují na polovinu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3)Nechráněné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4)V kanálu nebo chráničkách.Podle ustanovení ČSN 34 11 00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7)Sdělovací  kabel v betonové chráničce zalité asfaltem, délka přesahu chráničky 1,50m na každé straně od místa ukončení souběhu.Je-li vzdálenost obou souběžných kabelů delší než  1,50m, ochranné opatření odpadá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8)Interferenční vlivy kabelu 110 kV na sdělovací kabely musí být  kontrolovány výpočtem  podle ČSN 34 20 30,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10)Spojové kabely se kladou navzájem  volně vedle sebe. Spojové kabely a kabely DR se kladou navzájem ve vzdálenosti 70mm.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 xml:space="preserve">11)Platí pro souběh tepelně nechráněných kabelů a vodních tepelných vedení.Při tepelně chráněných kabelech možno snížit na 0,30m.Dlouhé souběhy nutno kontrolovat výpočtem. Pro souběh parních tepelných vedení s tepelně nechráněnými </w:t>
      </w:r>
      <w:r w:rsidRPr="008546B0">
        <w:rPr>
          <w:rFonts w:ascii="Arial" w:hAnsi="Arial" w:cs="Arial"/>
          <w:sz w:val="24"/>
        </w:rPr>
        <w:lastRenderedPageBreak/>
        <w:t>kabely platí vzdálenost 2,00m, při kabelu tepelně chráněném , v souběhu do délky 200m, možno snížit na 0,80m.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</w:p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Nejmenší dovolené svislé vzdálenosti při kř</w:t>
      </w:r>
      <w:r>
        <w:rPr>
          <w:rFonts w:ascii="Arial" w:hAnsi="Arial" w:cs="Arial"/>
          <w:sz w:val="24"/>
        </w:rPr>
        <w:t>í</w:t>
      </w:r>
      <w:r w:rsidRPr="008546B0">
        <w:rPr>
          <w:rFonts w:ascii="Arial" w:hAnsi="Arial" w:cs="Arial"/>
          <w:sz w:val="24"/>
        </w:rPr>
        <w:t>žení podzemních vedení v m  1)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 xml:space="preserve"> dle ČSN 73 60 05:</w:t>
      </w:r>
    </w:p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křižení s vedením sdělovacím"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5"/>
        <w:gridCol w:w="4155"/>
      </w:tblGrid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silové kabely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1 kV</w:t>
            </w:r>
          </w:p>
        </w:tc>
        <w:tc>
          <w:tcPr>
            <w:tcW w:w="415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0,30  4),  0,10  5)                    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silové kabely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10 kV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0,80  4), 0,10  5)                     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silové kabely 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35 kV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0,80  4), 0,10  5)   </w:t>
            </w:r>
          </w:p>
        </w:tc>
      </w:tr>
      <w:tr w:rsidR="00AB2726" w:rsidRPr="008546B0" w:rsidTr="00976D20">
        <w:trPr>
          <w:cantSplit/>
          <w:trHeight w:val="480"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silové kabely 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110 kV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0,50  10)11)12)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sdělovací kabely             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 14)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plynovod  2)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0,005MPa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0,10    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plynovod  2)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do 0,3MPa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0,10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vodovodní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potrubí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0,20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Tepelná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vedení    3)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0,50  4), 0,15  5)       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Kabelovody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0,10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Stoky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0,20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Potrubní pošta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0,20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Kolektor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0,10    </w:t>
            </w:r>
          </w:p>
        </w:tc>
      </w:tr>
      <w:tr w:rsidR="00AB2726" w:rsidRPr="008546B0" w:rsidTr="00976D20">
        <w:trPr>
          <w:cantSplit/>
        </w:trPr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Koleje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tramvajové dráhy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                    1,00</w:t>
            </w:r>
          </w:p>
        </w:tc>
      </w:tr>
    </w:tbl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1)Vzdálenosti se měří mezi vnějšími povrchy kabelů, potrubí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2)Vysokotlaké plynovody :dovolená jen vysokotlaká přípojka do regulační stanice.</w:t>
      </w:r>
      <w:r>
        <w:rPr>
          <w:rFonts w:ascii="Arial" w:hAnsi="Arial" w:cs="Arial"/>
          <w:sz w:val="24"/>
        </w:rPr>
        <w:t xml:space="preserve"> </w:t>
      </w:r>
      <w:r w:rsidRPr="008546B0">
        <w:rPr>
          <w:rFonts w:ascii="Arial" w:hAnsi="Arial" w:cs="Arial"/>
          <w:sz w:val="24"/>
        </w:rPr>
        <w:t>Nejmenší dovolené vzdálenosti při křížení s podzemními vedeními podle ČSN  38 64 10, tab. 5 se v položkách 2,3,4, a 7 zkracují na polovinu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3)Vzdálenosti platí pro vodní tepelná vedení</w:t>
      </w:r>
      <w:r>
        <w:rPr>
          <w:rFonts w:ascii="Arial" w:hAnsi="Arial" w:cs="Arial"/>
          <w:sz w:val="24"/>
        </w:rPr>
        <w:t>. P</w:t>
      </w:r>
      <w:r w:rsidRPr="008546B0">
        <w:rPr>
          <w:rFonts w:ascii="Arial" w:hAnsi="Arial" w:cs="Arial"/>
          <w:sz w:val="24"/>
        </w:rPr>
        <w:t>ro parní tepelná vedení je nutné stanovit vzdálenost tak,  aby byly splněny podmínky  čl. 72,Pro křížení parního tepelného vedení se  sdělovacími kabely  se vzdálenost zvětšuje u chráněných   kabelů na 0,25m.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4)Nechráněné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 xml:space="preserve">5)V kanálu nebo  betonových chráničkách </w:t>
      </w:r>
      <w:r>
        <w:rPr>
          <w:rFonts w:ascii="Arial" w:hAnsi="Arial" w:cs="Arial"/>
          <w:sz w:val="24"/>
        </w:rPr>
        <w:t>p</w:t>
      </w:r>
      <w:r w:rsidRPr="008546B0">
        <w:rPr>
          <w:rFonts w:ascii="Arial" w:hAnsi="Arial" w:cs="Arial"/>
          <w:sz w:val="24"/>
        </w:rPr>
        <w:t>odle ustanovení ČSN 34 11 00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10)Kabely VVN uloženy v chráničce přesahující místo  křížení na každou stranu o 2,00 m.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lastRenderedPageBreak/>
        <w:t>11)Sdělovací kabely uloženy v betonových žlabech  apod.  zalitých asfaltem v délce přesahující místo křížení na obě strany min. o 2,00m.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12)Vlivy kabelu VVN na sdělovací kabel nutno kontrolovat výpočtem  podle ČSN 34 20 30.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14,Spojové kabely navzájem ve vzdálenosti 30mm. Spojové kabely a kabely DR navzájem ve vzdálenosti70mm.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 xml:space="preserve">Nejmenší dovolené krytí podzemních vedení  dle ČSN 73 60 05: </w:t>
      </w:r>
    </w:p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077"/>
        <w:gridCol w:w="2077"/>
        <w:gridCol w:w="2077"/>
      </w:tblGrid>
      <w:tr w:rsidR="00AB2726" w:rsidRPr="008546B0" w:rsidTr="00976D20">
        <w:trPr>
          <w:cantSplit/>
          <w:trHeight w:val="480"/>
        </w:trPr>
        <w:tc>
          <w:tcPr>
            <w:tcW w:w="2077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Podzemní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vedení</w:t>
            </w:r>
          </w:p>
        </w:tc>
        <w:tc>
          <w:tcPr>
            <w:tcW w:w="2077" w:type="dxa"/>
            <w:tcBorders>
              <w:top w:val="single" w:sz="18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Chodník  2)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Vozovka  3)</w:t>
            </w:r>
          </w:p>
        </w:tc>
        <w:tc>
          <w:tcPr>
            <w:tcW w:w="2077" w:type="dxa"/>
            <w:tcBorders>
              <w:top w:val="single" w:sz="18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Volný terén   4)</w:t>
            </w:r>
          </w:p>
        </w:tc>
      </w:tr>
      <w:tr w:rsidR="00AB2726" w:rsidRPr="008546B0" w:rsidTr="00976D20">
        <w:trPr>
          <w:cantSplit/>
          <w:trHeight w:val="480"/>
        </w:trPr>
        <w:tc>
          <w:tcPr>
            <w:tcW w:w="2077" w:type="dxa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double" w:sz="12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Sdělovací kabel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místní</w:t>
            </w:r>
          </w:p>
        </w:tc>
        <w:tc>
          <w:tcPr>
            <w:tcW w:w="2077" w:type="dxa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0,40</w:t>
            </w:r>
          </w:p>
        </w:tc>
        <w:tc>
          <w:tcPr>
            <w:tcW w:w="207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0,90   7)</w:t>
            </w:r>
          </w:p>
        </w:tc>
        <w:tc>
          <w:tcPr>
            <w:tcW w:w="2077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0,60</w:t>
            </w:r>
          </w:p>
        </w:tc>
      </w:tr>
      <w:tr w:rsidR="00AB2726" w:rsidRPr="008546B0" w:rsidTr="00976D20">
        <w:trPr>
          <w:cantSplit/>
          <w:trHeight w:val="480"/>
        </w:trPr>
        <w:tc>
          <w:tcPr>
            <w:tcW w:w="207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12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Sdělovací kabel</w:t>
            </w:r>
          </w:p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>dálkový</w:t>
            </w:r>
          </w:p>
        </w:tc>
        <w:tc>
          <w:tcPr>
            <w:tcW w:w="2077" w:type="dxa"/>
            <w:tcBorders>
              <w:top w:val="single" w:sz="6" w:space="0" w:color="auto"/>
              <w:left w:val="double" w:sz="12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0,50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        0,90   7)    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B2726" w:rsidRPr="008546B0" w:rsidRDefault="00AB2726" w:rsidP="00976D20">
            <w:pPr>
              <w:rPr>
                <w:rFonts w:ascii="Arial" w:hAnsi="Arial" w:cs="Arial"/>
                <w:sz w:val="24"/>
              </w:rPr>
            </w:pPr>
            <w:r w:rsidRPr="008546B0">
              <w:rPr>
                <w:rFonts w:ascii="Arial" w:hAnsi="Arial" w:cs="Arial"/>
                <w:sz w:val="24"/>
              </w:rPr>
              <w:t xml:space="preserve">     0,60,    0,90    8)</w:t>
            </w:r>
          </w:p>
        </w:tc>
      </w:tr>
    </w:tbl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rPr>
          <w:rFonts w:ascii="Arial" w:hAnsi="Arial" w:cs="Arial"/>
          <w:sz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Vysvětlivky: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1)Vzdálenosti se měří mezi vnějšími povrchy kabelů, potrubí a ochranné konstrukce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2)Do této kategorie patří všechny pásy přidruženého prostoru, které neslouží provozu nebo stání vozidel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3)Do této kategorie patří všechny pruhy a pásy pro provoz a stání vozidel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4)Mimo souvislou zástavbu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7)U rychlostních komunikací nejméně 1,20m</w:t>
      </w:r>
    </w:p>
    <w:p w:rsidR="00AB2726" w:rsidRDefault="00AB2726" w:rsidP="00AB2726">
      <w:pPr>
        <w:jc w:val="both"/>
        <w:rPr>
          <w:rFonts w:ascii="Arial" w:hAnsi="Arial" w:cs="Arial"/>
          <w:sz w:val="24"/>
        </w:rPr>
      </w:pPr>
      <w:r w:rsidRPr="008546B0">
        <w:rPr>
          <w:rFonts w:ascii="Arial" w:hAnsi="Arial" w:cs="Arial"/>
          <w:sz w:val="24"/>
        </w:rPr>
        <w:t>8)Koaxiální kabely</w:t>
      </w:r>
    </w:p>
    <w:p w:rsidR="00AB2726" w:rsidRDefault="00AB2726" w:rsidP="00AB2726">
      <w:pPr>
        <w:rPr>
          <w:rFonts w:ascii="Arial" w:hAnsi="Arial" w:cs="Arial"/>
          <w:sz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Pr="008546B0" w:rsidRDefault="00AB2726" w:rsidP="00AB2726">
      <w:pPr>
        <w:pStyle w:val="Nadpis1"/>
        <w:rPr>
          <w:rFonts w:cs="Arial"/>
        </w:rPr>
      </w:pPr>
      <w:bookmarkStart w:id="35" w:name="_Toc318193499"/>
      <w:bookmarkStart w:id="36" w:name="_Toc484778852"/>
      <w:bookmarkStart w:id="37" w:name="_Toc497743851"/>
      <w:r w:rsidRPr="008546B0">
        <w:rPr>
          <w:rFonts w:cs="Arial"/>
        </w:rPr>
        <w:t>OCHRANA ŽIVOTNÍHO PROSTŘEDÍ</w:t>
      </w:r>
      <w:bookmarkEnd w:id="35"/>
      <w:bookmarkEnd w:id="36"/>
      <w:bookmarkEnd w:id="37"/>
    </w:p>
    <w:p w:rsidR="00AB2726" w:rsidRDefault="00AB2726" w:rsidP="00AB2726">
      <w:pPr>
        <w:rPr>
          <w:sz w:val="24"/>
          <w:szCs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8546B0">
        <w:rPr>
          <w:rFonts w:ascii="Arial" w:hAnsi="Arial" w:cs="Arial"/>
          <w:sz w:val="24"/>
          <w:szCs w:val="24"/>
        </w:rPr>
        <w:t>Výstavbou ani následným provozem nedojde k ovlivnění životního prostředí.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Při realizaci nebudou produkovány žádné nebezpečné odpady. Kabely, kabelové žlaby, ohebné trubky a ostatní komponenty rozvodů slaboproudu jsou vůči okolí fyzikálně i chemicky neutrální. Žádná použitá zařízení nejsou zdrojem nebezpečného záření, nedochází u nich k emisi škodlivin, jsou bezhlučná a nevzniká zde jiná možnost ohrožení životního prostředí.</w:t>
      </w:r>
    </w:p>
    <w:p w:rsidR="00AB2726" w:rsidRPr="008546B0" w:rsidRDefault="00AB2726" w:rsidP="00AB2726">
      <w:pPr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tabs>
          <w:tab w:val="left" w:pos="1077"/>
        </w:tabs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Při realizaci vznikly z hlediska Zákona o odpadech tyto odpady: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1980"/>
        <w:gridCol w:w="1544"/>
      </w:tblGrid>
      <w:tr w:rsidR="00AB2726" w:rsidTr="00976D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odpadu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odpadu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původ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kategorie</w:t>
            </w:r>
          </w:p>
        </w:tc>
      </w:tr>
      <w:tr w:rsidR="00AB2726" w:rsidTr="00976D2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17 04 08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kabely (trubky a kabelové  žlaby)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zbytky kabelů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26" w:rsidRDefault="00AB2726" w:rsidP="00976D20">
            <w:pPr>
              <w:tabs>
                <w:tab w:val="left" w:pos="1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pStyle w:val="Nadpis1"/>
        <w:rPr>
          <w:rFonts w:cs="Arial"/>
        </w:rPr>
      </w:pPr>
      <w:bookmarkStart w:id="38" w:name="_Toc318193500"/>
      <w:bookmarkStart w:id="39" w:name="_Toc484778853"/>
      <w:bookmarkStart w:id="40" w:name="_Toc497743852"/>
      <w:r w:rsidRPr="008546B0">
        <w:rPr>
          <w:rFonts w:cs="Arial"/>
        </w:rPr>
        <w:t>TECHNICKÉ A OSTATNÍ PODMÍNKY PROVEDENÍ PRACÍ</w:t>
      </w:r>
      <w:bookmarkEnd w:id="38"/>
      <w:bookmarkEnd w:id="39"/>
      <w:bookmarkEnd w:id="40"/>
    </w:p>
    <w:p w:rsidR="00AB2726" w:rsidRDefault="00AB2726" w:rsidP="00AB2726">
      <w:pPr>
        <w:rPr>
          <w:sz w:val="24"/>
          <w:szCs w:val="24"/>
        </w:rPr>
      </w:pPr>
    </w:p>
    <w:p w:rsidR="00AB2726" w:rsidRPr="008546B0" w:rsidRDefault="00AB2726" w:rsidP="00AB2726">
      <w:pPr>
        <w:pStyle w:val="Nadpis2"/>
        <w:jc w:val="both"/>
        <w:rPr>
          <w:rFonts w:cs="Arial"/>
        </w:rPr>
      </w:pPr>
      <w:bookmarkStart w:id="41" w:name="_Toc318193501"/>
      <w:bookmarkStart w:id="42" w:name="_Toc484778854"/>
      <w:bookmarkStart w:id="43" w:name="_Toc497743853"/>
      <w:r w:rsidRPr="008546B0">
        <w:rPr>
          <w:rFonts w:cs="Arial"/>
        </w:rPr>
        <w:t>Technické podmínky pro provedení prací</w:t>
      </w:r>
      <w:bookmarkEnd w:id="41"/>
      <w:bookmarkEnd w:id="42"/>
      <w:bookmarkEnd w:id="43"/>
    </w:p>
    <w:p w:rsidR="00AB2726" w:rsidRDefault="00AB2726" w:rsidP="00AB2726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8546B0">
        <w:rPr>
          <w:rFonts w:ascii="Arial" w:hAnsi="Arial" w:cs="Arial"/>
          <w:sz w:val="24"/>
          <w:szCs w:val="24"/>
        </w:rPr>
        <w:t xml:space="preserve">Při montážních pracích musí být dodrženy technické podmínky výrobce kabelů (zejména dodržení předepsaných minimálních ohybů kabelů a tahových sil při </w:t>
      </w:r>
      <w:r w:rsidRPr="008546B0">
        <w:rPr>
          <w:rFonts w:ascii="Arial" w:hAnsi="Arial" w:cs="Arial"/>
          <w:sz w:val="24"/>
          <w:szCs w:val="24"/>
        </w:rPr>
        <w:lastRenderedPageBreak/>
        <w:t xml:space="preserve">ukládání kabelů). Montáž bude provedena tak, aby nedošlo k deformaci kabelů a následně ke zhoršení přenosových vlastností. 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Rozvody kabelů budou provedeny dle ČSN 34 2300, zejména je nutné dodržet podmínky souběhu vedení se silovými rozvody.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Návrh zařízení je nutno provést v souladu s platnou ČSN 33 2000-5-51 (Výběr a stavby el. zařízení, vnější vlivy).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pStyle w:val="Nadpis2"/>
        <w:jc w:val="both"/>
        <w:rPr>
          <w:rFonts w:cs="Arial"/>
        </w:rPr>
      </w:pPr>
      <w:bookmarkStart w:id="44" w:name="_Toc318193502"/>
      <w:bookmarkStart w:id="45" w:name="_Toc484778855"/>
      <w:bookmarkStart w:id="46" w:name="_Toc497743854"/>
      <w:r w:rsidRPr="008546B0">
        <w:rPr>
          <w:rFonts w:cs="Arial"/>
        </w:rPr>
        <w:t>Měření, revize a zkoušky</w:t>
      </w:r>
      <w:bookmarkEnd w:id="44"/>
      <w:bookmarkEnd w:id="45"/>
      <w:bookmarkEnd w:id="46"/>
    </w:p>
    <w:p w:rsidR="00AB2726" w:rsidRDefault="00AB2726" w:rsidP="00AB2726">
      <w:pPr>
        <w:jc w:val="both"/>
        <w:rPr>
          <w:sz w:val="24"/>
          <w:szCs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8546B0">
        <w:rPr>
          <w:rFonts w:ascii="Arial" w:hAnsi="Arial" w:cs="Arial"/>
          <w:sz w:val="24"/>
          <w:szCs w:val="24"/>
        </w:rPr>
        <w:t>Před uvedením zařízení do provozu je nutné provést výchozí revizi el. zařízení dle ČSN 33 1500 a ČSN 33 200-6-61. Dále je nutné provést individuální a komplexní vyzkoušení zařízení.</w:t>
      </w:r>
    </w:p>
    <w:p w:rsidR="00AB2726" w:rsidRDefault="00AB2726" w:rsidP="00AB2726">
      <w:pPr>
        <w:jc w:val="both"/>
        <w:rPr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ab/>
      </w:r>
    </w:p>
    <w:p w:rsidR="00AB2726" w:rsidRDefault="00AB2726" w:rsidP="00AB2726">
      <w:pPr>
        <w:pStyle w:val="Nadpis2"/>
        <w:jc w:val="both"/>
      </w:pPr>
      <w:bookmarkStart w:id="47" w:name="_Toc318193503"/>
      <w:bookmarkStart w:id="48" w:name="_Toc484778856"/>
      <w:bookmarkStart w:id="49" w:name="_Toc497743855"/>
      <w:r w:rsidRPr="008546B0">
        <w:rPr>
          <w:rFonts w:cs="Arial"/>
        </w:rPr>
        <w:t>Podmínky dodržení BOZP</w:t>
      </w:r>
      <w:bookmarkEnd w:id="47"/>
      <w:bookmarkEnd w:id="48"/>
      <w:bookmarkEnd w:id="49"/>
      <w:r>
        <w:rPr>
          <w:b w:val="0"/>
        </w:rPr>
        <w:tab/>
      </w:r>
    </w:p>
    <w:p w:rsidR="00AB2726" w:rsidRDefault="00AB2726" w:rsidP="00AB2726">
      <w:pPr>
        <w:pStyle w:val="Odstavec1"/>
        <w:ind w:firstLine="0"/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>
        <w:tab/>
      </w:r>
      <w:r w:rsidRPr="008546B0">
        <w:rPr>
          <w:rFonts w:ascii="Arial" w:hAnsi="Arial" w:cs="Arial"/>
          <w:sz w:val="24"/>
          <w:szCs w:val="24"/>
        </w:rPr>
        <w:t>Při montážních pracích musí být dodrženy ustanovení příslušných vyhlášek, předpisů a norem pro práci na elektrickém zařízení, bezpečnostní (ČSN 34 1100) a požární předpisy pro práci v tomto prostředí.</w:t>
      </w:r>
    </w:p>
    <w:p w:rsidR="00AB2726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Všechny části stavby byly navrženy v souladu s předpisy platnými v České republice. Veškeré stavební práce budou prováděny odbornou firmou k této činnosti způsobilou. Při stavebních pracích budou dodrženy zásady bezpečné práce na elektrickém zařízení.</w:t>
      </w:r>
    </w:p>
    <w:p w:rsidR="00AB2726" w:rsidRDefault="00AB2726" w:rsidP="00AB2726">
      <w:pPr>
        <w:pStyle w:val="Odstavec1"/>
        <w:ind w:firstLine="0"/>
      </w:pPr>
    </w:p>
    <w:p w:rsidR="00AB2726" w:rsidRPr="008546B0" w:rsidRDefault="00AB2726" w:rsidP="00AB2726">
      <w:pPr>
        <w:pStyle w:val="Nadpis2"/>
        <w:jc w:val="both"/>
        <w:rPr>
          <w:rFonts w:cs="Arial"/>
        </w:rPr>
      </w:pPr>
      <w:bookmarkStart w:id="50" w:name="_Toc318193504"/>
      <w:bookmarkStart w:id="51" w:name="_Toc484778857"/>
      <w:bookmarkStart w:id="52" w:name="_Toc497743856"/>
      <w:r w:rsidRPr="008546B0">
        <w:rPr>
          <w:rFonts w:cs="Arial"/>
        </w:rPr>
        <w:t>Kvalifikační požadavky na realizátora</w:t>
      </w:r>
      <w:bookmarkEnd w:id="50"/>
      <w:bookmarkEnd w:id="51"/>
      <w:bookmarkEnd w:id="52"/>
    </w:p>
    <w:p w:rsidR="00AB2726" w:rsidRDefault="00AB2726" w:rsidP="00AB2726">
      <w:pPr>
        <w:jc w:val="both"/>
        <w:rPr>
          <w:sz w:val="24"/>
          <w:szCs w:val="24"/>
        </w:rPr>
      </w:pP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ab/>
      </w:r>
      <w:r w:rsidRPr="008546B0">
        <w:rPr>
          <w:rFonts w:ascii="Arial" w:hAnsi="Arial" w:cs="Arial"/>
          <w:sz w:val="24"/>
          <w:szCs w:val="24"/>
        </w:rPr>
        <w:t>Instalaci rozvodů mohou provádět pouze osoby, které byly prokazatelně proškoleny ve smyslu požadavku §5 vyhlášky č. 50/1978 Sb. a které jsou způsobilé k montáži jednotlivých zařízení.</w:t>
      </w:r>
    </w:p>
    <w:p w:rsidR="00AB2726" w:rsidRDefault="00AB2726" w:rsidP="00AB2726">
      <w:pPr>
        <w:pStyle w:val="Odstavec1"/>
        <w:ind w:firstLine="0"/>
      </w:pPr>
      <w:r>
        <w:t xml:space="preserve"> </w:t>
      </w:r>
    </w:p>
    <w:p w:rsidR="00AB2726" w:rsidRDefault="00AB2726" w:rsidP="00AB2726">
      <w:pPr>
        <w:pStyle w:val="Odstavec1"/>
        <w:ind w:firstLine="0"/>
      </w:pPr>
    </w:p>
    <w:p w:rsidR="00AB2726" w:rsidRPr="008546B0" w:rsidRDefault="00AB2726" w:rsidP="00AB2726">
      <w:pPr>
        <w:pStyle w:val="Nadpis1"/>
        <w:rPr>
          <w:rFonts w:cs="Arial"/>
        </w:rPr>
      </w:pPr>
      <w:bookmarkStart w:id="53" w:name="_Toc318193505"/>
      <w:bookmarkStart w:id="54" w:name="_Toc484778858"/>
      <w:bookmarkStart w:id="55" w:name="_Toc497743857"/>
      <w:r w:rsidRPr="008546B0">
        <w:rPr>
          <w:rFonts w:cs="Arial"/>
        </w:rPr>
        <w:t>ZÁVĚR</w:t>
      </w:r>
      <w:bookmarkEnd w:id="53"/>
      <w:bookmarkEnd w:id="54"/>
      <w:bookmarkEnd w:id="55"/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Na staveništi se vyskytují inženýrské sítě. Před započetím veškerých výkopových</w:t>
      </w:r>
      <w:r>
        <w:rPr>
          <w:rFonts w:ascii="Arial" w:hAnsi="Arial" w:cs="Arial"/>
          <w:sz w:val="24"/>
          <w:szCs w:val="24"/>
        </w:rPr>
        <w:t xml:space="preserve"> </w:t>
      </w:r>
      <w:r w:rsidRPr="008546B0">
        <w:rPr>
          <w:rFonts w:ascii="Arial" w:hAnsi="Arial" w:cs="Arial"/>
          <w:sz w:val="24"/>
          <w:szCs w:val="24"/>
        </w:rPr>
        <w:t xml:space="preserve">prací je nutné zajištění a koordinace mapových podkladů veškerých inženýrských sítí! 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Nedílnou součástí projektové dokumentace jsou finální vyjádření správců zúčastněných sítí, bez kterých není možné zahájit jakékoli práce v ochranném pásmu kabelových tras.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Před zahájením výkopových prací je nutné seznámit se se všemi body vyjádření a vzít na vědomí veškeré připomínky a upozornění uvedená ve vyjádření správců inženýrských sítí tyto bezpodmínečně dodržet! V případě jakýchkoli nejasností ihned kontaktovat správce sítě, nebo projektanta, a to ještě před zahájením veškerých prací.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lastRenderedPageBreak/>
        <w:t>Dále je nutné zajistit, před zahájením veškerých zemních prací vytýčení všech inženýrských sítí (stávajících i nově navržených) jejich správci přímo na staveništi a dozor správců sítí při provádění výkopových a ostatních prací!  V místech výskytu stávajících zemních rozvodů je nutné veškeré výkopové práce provádět výhradně ručně a se zvýšenou opatrností!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Při jakémkoliv poškození nebo i náznaku poškození, je nutné, ihned kontaktovat správce sítě k prohlídce místa a zajištění odborné opravy.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Před realizací veškerých prací (včetně zemních a přípravných) je nutné seznámit se všemi body všeobecných podmínek pro provádění prací v blízkosti telekomunikačních sítí., uvedených ve vyjádření o existenci podzemních vedení telekomunikačních sítí od všech provozovatelů zúčastněných vedení. Při realizaci je nutné veškeré body těchto podmínek bezpodmínečně dodržet.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Prostorové uspořádání řešených kabelů ve výkopu musí být řešeno tak, aby vyhovovalo veškerým požadavkům všech předmětných ČN a všem bodům všeobecných podmínek pro provádění prací v blízkosti inženýrských sítí., uvedených ve vyjádření o existenci podzemních inženýrských sítí od všech provozovatelů zúčastněných vedení.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 xml:space="preserve">  </w:t>
      </w:r>
    </w:p>
    <w:p w:rsidR="00AB2726" w:rsidRPr="008546B0" w:rsidRDefault="00AB2726" w:rsidP="00AB272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546B0">
        <w:rPr>
          <w:rFonts w:ascii="Arial" w:hAnsi="Arial" w:cs="Arial"/>
          <w:sz w:val="24"/>
          <w:szCs w:val="24"/>
        </w:rPr>
        <w:t>Projektová dokumentace stanoví technické a uživatelské standardy staveb. Konkrétní materiály a výrobky uvedené v projektové dokumentaci určují specifikaci (viz. technické listy výrobků), jež musí splňovat případné alternativy. Záměny materiálů a výrobků jsou akceptovatelné za předpokladu, že budou tyto vlastnosti dodrženy bez vyvolání zásadních změn v projektovém řešení (bod 6 §48 zákona 40/2004sb.). Veškeré změny je nutno konzultovat s projektantem a autorem architektonického návrhu.</w:t>
      </w:r>
    </w:p>
    <w:p w:rsidR="00AB2726" w:rsidRPr="008546B0" w:rsidRDefault="00AB2726" w:rsidP="00AB2726">
      <w:pPr>
        <w:jc w:val="both"/>
        <w:rPr>
          <w:rFonts w:ascii="Arial" w:hAnsi="Arial" w:cs="Arial"/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p w:rsidR="00AB2726" w:rsidRDefault="00AB2726" w:rsidP="00AB2726">
      <w:pPr>
        <w:rPr>
          <w:sz w:val="24"/>
          <w:szCs w:val="24"/>
        </w:rPr>
      </w:pPr>
    </w:p>
    <w:bookmarkEnd w:id="34"/>
    <w:p w:rsidR="00AB2726" w:rsidRDefault="00AB2726" w:rsidP="00AB2726">
      <w:pPr>
        <w:jc w:val="both"/>
        <w:rPr>
          <w:rFonts w:ascii="Arial" w:hAnsi="Arial" w:cs="Arial"/>
          <w:sz w:val="22"/>
          <w:szCs w:val="22"/>
        </w:rPr>
      </w:pPr>
    </w:p>
    <w:p w:rsidR="00AB2726" w:rsidRPr="00C071E2" w:rsidRDefault="00AB2726" w:rsidP="00AB2726">
      <w:pPr>
        <w:jc w:val="both"/>
        <w:rPr>
          <w:rFonts w:ascii="Arial" w:hAnsi="Arial" w:cs="Arial"/>
          <w:sz w:val="22"/>
          <w:szCs w:val="22"/>
        </w:rPr>
      </w:pPr>
      <w:r w:rsidRPr="00C071E2">
        <w:rPr>
          <w:rFonts w:ascii="Arial" w:hAnsi="Arial" w:cs="Arial"/>
          <w:sz w:val="22"/>
          <w:szCs w:val="22"/>
        </w:rPr>
        <w:t xml:space="preserve">V Olomouci dne </w:t>
      </w:r>
      <w:r w:rsidR="00D7088F">
        <w:rPr>
          <w:rFonts w:ascii="Arial" w:hAnsi="Arial" w:cs="Arial"/>
          <w:sz w:val="22"/>
          <w:szCs w:val="22"/>
        </w:rPr>
        <w:t>13</w:t>
      </w:r>
      <w:r w:rsidRPr="00C071E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D7088F">
        <w:rPr>
          <w:rFonts w:ascii="Arial" w:hAnsi="Arial" w:cs="Arial"/>
          <w:sz w:val="22"/>
          <w:szCs w:val="22"/>
        </w:rPr>
        <w:t>6</w:t>
      </w:r>
      <w:r w:rsidRPr="00C071E2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>1</w:t>
      </w:r>
      <w:r w:rsidR="00D7088F">
        <w:rPr>
          <w:rFonts w:ascii="Arial" w:hAnsi="Arial" w:cs="Arial"/>
          <w:sz w:val="22"/>
          <w:szCs w:val="22"/>
        </w:rPr>
        <w:t>8</w:t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  <w:t xml:space="preserve">                   </w:t>
      </w:r>
      <w:r>
        <w:rPr>
          <w:rFonts w:ascii="Arial" w:hAnsi="Arial" w:cs="Arial"/>
          <w:sz w:val="22"/>
          <w:szCs w:val="22"/>
        </w:rPr>
        <w:tab/>
      </w:r>
      <w:r w:rsidRPr="001C7B69">
        <w:rPr>
          <w:rFonts w:ascii="Arial" w:hAnsi="Arial" w:cs="Arial"/>
          <w:b/>
          <w:sz w:val="22"/>
          <w:szCs w:val="22"/>
        </w:rPr>
        <w:t>Michal Svoboda</w:t>
      </w:r>
    </w:p>
    <w:p w:rsidR="00AB2726" w:rsidRPr="00C071E2" w:rsidRDefault="00AB2726" w:rsidP="00AB2726">
      <w:pPr>
        <w:jc w:val="both"/>
        <w:rPr>
          <w:rFonts w:ascii="Arial" w:hAnsi="Arial" w:cs="Arial"/>
          <w:sz w:val="22"/>
          <w:szCs w:val="22"/>
        </w:rPr>
      </w:pP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>projektant</w:t>
      </w:r>
      <w:r w:rsidRPr="00C071E2">
        <w:rPr>
          <w:rFonts w:ascii="Arial" w:hAnsi="Arial" w:cs="Arial"/>
          <w:sz w:val="22"/>
          <w:szCs w:val="22"/>
        </w:rPr>
        <w:tab/>
      </w:r>
      <w:r w:rsidRPr="00C071E2">
        <w:rPr>
          <w:rFonts w:ascii="Arial" w:hAnsi="Arial" w:cs="Arial"/>
          <w:sz w:val="22"/>
          <w:szCs w:val="22"/>
        </w:rPr>
        <w:tab/>
      </w:r>
    </w:p>
    <w:p w:rsidR="00AB2726" w:rsidRPr="00C071E2" w:rsidRDefault="00AB2726" w:rsidP="00AB272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 w:rsidRPr="001C7B69">
        <w:rPr>
          <w:rFonts w:ascii="Arial" w:hAnsi="Arial" w:cs="Arial"/>
          <w:b/>
          <w:sz w:val="22"/>
          <w:szCs w:val="22"/>
        </w:rPr>
        <w:t>MERIT GROUP a.s</w:t>
      </w:r>
      <w:r>
        <w:rPr>
          <w:rFonts w:ascii="Arial" w:hAnsi="Arial" w:cs="Arial"/>
          <w:sz w:val="22"/>
          <w:szCs w:val="22"/>
        </w:rPr>
        <w:t>.</w:t>
      </w:r>
    </w:p>
    <w:p w:rsidR="00AB2726" w:rsidRPr="00C2034C" w:rsidRDefault="00AB2726" w:rsidP="00AB2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569CE" w:rsidRDefault="000569CE" w:rsidP="00AB2726">
      <w:pPr>
        <w:pStyle w:val="Nadpis1"/>
        <w:numPr>
          <w:ilvl w:val="0"/>
          <w:numId w:val="0"/>
        </w:numPr>
        <w:ind w:left="432" w:hanging="432"/>
      </w:pPr>
    </w:p>
    <w:sectPr w:rsidR="000569CE" w:rsidSect="00772B90">
      <w:headerReference w:type="default" r:id="rId11"/>
      <w:footerReference w:type="even" r:id="rId12"/>
      <w:footerReference w:type="default" r:id="rId13"/>
      <w:footerReference w:type="first" r:id="rId14"/>
      <w:pgSz w:w="11906" w:h="16838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ED" w:rsidRDefault="00930EED">
      <w:r>
        <w:separator/>
      </w:r>
    </w:p>
  </w:endnote>
  <w:endnote w:type="continuationSeparator" w:id="0">
    <w:p w:rsidR="00930EED" w:rsidRDefault="0093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E6" w:rsidRPr="00C73BC9" w:rsidRDefault="00E07AE6" w:rsidP="000D2AC2">
    <w:pPr>
      <w:pStyle w:val="Zpa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0FFADEE" wp14:editId="1BC06ADD">
          <wp:simplePos x="0" y="0"/>
          <wp:positionH relativeFrom="margin">
            <wp:align>right</wp:align>
          </wp:positionH>
          <wp:positionV relativeFrom="paragraph">
            <wp:posOffset>241300</wp:posOffset>
          </wp:positionV>
          <wp:extent cx="2051685" cy="892810"/>
          <wp:effectExtent l="0" t="0" r="5715" b="2540"/>
          <wp:wrapSquare wrapText="bothSides"/>
          <wp:docPr id="1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kontakt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BC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D06D3D" wp14:editId="39FB858B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5734050" cy="0"/>
              <wp:effectExtent l="0" t="0" r="19050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0991C7"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" strokecolor="#c4bc96 [2414]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4144" behindDoc="0" locked="0" layoutInCell="1" allowOverlap="1" wp14:anchorId="013EEACF" wp14:editId="65C2BB59">
          <wp:simplePos x="0" y="0"/>
          <wp:positionH relativeFrom="margin">
            <wp:align>left</wp:align>
          </wp:positionH>
          <wp:positionV relativeFrom="page">
            <wp:posOffset>9408795</wp:posOffset>
          </wp:positionV>
          <wp:extent cx="1403985" cy="608330"/>
          <wp:effectExtent l="0" t="0" r="5715" b="1270"/>
          <wp:wrapSquare wrapText="bothSides"/>
          <wp:docPr id="2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0C" w:rsidRDefault="0048180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8180C" w:rsidRDefault="0048180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0C" w:rsidRPr="00FB4DFD" w:rsidRDefault="0048180C" w:rsidP="003D34CE">
    <w:pPr>
      <w:pStyle w:val="Zpat"/>
      <w:pBdr>
        <w:top w:val="single" w:sz="4" w:space="1" w:color="auto"/>
      </w:pBdr>
      <w:ind w:right="-2"/>
      <w:rPr>
        <w:rFonts w:ascii="Arial" w:hAnsi="Arial"/>
        <w:snapToGrid w:val="0"/>
        <w:sz w:val="16"/>
      </w:rPr>
    </w:pPr>
    <w:r>
      <w:rPr>
        <w:rFonts w:ascii="Arial" w:hAnsi="Arial"/>
        <w:snapToGrid w:val="0"/>
        <w:sz w:val="16"/>
      </w:rPr>
      <w:tab/>
    </w:r>
    <w:r>
      <w:rPr>
        <w:rFonts w:ascii="Arial" w:hAnsi="Arial"/>
        <w:snapToGrid w:val="0"/>
        <w:sz w:val="16"/>
      </w:rPr>
      <w:tab/>
      <w:t xml:space="preserve">počet listů: 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NUMPAGES </w:instrText>
    </w:r>
    <w:r>
      <w:rPr>
        <w:rStyle w:val="slostrnky"/>
        <w:rFonts w:ascii="Arial" w:hAnsi="Arial"/>
        <w:sz w:val="16"/>
      </w:rPr>
      <w:fldChar w:fldCharType="separate"/>
    </w:r>
    <w:r w:rsidR="006558A2">
      <w:rPr>
        <w:rStyle w:val="slostrnky"/>
        <w:rFonts w:ascii="Arial" w:hAnsi="Arial"/>
        <w:noProof/>
        <w:sz w:val="16"/>
      </w:rPr>
      <w:t>10</w:t>
    </w:r>
    <w:r>
      <w:rPr>
        <w:rStyle w:val="slostrnky"/>
        <w:rFonts w:ascii="Arial" w:hAnsi="Arial"/>
        <w:sz w:val="16"/>
      </w:rPr>
      <w:fldChar w:fldCharType="end"/>
    </w:r>
    <w:r>
      <w:rPr>
        <w:rStyle w:val="slostrnky"/>
        <w:rFonts w:ascii="Arial" w:hAnsi="Arial"/>
        <w:sz w:val="16"/>
      </w:rPr>
      <w:t xml:space="preserve">  list č.:</w:t>
    </w:r>
    <w:r>
      <w:rPr>
        <w:rStyle w:val="slostrnky"/>
        <w:rFonts w:ascii="Arial" w:hAnsi="Arial"/>
        <w:sz w:val="16"/>
      </w:rPr>
      <w:fldChar w:fldCharType="begin"/>
    </w:r>
    <w:r>
      <w:rPr>
        <w:rStyle w:val="slostrnky"/>
        <w:rFonts w:ascii="Arial" w:hAnsi="Arial"/>
        <w:sz w:val="16"/>
      </w:rPr>
      <w:instrText xml:space="preserve"> PAGE </w:instrText>
    </w:r>
    <w:r>
      <w:rPr>
        <w:rStyle w:val="slostrnky"/>
        <w:rFonts w:ascii="Arial" w:hAnsi="Arial"/>
        <w:sz w:val="16"/>
      </w:rPr>
      <w:fldChar w:fldCharType="separate"/>
    </w:r>
    <w:r w:rsidR="006558A2">
      <w:rPr>
        <w:rStyle w:val="slostrnky"/>
        <w:rFonts w:ascii="Arial" w:hAnsi="Arial"/>
        <w:noProof/>
        <w:sz w:val="16"/>
      </w:rPr>
      <w:t>3</w:t>
    </w:r>
    <w:r>
      <w:rPr>
        <w:rStyle w:val="slostrnky"/>
        <w:rFonts w:ascii="Arial" w:hAnsi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5C6" w:rsidRDefault="009845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ED" w:rsidRDefault="00930EED">
      <w:r>
        <w:separator/>
      </w:r>
    </w:p>
  </w:footnote>
  <w:footnote w:type="continuationSeparator" w:id="0">
    <w:p w:rsidR="00930EED" w:rsidRDefault="0093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E6" w:rsidRDefault="00E07AE6" w:rsidP="000D2AC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F132CD" wp14:editId="1536C3BC">
          <wp:simplePos x="0" y="0"/>
          <wp:positionH relativeFrom="margin">
            <wp:posOffset>-952500</wp:posOffset>
          </wp:positionH>
          <wp:positionV relativeFrom="margin">
            <wp:posOffset>-278130</wp:posOffset>
          </wp:positionV>
          <wp:extent cx="7665720" cy="5379720"/>
          <wp:effectExtent l="0" t="0" r="0" b="0"/>
          <wp:wrapNone/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blina_noble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720" cy="537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E07AE6" w:rsidRDefault="00E07AE6" w:rsidP="000D2A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ED" w:rsidRPr="008F7822" w:rsidRDefault="009C34C4" w:rsidP="00F26CED">
    <w:pPr>
      <w:pStyle w:val="Zhlav"/>
    </w:pPr>
    <w:r w:rsidRPr="009C34C4">
      <w:t>FN Olomouc – Přístavba objektu „P“ pro ambulance a stacionář HOK</w:t>
    </w:r>
    <w:r>
      <w:t xml:space="preserve">  </w:t>
    </w:r>
    <w:r w:rsidR="00F26CED">
      <w:t xml:space="preserve"> </w:t>
    </w:r>
  </w:p>
  <w:p w:rsidR="0048180C" w:rsidRPr="00F26CED" w:rsidRDefault="0048180C" w:rsidP="00F26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660DE"/>
    <w:multiLevelType w:val="multilevel"/>
    <w:tmpl w:val="E922479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CF2257"/>
    <w:multiLevelType w:val="hybridMultilevel"/>
    <w:tmpl w:val="B4B05DE6"/>
    <w:lvl w:ilvl="0" w:tplc="F196C7A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CA959DA"/>
    <w:multiLevelType w:val="singleLevel"/>
    <w:tmpl w:val="90F0CFD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47A83AF3"/>
    <w:multiLevelType w:val="hybridMultilevel"/>
    <w:tmpl w:val="787A5ED6"/>
    <w:lvl w:ilvl="0" w:tplc="00000001">
      <w:numFmt w:val="bullet"/>
      <w:lvlText w:val="-"/>
      <w:lvlJc w:val="left"/>
      <w:pPr>
        <w:tabs>
          <w:tab w:val="num" w:pos="306"/>
        </w:tabs>
        <w:ind w:left="306" w:hanging="283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3DC7"/>
    <w:multiLevelType w:val="hybridMultilevel"/>
    <w:tmpl w:val="8EA48C8E"/>
    <w:lvl w:ilvl="0" w:tplc="00000001">
      <w:numFmt w:val="bullet"/>
      <w:lvlText w:val="-"/>
      <w:lvlJc w:val="left"/>
      <w:pPr>
        <w:tabs>
          <w:tab w:val="num" w:pos="306"/>
        </w:tabs>
        <w:ind w:left="306" w:hanging="283"/>
      </w:pPr>
      <w:rPr>
        <w:rFonts w:ascii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54895"/>
    <w:multiLevelType w:val="hybridMultilevel"/>
    <w:tmpl w:val="62385A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A0C57"/>
    <w:multiLevelType w:val="singleLevel"/>
    <w:tmpl w:val="0CBAA7B4"/>
    <w:lvl w:ilvl="0">
      <w:start w:val="5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5118C4"/>
    <w:multiLevelType w:val="hybridMultilevel"/>
    <w:tmpl w:val="8850DF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11A21"/>
    <w:multiLevelType w:val="hybridMultilevel"/>
    <w:tmpl w:val="0DE2D55A"/>
    <w:lvl w:ilvl="0" w:tplc="26F4C64C">
      <w:start w:val="1"/>
      <w:numFmt w:val="upperLetter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75A0C10"/>
    <w:multiLevelType w:val="multilevel"/>
    <w:tmpl w:val="AE2A05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7DF857DF"/>
    <w:multiLevelType w:val="hybridMultilevel"/>
    <w:tmpl w:val="79A651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8"/>
  </w:num>
  <w:num w:numId="32">
    <w:abstractNumId w:val="1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margin;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178"/>
    <w:rsid w:val="00002387"/>
    <w:rsid w:val="00004E99"/>
    <w:rsid w:val="00004FA7"/>
    <w:rsid w:val="0000599F"/>
    <w:rsid w:val="00006BCD"/>
    <w:rsid w:val="00013405"/>
    <w:rsid w:val="000139BC"/>
    <w:rsid w:val="000143ED"/>
    <w:rsid w:val="00020EE3"/>
    <w:rsid w:val="000222FB"/>
    <w:rsid w:val="00023FFF"/>
    <w:rsid w:val="000249D9"/>
    <w:rsid w:val="00026C55"/>
    <w:rsid w:val="00030322"/>
    <w:rsid w:val="00031A9C"/>
    <w:rsid w:val="00033348"/>
    <w:rsid w:val="000351F5"/>
    <w:rsid w:val="000359F6"/>
    <w:rsid w:val="00043C7E"/>
    <w:rsid w:val="00044474"/>
    <w:rsid w:val="00044486"/>
    <w:rsid w:val="0005373E"/>
    <w:rsid w:val="0005558B"/>
    <w:rsid w:val="00056409"/>
    <w:rsid w:val="000569CE"/>
    <w:rsid w:val="00060B30"/>
    <w:rsid w:val="0006599F"/>
    <w:rsid w:val="00066105"/>
    <w:rsid w:val="00066FFA"/>
    <w:rsid w:val="0007142A"/>
    <w:rsid w:val="000751A4"/>
    <w:rsid w:val="00076851"/>
    <w:rsid w:val="000768F6"/>
    <w:rsid w:val="00076EDE"/>
    <w:rsid w:val="00080880"/>
    <w:rsid w:val="000869EE"/>
    <w:rsid w:val="0009314F"/>
    <w:rsid w:val="000945A0"/>
    <w:rsid w:val="000946C8"/>
    <w:rsid w:val="000969A5"/>
    <w:rsid w:val="00096AA8"/>
    <w:rsid w:val="00097A8A"/>
    <w:rsid w:val="000A0AED"/>
    <w:rsid w:val="000A126C"/>
    <w:rsid w:val="000A1FDE"/>
    <w:rsid w:val="000A23A0"/>
    <w:rsid w:val="000A4380"/>
    <w:rsid w:val="000A447C"/>
    <w:rsid w:val="000A4527"/>
    <w:rsid w:val="000B216B"/>
    <w:rsid w:val="000B4181"/>
    <w:rsid w:val="000C1DDF"/>
    <w:rsid w:val="000C2ED9"/>
    <w:rsid w:val="000C46FA"/>
    <w:rsid w:val="000C55D0"/>
    <w:rsid w:val="000C784E"/>
    <w:rsid w:val="000D386E"/>
    <w:rsid w:val="000D4153"/>
    <w:rsid w:val="000D66B9"/>
    <w:rsid w:val="000E2675"/>
    <w:rsid w:val="000E346F"/>
    <w:rsid w:val="000E430B"/>
    <w:rsid w:val="000F0064"/>
    <w:rsid w:val="000F4B30"/>
    <w:rsid w:val="000F650A"/>
    <w:rsid w:val="000F7510"/>
    <w:rsid w:val="000F7584"/>
    <w:rsid w:val="00100209"/>
    <w:rsid w:val="00101559"/>
    <w:rsid w:val="0010200E"/>
    <w:rsid w:val="001033B8"/>
    <w:rsid w:val="0010348A"/>
    <w:rsid w:val="00105BB4"/>
    <w:rsid w:val="0010738A"/>
    <w:rsid w:val="0011333D"/>
    <w:rsid w:val="00114F78"/>
    <w:rsid w:val="00115520"/>
    <w:rsid w:val="00117596"/>
    <w:rsid w:val="00117BC4"/>
    <w:rsid w:val="0012120A"/>
    <w:rsid w:val="00122BDE"/>
    <w:rsid w:val="00123080"/>
    <w:rsid w:val="0012727C"/>
    <w:rsid w:val="001302A0"/>
    <w:rsid w:val="001310C1"/>
    <w:rsid w:val="001326EC"/>
    <w:rsid w:val="001335B1"/>
    <w:rsid w:val="001363C2"/>
    <w:rsid w:val="00136F8F"/>
    <w:rsid w:val="001411D9"/>
    <w:rsid w:val="001424D3"/>
    <w:rsid w:val="00142AED"/>
    <w:rsid w:val="00144D57"/>
    <w:rsid w:val="00145063"/>
    <w:rsid w:val="00146729"/>
    <w:rsid w:val="00147BDE"/>
    <w:rsid w:val="00147D80"/>
    <w:rsid w:val="00150FB5"/>
    <w:rsid w:val="00152DCA"/>
    <w:rsid w:val="00152EEF"/>
    <w:rsid w:val="001608DB"/>
    <w:rsid w:val="00161C5A"/>
    <w:rsid w:val="00165D34"/>
    <w:rsid w:val="00166E9F"/>
    <w:rsid w:val="0016774B"/>
    <w:rsid w:val="001678F8"/>
    <w:rsid w:val="001739F0"/>
    <w:rsid w:val="00174535"/>
    <w:rsid w:val="00174F38"/>
    <w:rsid w:val="00174F70"/>
    <w:rsid w:val="001760FB"/>
    <w:rsid w:val="001768C6"/>
    <w:rsid w:val="00177076"/>
    <w:rsid w:val="00181044"/>
    <w:rsid w:val="00181204"/>
    <w:rsid w:val="00181F9B"/>
    <w:rsid w:val="001823CC"/>
    <w:rsid w:val="00183857"/>
    <w:rsid w:val="00184F23"/>
    <w:rsid w:val="001852DA"/>
    <w:rsid w:val="001855D3"/>
    <w:rsid w:val="00187070"/>
    <w:rsid w:val="00190009"/>
    <w:rsid w:val="00196CFB"/>
    <w:rsid w:val="001A1577"/>
    <w:rsid w:val="001B0A92"/>
    <w:rsid w:val="001B1208"/>
    <w:rsid w:val="001B2797"/>
    <w:rsid w:val="001B2AA7"/>
    <w:rsid w:val="001B4A0C"/>
    <w:rsid w:val="001B7EA3"/>
    <w:rsid w:val="001C3038"/>
    <w:rsid w:val="001C33E1"/>
    <w:rsid w:val="001C3BDB"/>
    <w:rsid w:val="001C741B"/>
    <w:rsid w:val="001C7B69"/>
    <w:rsid w:val="001D0F8E"/>
    <w:rsid w:val="001D2D4D"/>
    <w:rsid w:val="001D3257"/>
    <w:rsid w:val="001E1678"/>
    <w:rsid w:val="001E3A7E"/>
    <w:rsid w:val="001E6BC1"/>
    <w:rsid w:val="001E7116"/>
    <w:rsid w:val="001E78F7"/>
    <w:rsid w:val="001F04DF"/>
    <w:rsid w:val="001F0933"/>
    <w:rsid w:val="001F3655"/>
    <w:rsid w:val="001F669A"/>
    <w:rsid w:val="001F6D55"/>
    <w:rsid w:val="00205573"/>
    <w:rsid w:val="0020659A"/>
    <w:rsid w:val="002115B0"/>
    <w:rsid w:val="002124A1"/>
    <w:rsid w:val="00215EB3"/>
    <w:rsid w:val="00216283"/>
    <w:rsid w:val="00216D25"/>
    <w:rsid w:val="002178C6"/>
    <w:rsid w:val="00222F06"/>
    <w:rsid w:val="00224540"/>
    <w:rsid w:val="0022460C"/>
    <w:rsid w:val="00224DF6"/>
    <w:rsid w:val="00224F0D"/>
    <w:rsid w:val="002264C8"/>
    <w:rsid w:val="00227C47"/>
    <w:rsid w:val="002337C2"/>
    <w:rsid w:val="002403C8"/>
    <w:rsid w:val="00241B68"/>
    <w:rsid w:val="0024457D"/>
    <w:rsid w:val="002446AF"/>
    <w:rsid w:val="00245AB4"/>
    <w:rsid w:val="00247817"/>
    <w:rsid w:val="00247B81"/>
    <w:rsid w:val="002504B5"/>
    <w:rsid w:val="00250E20"/>
    <w:rsid w:val="00252666"/>
    <w:rsid w:val="00260A3D"/>
    <w:rsid w:val="0026198E"/>
    <w:rsid w:val="00263617"/>
    <w:rsid w:val="002653F6"/>
    <w:rsid w:val="002667AF"/>
    <w:rsid w:val="00266A88"/>
    <w:rsid w:val="00275E1D"/>
    <w:rsid w:val="0028034F"/>
    <w:rsid w:val="002835C2"/>
    <w:rsid w:val="00284FCD"/>
    <w:rsid w:val="00285369"/>
    <w:rsid w:val="002A213B"/>
    <w:rsid w:val="002A77CA"/>
    <w:rsid w:val="002B04D4"/>
    <w:rsid w:val="002B0F2D"/>
    <w:rsid w:val="002B2425"/>
    <w:rsid w:val="002B2D66"/>
    <w:rsid w:val="002B2EFD"/>
    <w:rsid w:val="002B3B78"/>
    <w:rsid w:val="002B456D"/>
    <w:rsid w:val="002B716C"/>
    <w:rsid w:val="002C0B8B"/>
    <w:rsid w:val="002C154C"/>
    <w:rsid w:val="002C3620"/>
    <w:rsid w:val="002C369E"/>
    <w:rsid w:val="002C5BEB"/>
    <w:rsid w:val="002C7CD2"/>
    <w:rsid w:val="002D03EB"/>
    <w:rsid w:val="002D4C1D"/>
    <w:rsid w:val="002D57F0"/>
    <w:rsid w:val="002D682A"/>
    <w:rsid w:val="002D7972"/>
    <w:rsid w:val="002E0E1D"/>
    <w:rsid w:val="002E10BE"/>
    <w:rsid w:val="002E261A"/>
    <w:rsid w:val="002E3593"/>
    <w:rsid w:val="002E5216"/>
    <w:rsid w:val="002E64FA"/>
    <w:rsid w:val="002F19A2"/>
    <w:rsid w:val="002F2927"/>
    <w:rsid w:val="002F2BA6"/>
    <w:rsid w:val="002F3B87"/>
    <w:rsid w:val="002F3BEE"/>
    <w:rsid w:val="002F43F7"/>
    <w:rsid w:val="003042D6"/>
    <w:rsid w:val="003043D8"/>
    <w:rsid w:val="00305430"/>
    <w:rsid w:val="00307304"/>
    <w:rsid w:val="003078A4"/>
    <w:rsid w:val="00310D04"/>
    <w:rsid w:val="003121ED"/>
    <w:rsid w:val="00314150"/>
    <w:rsid w:val="00315759"/>
    <w:rsid w:val="00317868"/>
    <w:rsid w:val="00320AE6"/>
    <w:rsid w:val="00321BA0"/>
    <w:rsid w:val="00321EC4"/>
    <w:rsid w:val="00321EEB"/>
    <w:rsid w:val="003231BB"/>
    <w:rsid w:val="00324F4B"/>
    <w:rsid w:val="0032684E"/>
    <w:rsid w:val="003304D6"/>
    <w:rsid w:val="00330883"/>
    <w:rsid w:val="003311D7"/>
    <w:rsid w:val="003329F3"/>
    <w:rsid w:val="00334DAF"/>
    <w:rsid w:val="003372FD"/>
    <w:rsid w:val="0034016E"/>
    <w:rsid w:val="0034065C"/>
    <w:rsid w:val="00341824"/>
    <w:rsid w:val="00341D0C"/>
    <w:rsid w:val="0034510B"/>
    <w:rsid w:val="003465BA"/>
    <w:rsid w:val="00346CD2"/>
    <w:rsid w:val="00347109"/>
    <w:rsid w:val="00350D57"/>
    <w:rsid w:val="00351C87"/>
    <w:rsid w:val="0035310D"/>
    <w:rsid w:val="00355A1D"/>
    <w:rsid w:val="00356F69"/>
    <w:rsid w:val="00357892"/>
    <w:rsid w:val="00361C5A"/>
    <w:rsid w:val="00361D08"/>
    <w:rsid w:val="00362990"/>
    <w:rsid w:val="00362C0F"/>
    <w:rsid w:val="00362DA9"/>
    <w:rsid w:val="00363003"/>
    <w:rsid w:val="00364C3A"/>
    <w:rsid w:val="00365100"/>
    <w:rsid w:val="003749D9"/>
    <w:rsid w:val="00374B94"/>
    <w:rsid w:val="00374CED"/>
    <w:rsid w:val="00376351"/>
    <w:rsid w:val="0038013C"/>
    <w:rsid w:val="003806A6"/>
    <w:rsid w:val="0038179D"/>
    <w:rsid w:val="00384D7C"/>
    <w:rsid w:val="003862D1"/>
    <w:rsid w:val="003866DF"/>
    <w:rsid w:val="00386E8B"/>
    <w:rsid w:val="0038782A"/>
    <w:rsid w:val="003909CF"/>
    <w:rsid w:val="00391642"/>
    <w:rsid w:val="003929A1"/>
    <w:rsid w:val="00392BB3"/>
    <w:rsid w:val="00396F28"/>
    <w:rsid w:val="003A0DA2"/>
    <w:rsid w:val="003A24A1"/>
    <w:rsid w:val="003A2C83"/>
    <w:rsid w:val="003A4628"/>
    <w:rsid w:val="003A594A"/>
    <w:rsid w:val="003A59AA"/>
    <w:rsid w:val="003A678F"/>
    <w:rsid w:val="003A750E"/>
    <w:rsid w:val="003A7C0B"/>
    <w:rsid w:val="003A7C30"/>
    <w:rsid w:val="003B0017"/>
    <w:rsid w:val="003B0178"/>
    <w:rsid w:val="003B0EFF"/>
    <w:rsid w:val="003B1D71"/>
    <w:rsid w:val="003B2B21"/>
    <w:rsid w:val="003B3336"/>
    <w:rsid w:val="003B5601"/>
    <w:rsid w:val="003B78A7"/>
    <w:rsid w:val="003C3B43"/>
    <w:rsid w:val="003C4C6D"/>
    <w:rsid w:val="003C7B97"/>
    <w:rsid w:val="003D0E4E"/>
    <w:rsid w:val="003D2501"/>
    <w:rsid w:val="003D3098"/>
    <w:rsid w:val="003D34CE"/>
    <w:rsid w:val="003D65C6"/>
    <w:rsid w:val="003E0226"/>
    <w:rsid w:val="003E6874"/>
    <w:rsid w:val="003E7680"/>
    <w:rsid w:val="003F2383"/>
    <w:rsid w:val="003F243F"/>
    <w:rsid w:val="0040053C"/>
    <w:rsid w:val="00401392"/>
    <w:rsid w:val="00401D2B"/>
    <w:rsid w:val="00402A20"/>
    <w:rsid w:val="004053EA"/>
    <w:rsid w:val="0041201E"/>
    <w:rsid w:val="004131B5"/>
    <w:rsid w:val="004136ED"/>
    <w:rsid w:val="00413932"/>
    <w:rsid w:val="00417011"/>
    <w:rsid w:val="004170FD"/>
    <w:rsid w:val="00417607"/>
    <w:rsid w:val="004253BE"/>
    <w:rsid w:val="0042596A"/>
    <w:rsid w:val="00426274"/>
    <w:rsid w:val="004267DC"/>
    <w:rsid w:val="004302D6"/>
    <w:rsid w:val="0043399E"/>
    <w:rsid w:val="00433C20"/>
    <w:rsid w:val="00433CAE"/>
    <w:rsid w:val="00433DC9"/>
    <w:rsid w:val="00436222"/>
    <w:rsid w:val="00437C67"/>
    <w:rsid w:val="00440AD9"/>
    <w:rsid w:val="00441D31"/>
    <w:rsid w:val="0044655A"/>
    <w:rsid w:val="004545C6"/>
    <w:rsid w:val="00454F96"/>
    <w:rsid w:val="0045508A"/>
    <w:rsid w:val="00461CB1"/>
    <w:rsid w:val="004624C9"/>
    <w:rsid w:val="00463E69"/>
    <w:rsid w:val="004640D0"/>
    <w:rsid w:val="004653D9"/>
    <w:rsid w:val="00472F1B"/>
    <w:rsid w:val="00473FD3"/>
    <w:rsid w:val="0048180C"/>
    <w:rsid w:val="0048751C"/>
    <w:rsid w:val="004903A4"/>
    <w:rsid w:val="0049087B"/>
    <w:rsid w:val="0049338A"/>
    <w:rsid w:val="00495523"/>
    <w:rsid w:val="00496129"/>
    <w:rsid w:val="00496F28"/>
    <w:rsid w:val="004A07FC"/>
    <w:rsid w:val="004A2F8F"/>
    <w:rsid w:val="004A44BA"/>
    <w:rsid w:val="004A7819"/>
    <w:rsid w:val="004B166C"/>
    <w:rsid w:val="004B2C6D"/>
    <w:rsid w:val="004B3B36"/>
    <w:rsid w:val="004B5F31"/>
    <w:rsid w:val="004B75C7"/>
    <w:rsid w:val="004C0323"/>
    <w:rsid w:val="004C077C"/>
    <w:rsid w:val="004C1E5E"/>
    <w:rsid w:val="004C4BBF"/>
    <w:rsid w:val="004C4C9B"/>
    <w:rsid w:val="004D0FBC"/>
    <w:rsid w:val="004D52C6"/>
    <w:rsid w:val="004D79C1"/>
    <w:rsid w:val="004E1B50"/>
    <w:rsid w:val="004E3755"/>
    <w:rsid w:val="004E42FB"/>
    <w:rsid w:val="004E52B6"/>
    <w:rsid w:val="004E6172"/>
    <w:rsid w:val="004E7F6E"/>
    <w:rsid w:val="004F5A22"/>
    <w:rsid w:val="004F6AD8"/>
    <w:rsid w:val="00502F05"/>
    <w:rsid w:val="00503588"/>
    <w:rsid w:val="00505ADC"/>
    <w:rsid w:val="005077AE"/>
    <w:rsid w:val="00513928"/>
    <w:rsid w:val="00516109"/>
    <w:rsid w:val="0052110C"/>
    <w:rsid w:val="00523654"/>
    <w:rsid w:val="005301B1"/>
    <w:rsid w:val="00531ACC"/>
    <w:rsid w:val="005344A9"/>
    <w:rsid w:val="005347C2"/>
    <w:rsid w:val="005377C9"/>
    <w:rsid w:val="00537D3E"/>
    <w:rsid w:val="005407C1"/>
    <w:rsid w:val="005415DB"/>
    <w:rsid w:val="005426AD"/>
    <w:rsid w:val="00542D2B"/>
    <w:rsid w:val="00542E1E"/>
    <w:rsid w:val="005441B4"/>
    <w:rsid w:val="00544383"/>
    <w:rsid w:val="00544875"/>
    <w:rsid w:val="00544FA9"/>
    <w:rsid w:val="00546B4B"/>
    <w:rsid w:val="00546BE7"/>
    <w:rsid w:val="005477B2"/>
    <w:rsid w:val="00547E63"/>
    <w:rsid w:val="00551460"/>
    <w:rsid w:val="00552888"/>
    <w:rsid w:val="00554003"/>
    <w:rsid w:val="005554F1"/>
    <w:rsid w:val="00555BAC"/>
    <w:rsid w:val="00560502"/>
    <w:rsid w:val="005607A0"/>
    <w:rsid w:val="005607A9"/>
    <w:rsid w:val="0056164A"/>
    <w:rsid w:val="00562A9B"/>
    <w:rsid w:val="00563540"/>
    <w:rsid w:val="00565F8A"/>
    <w:rsid w:val="00567B83"/>
    <w:rsid w:val="00567C08"/>
    <w:rsid w:val="005704A6"/>
    <w:rsid w:val="0057236C"/>
    <w:rsid w:val="005727C6"/>
    <w:rsid w:val="005740D2"/>
    <w:rsid w:val="005758ED"/>
    <w:rsid w:val="00575957"/>
    <w:rsid w:val="00575D0C"/>
    <w:rsid w:val="00577933"/>
    <w:rsid w:val="00580491"/>
    <w:rsid w:val="00587174"/>
    <w:rsid w:val="00591805"/>
    <w:rsid w:val="00591DF0"/>
    <w:rsid w:val="0059215C"/>
    <w:rsid w:val="00593795"/>
    <w:rsid w:val="00593D44"/>
    <w:rsid w:val="00594C63"/>
    <w:rsid w:val="005A19AB"/>
    <w:rsid w:val="005A28A6"/>
    <w:rsid w:val="005A6B0D"/>
    <w:rsid w:val="005A7257"/>
    <w:rsid w:val="005A79C9"/>
    <w:rsid w:val="005B18F8"/>
    <w:rsid w:val="005B4B95"/>
    <w:rsid w:val="005B51C3"/>
    <w:rsid w:val="005B5A17"/>
    <w:rsid w:val="005B749C"/>
    <w:rsid w:val="005C0283"/>
    <w:rsid w:val="005C17C9"/>
    <w:rsid w:val="005C2D2E"/>
    <w:rsid w:val="005C3B90"/>
    <w:rsid w:val="005D0272"/>
    <w:rsid w:val="005D2E94"/>
    <w:rsid w:val="005D33B8"/>
    <w:rsid w:val="005E24EA"/>
    <w:rsid w:val="005E3961"/>
    <w:rsid w:val="005E5365"/>
    <w:rsid w:val="005E67B2"/>
    <w:rsid w:val="005F0671"/>
    <w:rsid w:val="005F1BC9"/>
    <w:rsid w:val="005F3013"/>
    <w:rsid w:val="005F4C58"/>
    <w:rsid w:val="005F52C1"/>
    <w:rsid w:val="006038D2"/>
    <w:rsid w:val="00604A3E"/>
    <w:rsid w:val="006058DA"/>
    <w:rsid w:val="00606952"/>
    <w:rsid w:val="00607C91"/>
    <w:rsid w:val="00611171"/>
    <w:rsid w:val="00611F76"/>
    <w:rsid w:val="00613FD4"/>
    <w:rsid w:val="006147FE"/>
    <w:rsid w:val="00617CB5"/>
    <w:rsid w:val="00623BD2"/>
    <w:rsid w:val="006245B3"/>
    <w:rsid w:val="00624B02"/>
    <w:rsid w:val="0062598E"/>
    <w:rsid w:val="0063250B"/>
    <w:rsid w:val="00632C5C"/>
    <w:rsid w:val="006404C4"/>
    <w:rsid w:val="006405FA"/>
    <w:rsid w:val="00640763"/>
    <w:rsid w:val="00642A41"/>
    <w:rsid w:val="00643EE1"/>
    <w:rsid w:val="00643FFC"/>
    <w:rsid w:val="006448B7"/>
    <w:rsid w:val="00645892"/>
    <w:rsid w:val="00646BDB"/>
    <w:rsid w:val="00647553"/>
    <w:rsid w:val="0064783D"/>
    <w:rsid w:val="00647E03"/>
    <w:rsid w:val="006524CE"/>
    <w:rsid w:val="00652EA8"/>
    <w:rsid w:val="00652F5C"/>
    <w:rsid w:val="006557E5"/>
    <w:rsid w:val="006558A2"/>
    <w:rsid w:val="00657736"/>
    <w:rsid w:val="0066430E"/>
    <w:rsid w:val="00664967"/>
    <w:rsid w:val="00665F4D"/>
    <w:rsid w:val="00666A53"/>
    <w:rsid w:val="00671331"/>
    <w:rsid w:val="00671F5B"/>
    <w:rsid w:val="0067232F"/>
    <w:rsid w:val="006725A8"/>
    <w:rsid w:val="00672822"/>
    <w:rsid w:val="00673B64"/>
    <w:rsid w:val="006753B0"/>
    <w:rsid w:val="006865A2"/>
    <w:rsid w:val="00686D84"/>
    <w:rsid w:val="00687E4E"/>
    <w:rsid w:val="00691360"/>
    <w:rsid w:val="0069255F"/>
    <w:rsid w:val="00693BC7"/>
    <w:rsid w:val="006A088B"/>
    <w:rsid w:val="006A0F9A"/>
    <w:rsid w:val="006A6C1F"/>
    <w:rsid w:val="006B079B"/>
    <w:rsid w:val="006B206E"/>
    <w:rsid w:val="006B28EE"/>
    <w:rsid w:val="006B3909"/>
    <w:rsid w:val="006B68B9"/>
    <w:rsid w:val="006B7D43"/>
    <w:rsid w:val="006C0AAF"/>
    <w:rsid w:val="006C0E85"/>
    <w:rsid w:val="006C2096"/>
    <w:rsid w:val="006C2CFC"/>
    <w:rsid w:val="006C6F9A"/>
    <w:rsid w:val="006C7467"/>
    <w:rsid w:val="006D0CE3"/>
    <w:rsid w:val="006D2F31"/>
    <w:rsid w:val="006D3624"/>
    <w:rsid w:val="006D3C42"/>
    <w:rsid w:val="006E0848"/>
    <w:rsid w:val="006E3287"/>
    <w:rsid w:val="006E65A2"/>
    <w:rsid w:val="006E7AC6"/>
    <w:rsid w:val="006F0172"/>
    <w:rsid w:val="006F23BC"/>
    <w:rsid w:val="006F74E6"/>
    <w:rsid w:val="00700293"/>
    <w:rsid w:val="007033CA"/>
    <w:rsid w:val="00705DB0"/>
    <w:rsid w:val="0071165B"/>
    <w:rsid w:val="00716137"/>
    <w:rsid w:val="007173DD"/>
    <w:rsid w:val="00717886"/>
    <w:rsid w:val="00725A0F"/>
    <w:rsid w:val="0072787E"/>
    <w:rsid w:val="00731E79"/>
    <w:rsid w:val="007332D9"/>
    <w:rsid w:val="007333A0"/>
    <w:rsid w:val="00733453"/>
    <w:rsid w:val="00735778"/>
    <w:rsid w:val="007411DC"/>
    <w:rsid w:val="007436E3"/>
    <w:rsid w:val="007457D3"/>
    <w:rsid w:val="00745DD2"/>
    <w:rsid w:val="00745E52"/>
    <w:rsid w:val="007470A6"/>
    <w:rsid w:val="00750217"/>
    <w:rsid w:val="007566F3"/>
    <w:rsid w:val="00757576"/>
    <w:rsid w:val="00757BEA"/>
    <w:rsid w:val="00762EB0"/>
    <w:rsid w:val="00763866"/>
    <w:rsid w:val="0076393B"/>
    <w:rsid w:val="00765139"/>
    <w:rsid w:val="00765E33"/>
    <w:rsid w:val="00767408"/>
    <w:rsid w:val="00767914"/>
    <w:rsid w:val="00767E5B"/>
    <w:rsid w:val="00772B90"/>
    <w:rsid w:val="00773542"/>
    <w:rsid w:val="00773F16"/>
    <w:rsid w:val="0077461D"/>
    <w:rsid w:val="0077480E"/>
    <w:rsid w:val="007771E0"/>
    <w:rsid w:val="007812F5"/>
    <w:rsid w:val="007857C4"/>
    <w:rsid w:val="007869AA"/>
    <w:rsid w:val="007871D6"/>
    <w:rsid w:val="00787DDD"/>
    <w:rsid w:val="007926DE"/>
    <w:rsid w:val="00792D05"/>
    <w:rsid w:val="007934A1"/>
    <w:rsid w:val="007974A1"/>
    <w:rsid w:val="007A1D49"/>
    <w:rsid w:val="007A3E0B"/>
    <w:rsid w:val="007A5189"/>
    <w:rsid w:val="007A55C7"/>
    <w:rsid w:val="007A7749"/>
    <w:rsid w:val="007B052F"/>
    <w:rsid w:val="007B1393"/>
    <w:rsid w:val="007B1918"/>
    <w:rsid w:val="007B443B"/>
    <w:rsid w:val="007B45BE"/>
    <w:rsid w:val="007B6A47"/>
    <w:rsid w:val="007B6C14"/>
    <w:rsid w:val="007C09F5"/>
    <w:rsid w:val="007C5FED"/>
    <w:rsid w:val="007C74F2"/>
    <w:rsid w:val="007D236F"/>
    <w:rsid w:val="007D4430"/>
    <w:rsid w:val="007D608E"/>
    <w:rsid w:val="007D7176"/>
    <w:rsid w:val="007E27CF"/>
    <w:rsid w:val="007E4685"/>
    <w:rsid w:val="007E5D8D"/>
    <w:rsid w:val="007E7D64"/>
    <w:rsid w:val="007F38F7"/>
    <w:rsid w:val="007F3930"/>
    <w:rsid w:val="007F5F4C"/>
    <w:rsid w:val="00801276"/>
    <w:rsid w:val="00801831"/>
    <w:rsid w:val="0080555A"/>
    <w:rsid w:val="008056FE"/>
    <w:rsid w:val="00807A96"/>
    <w:rsid w:val="0081008C"/>
    <w:rsid w:val="008110A5"/>
    <w:rsid w:val="0081227A"/>
    <w:rsid w:val="0081429C"/>
    <w:rsid w:val="00815013"/>
    <w:rsid w:val="00815849"/>
    <w:rsid w:val="00815BBC"/>
    <w:rsid w:val="008200A5"/>
    <w:rsid w:val="00826C19"/>
    <w:rsid w:val="0083265A"/>
    <w:rsid w:val="00833CC4"/>
    <w:rsid w:val="008371CC"/>
    <w:rsid w:val="00837602"/>
    <w:rsid w:val="00843156"/>
    <w:rsid w:val="008441E7"/>
    <w:rsid w:val="0084667F"/>
    <w:rsid w:val="00853133"/>
    <w:rsid w:val="00853D4F"/>
    <w:rsid w:val="00856617"/>
    <w:rsid w:val="00856873"/>
    <w:rsid w:val="00856A0A"/>
    <w:rsid w:val="008602D1"/>
    <w:rsid w:val="008616CC"/>
    <w:rsid w:val="00864200"/>
    <w:rsid w:val="00865BE2"/>
    <w:rsid w:val="00866ECA"/>
    <w:rsid w:val="00867F65"/>
    <w:rsid w:val="0087017C"/>
    <w:rsid w:val="00874A78"/>
    <w:rsid w:val="00876F41"/>
    <w:rsid w:val="00876F6D"/>
    <w:rsid w:val="008806C5"/>
    <w:rsid w:val="00880FAE"/>
    <w:rsid w:val="00881E28"/>
    <w:rsid w:val="008909A0"/>
    <w:rsid w:val="008961D3"/>
    <w:rsid w:val="00897918"/>
    <w:rsid w:val="008A1C63"/>
    <w:rsid w:val="008A2372"/>
    <w:rsid w:val="008A27E2"/>
    <w:rsid w:val="008A2920"/>
    <w:rsid w:val="008A3621"/>
    <w:rsid w:val="008A4AF8"/>
    <w:rsid w:val="008A4BC9"/>
    <w:rsid w:val="008B0D1D"/>
    <w:rsid w:val="008B1579"/>
    <w:rsid w:val="008B4FC2"/>
    <w:rsid w:val="008B5F06"/>
    <w:rsid w:val="008B67C4"/>
    <w:rsid w:val="008B6C3B"/>
    <w:rsid w:val="008B717D"/>
    <w:rsid w:val="008C2162"/>
    <w:rsid w:val="008C35F7"/>
    <w:rsid w:val="008C36E1"/>
    <w:rsid w:val="008C4EC0"/>
    <w:rsid w:val="008C6755"/>
    <w:rsid w:val="008C67D1"/>
    <w:rsid w:val="008C7BFE"/>
    <w:rsid w:val="008D0A4D"/>
    <w:rsid w:val="008D42F8"/>
    <w:rsid w:val="008D54F6"/>
    <w:rsid w:val="008D5A23"/>
    <w:rsid w:val="008D62D3"/>
    <w:rsid w:val="008E0094"/>
    <w:rsid w:val="008E06E2"/>
    <w:rsid w:val="008E0C66"/>
    <w:rsid w:val="008E1566"/>
    <w:rsid w:val="008F297F"/>
    <w:rsid w:val="008F449E"/>
    <w:rsid w:val="008F556E"/>
    <w:rsid w:val="008F6F3E"/>
    <w:rsid w:val="008F7232"/>
    <w:rsid w:val="00900EED"/>
    <w:rsid w:val="00901B76"/>
    <w:rsid w:val="0090703C"/>
    <w:rsid w:val="009104EE"/>
    <w:rsid w:val="00910B19"/>
    <w:rsid w:val="00911EFA"/>
    <w:rsid w:val="00912624"/>
    <w:rsid w:val="009148F1"/>
    <w:rsid w:val="009214AB"/>
    <w:rsid w:val="00921EF5"/>
    <w:rsid w:val="009235F0"/>
    <w:rsid w:val="00926675"/>
    <w:rsid w:val="00930EED"/>
    <w:rsid w:val="00931FDE"/>
    <w:rsid w:val="00932590"/>
    <w:rsid w:val="009332F2"/>
    <w:rsid w:val="00933A3A"/>
    <w:rsid w:val="009368BC"/>
    <w:rsid w:val="0093740A"/>
    <w:rsid w:val="00937C77"/>
    <w:rsid w:val="00941DB1"/>
    <w:rsid w:val="00942E5A"/>
    <w:rsid w:val="00945580"/>
    <w:rsid w:val="00946877"/>
    <w:rsid w:val="00947DCE"/>
    <w:rsid w:val="00952F4F"/>
    <w:rsid w:val="00952FD8"/>
    <w:rsid w:val="00953AA6"/>
    <w:rsid w:val="0095555E"/>
    <w:rsid w:val="00960671"/>
    <w:rsid w:val="0096269E"/>
    <w:rsid w:val="00963BC6"/>
    <w:rsid w:val="00966494"/>
    <w:rsid w:val="00966C10"/>
    <w:rsid w:val="00970661"/>
    <w:rsid w:val="00971300"/>
    <w:rsid w:val="00971AF9"/>
    <w:rsid w:val="00972253"/>
    <w:rsid w:val="009741DF"/>
    <w:rsid w:val="00975317"/>
    <w:rsid w:val="009762F4"/>
    <w:rsid w:val="00977758"/>
    <w:rsid w:val="009807FB"/>
    <w:rsid w:val="00981203"/>
    <w:rsid w:val="0098340B"/>
    <w:rsid w:val="009835C7"/>
    <w:rsid w:val="00983C3B"/>
    <w:rsid w:val="009845C6"/>
    <w:rsid w:val="0098476A"/>
    <w:rsid w:val="00992B37"/>
    <w:rsid w:val="009934FF"/>
    <w:rsid w:val="009943E9"/>
    <w:rsid w:val="00994B26"/>
    <w:rsid w:val="009A0D63"/>
    <w:rsid w:val="009A6968"/>
    <w:rsid w:val="009B26EA"/>
    <w:rsid w:val="009B4797"/>
    <w:rsid w:val="009B5909"/>
    <w:rsid w:val="009B6493"/>
    <w:rsid w:val="009B74B3"/>
    <w:rsid w:val="009C0109"/>
    <w:rsid w:val="009C0E45"/>
    <w:rsid w:val="009C1AB2"/>
    <w:rsid w:val="009C34C4"/>
    <w:rsid w:val="009C6574"/>
    <w:rsid w:val="009D03B0"/>
    <w:rsid w:val="009D2FF7"/>
    <w:rsid w:val="009D365E"/>
    <w:rsid w:val="009D39E8"/>
    <w:rsid w:val="009D3A94"/>
    <w:rsid w:val="009D651D"/>
    <w:rsid w:val="009D75B2"/>
    <w:rsid w:val="009E062F"/>
    <w:rsid w:val="009E2709"/>
    <w:rsid w:val="009E3C7D"/>
    <w:rsid w:val="009E5596"/>
    <w:rsid w:val="009E6BBB"/>
    <w:rsid w:val="009F0FB7"/>
    <w:rsid w:val="009F1DFB"/>
    <w:rsid w:val="009F48B3"/>
    <w:rsid w:val="009F4C75"/>
    <w:rsid w:val="009F646A"/>
    <w:rsid w:val="009F6C80"/>
    <w:rsid w:val="009F77BC"/>
    <w:rsid w:val="00A01BEF"/>
    <w:rsid w:val="00A02120"/>
    <w:rsid w:val="00A0503B"/>
    <w:rsid w:val="00A0594D"/>
    <w:rsid w:val="00A10C20"/>
    <w:rsid w:val="00A13F49"/>
    <w:rsid w:val="00A16B41"/>
    <w:rsid w:val="00A1729C"/>
    <w:rsid w:val="00A210B8"/>
    <w:rsid w:val="00A21298"/>
    <w:rsid w:val="00A2176C"/>
    <w:rsid w:val="00A245E0"/>
    <w:rsid w:val="00A26C9C"/>
    <w:rsid w:val="00A32497"/>
    <w:rsid w:val="00A33F61"/>
    <w:rsid w:val="00A3548B"/>
    <w:rsid w:val="00A373D6"/>
    <w:rsid w:val="00A40291"/>
    <w:rsid w:val="00A41B88"/>
    <w:rsid w:val="00A41C36"/>
    <w:rsid w:val="00A4569A"/>
    <w:rsid w:val="00A475D9"/>
    <w:rsid w:val="00A47CF1"/>
    <w:rsid w:val="00A47E2B"/>
    <w:rsid w:val="00A51CB6"/>
    <w:rsid w:val="00A54C8B"/>
    <w:rsid w:val="00A5593D"/>
    <w:rsid w:val="00A55B34"/>
    <w:rsid w:val="00A5631C"/>
    <w:rsid w:val="00A60567"/>
    <w:rsid w:val="00A63F4F"/>
    <w:rsid w:val="00A66771"/>
    <w:rsid w:val="00A674B8"/>
    <w:rsid w:val="00A67539"/>
    <w:rsid w:val="00A711EC"/>
    <w:rsid w:val="00A72088"/>
    <w:rsid w:val="00A72D63"/>
    <w:rsid w:val="00A755B9"/>
    <w:rsid w:val="00A75B1F"/>
    <w:rsid w:val="00A76F95"/>
    <w:rsid w:val="00A84F6A"/>
    <w:rsid w:val="00A8648D"/>
    <w:rsid w:val="00A87B13"/>
    <w:rsid w:val="00A93ECD"/>
    <w:rsid w:val="00A94A4C"/>
    <w:rsid w:val="00AA16C3"/>
    <w:rsid w:val="00AA3521"/>
    <w:rsid w:val="00AA4E63"/>
    <w:rsid w:val="00AA5D87"/>
    <w:rsid w:val="00AA635A"/>
    <w:rsid w:val="00AA6401"/>
    <w:rsid w:val="00AA6813"/>
    <w:rsid w:val="00AB0DC4"/>
    <w:rsid w:val="00AB2726"/>
    <w:rsid w:val="00AB35CC"/>
    <w:rsid w:val="00AB3BDA"/>
    <w:rsid w:val="00AB66AF"/>
    <w:rsid w:val="00AB759D"/>
    <w:rsid w:val="00AB7E4A"/>
    <w:rsid w:val="00AC213E"/>
    <w:rsid w:val="00AC2E2F"/>
    <w:rsid w:val="00AC59BD"/>
    <w:rsid w:val="00AC7BFE"/>
    <w:rsid w:val="00AD1BE0"/>
    <w:rsid w:val="00AD4F81"/>
    <w:rsid w:val="00AD5EE8"/>
    <w:rsid w:val="00AD7852"/>
    <w:rsid w:val="00AE25B0"/>
    <w:rsid w:val="00AE3CE6"/>
    <w:rsid w:val="00AE3E62"/>
    <w:rsid w:val="00AE650E"/>
    <w:rsid w:val="00AF0276"/>
    <w:rsid w:val="00AF2DFC"/>
    <w:rsid w:val="00AF2FE4"/>
    <w:rsid w:val="00AF34E8"/>
    <w:rsid w:val="00AF3F1E"/>
    <w:rsid w:val="00AF4965"/>
    <w:rsid w:val="00AF63DF"/>
    <w:rsid w:val="00AF72DA"/>
    <w:rsid w:val="00B006CF"/>
    <w:rsid w:val="00B02452"/>
    <w:rsid w:val="00B030F7"/>
    <w:rsid w:val="00B03DCF"/>
    <w:rsid w:val="00B04760"/>
    <w:rsid w:val="00B10696"/>
    <w:rsid w:val="00B11BBF"/>
    <w:rsid w:val="00B11ECF"/>
    <w:rsid w:val="00B167EE"/>
    <w:rsid w:val="00B205DF"/>
    <w:rsid w:val="00B2165B"/>
    <w:rsid w:val="00B22157"/>
    <w:rsid w:val="00B23ADF"/>
    <w:rsid w:val="00B25E04"/>
    <w:rsid w:val="00B25EB7"/>
    <w:rsid w:val="00B26383"/>
    <w:rsid w:val="00B27AFF"/>
    <w:rsid w:val="00B30551"/>
    <w:rsid w:val="00B30BCD"/>
    <w:rsid w:val="00B3474D"/>
    <w:rsid w:val="00B34DC0"/>
    <w:rsid w:val="00B369E9"/>
    <w:rsid w:val="00B407EE"/>
    <w:rsid w:val="00B42451"/>
    <w:rsid w:val="00B4690A"/>
    <w:rsid w:val="00B470DD"/>
    <w:rsid w:val="00B5297B"/>
    <w:rsid w:val="00B53651"/>
    <w:rsid w:val="00B538A4"/>
    <w:rsid w:val="00B54F9D"/>
    <w:rsid w:val="00B5520F"/>
    <w:rsid w:val="00B57C90"/>
    <w:rsid w:val="00B6028E"/>
    <w:rsid w:val="00B61362"/>
    <w:rsid w:val="00B637F1"/>
    <w:rsid w:val="00B63D77"/>
    <w:rsid w:val="00B64A15"/>
    <w:rsid w:val="00B666A4"/>
    <w:rsid w:val="00B7070F"/>
    <w:rsid w:val="00B7250F"/>
    <w:rsid w:val="00B72B91"/>
    <w:rsid w:val="00B72EAB"/>
    <w:rsid w:val="00B74246"/>
    <w:rsid w:val="00B75A9F"/>
    <w:rsid w:val="00B77743"/>
    <w:rsid w:val="00B83E7D"/>
    <w:rsid w:val="00B847A2"/>
    <w:rsid w:val="00B84F55"/>
    <w:rsid w:val="00B933BF"/>
    <w:rsid w:val="00B93AB5"/>
    <w:rsid w:val="00B95A3B"/>
    <w:rsid w:val="00B95CA0"/>
    <w:rsid w:val="00B96785"/>
    <w:rsid w:val="00B97C04"/>
    <w:rsid w:val="00BA0199"/>
    <w:rsid w:val="00BA09F6"/>
    <w:rsid w:val="00BA15C2"/>
    <w:rsid w:val="00BA55C3"/>
    <w:rsid w:val="00BA5796"/>
    <w:rsid w:val="00BA6203"/>
    <w:rsid w:val="00BA6B60"/>
    <w:rsid w:val="00BB0152"/>
    <w:rsid w:val="00BB3FCE"/>
    <w:rsid w:val="00BB4239"/>
    <w:rsid w:val="00BB4B91"/>
    <w:rsid w:val="00BB6390"/>
    <w:rsid w:val="00BB6724"/>
    <w:rsid w:val="00BC11B9"/>
    <w:rsid w:val="00BC2034"/>
    <w:rsid w:val="00BC4589"/>
    <w:rsid w:val="00BD001B"/>
    <w:rsid w:val="00BD435F"/>
    <w:rsid w:val="00BD44C4"/>
    <w:rsid w:val="00BD50AB"/>
    <w:rsid w:val="00BD6BED"/>
    <w:rsid w:val="00BE0C1C"/>
    <w:rsid w:val="00BE58F4"/>
    <w:rsid w:val="00BE63EE"/>
    <w:rsid w:val="00BE7B67"/>
    <w:rsid w:val="00BF2F9D"/>
    <w:rsid w:val="00BF50FA"/>
    <w:rsid w:val="00C00920"/>
    <w:rsid w:val="00C019EF"/>
    <w:rsid w:val="00C06CD2"/>
    <w:rsid w:val="00C071E2"/>
    <w:rsid w:val="00C07DE7"/>
    <w:rsid w:val="00C10C44"/>
    <w:rsid w:val="00C12927"/>
    <w:rsid w:val="00C12983"/>
    <w:rsid w:val="00C136B2"/>
    <w:rsid w:val="00C1378E"/>
    <w:rsid w:val="00C17960"/>
    <w:rsid w:val="00C221B5"/>
    <w:rsid w:val="00C22851"/>
    <w:rsid w:val="00C24907"/>
    <w:rsid w:val="00C25129"/>
    <w:rsid w:val="00C311A7"/>
    <w:rsid w:val="00C31594"/>
    <w:rsid w:val="00C33963"/>
    <w:rsid w:val="00C34532"/>
    <w:rsid w:val="00C3536B"/>
    <w:rsid w:val="00C360FA"/>
    <w:rsid w:val="00C45232"/>
    <w:rsid w:val="00C54ED8"/>
    <w:rsid w:val="00C57B95"/>
    <w:rsid w:val="00C62B75"/>
    <w:rsid w:val="00C640AB"/>
    <w:rsid w:val="00C659A7"/>
    <w:rsid w:val="00C676E0"/>
    <w:rsid w:val="00C67B68"/>
    <w:rsid w:val="00C67FFD"/>
    <w:rsid w:val="00C7081B"/>
    <w:rsid w:val="00C7152E"/>
    <w:rsid w:val="00C7207C"/>
    <w:rsid w:val="00C73947"/>
    <w:rsid w:val="00C75F27"/>
    <w:rsid w:val="00C83E3C"/>
    <w:rsid w:val="00C87763"/>
    <w:rsid w:val="00C87B2D"/>
    <w:rsid w:val="00C9029F"/>
    <w:rsid w:val="00C90AD4"/>
    <w:rsid w:val="00C90C51"/>
    <w:rsid w:val="00C96FF0"/>
    <w:rsid w:val="00CA00D7"/>
    <w:rsid w:val="00CA1949"/>
    <w:rsid w:val="00CA2E4C"/>
    <w:rsid w:val="00CA3515"/>
    <w:rsid w:val="00CA535C"/>
    <w:rsid w:val="00CA678B"/>
    <w:rsid w:val="00CA7139"/>
    <w:rsid w:val="00CB44E3"/>
    <w:rsid w:val="00CB5B66"/>
    <w:rsid w:val="00CB67A7"/>
    <w:rsid w:val="00CB6B50"/>
    <w:rsid w:val="00CB6EDF"/>
    <w:rsid w:val="00CB7853"/>
    <w:rsid w:val="00CC0995"/>
    <w:rsid w:val="00CC58E2"/>
    <w:rsid w:val="00CC6131"/>
    <w:rsid w:val="00CD462C"/>
    <w:rsid w:val="00CD4BCF"/>
    <w:rsid w:val="00CD5613"/>
    <w:rsid w:val="00CD5A08"/>
    <w:rsid w:val="00CD7C2D"/>
    <w:rsid w:val="00CE00F1"/>
    <w:rsid w:val="00CE2FC9"/>
    <w:rsid w:val="00CE3389"/>
    <w:rsid w:val="00CE38D0"/>
    <w:rsid w:val="00CE6C11"/>
    <w:rsid w:val="00CF2A35"/>
    <w:rsid w:val="00CF5799"/>
    <w:rsid w:val="00D032D5"/>
    <w:rsid w:val="00D039BE"/>
    <w:rsid w:val="00D05BFB"/>
    <w:rsid w:val="00D07248"/>
    <w:rsid w:val="00D12895"/>
    <w:rsid w:val="00D12EA3"/>
    <w:rsid w:val="00D159A3"/>
    <w:rsid w:val="00D15EC9"/>
    <w:rsid w:val="00D21BA5"/>
    <w:rsid w:val="00D22A87"/>
    <w:rsid w:val="00D236A0"/>
    <w:rsid w:val="00D23811"/>
    <w:rsid w:val="00D23CA3"/>
    <w:rsid w:val="00D24956"/>
    <w:rsid w:val="00D25CB5"/>
    <w:rsid w:val="00D31F53"/>
    <w:rsid w:val="00D34844"/>
    <w:rsid w:val="00D37567"/>
    <w:rsid w:val="00D37905"/>
    <w:rsid w:val="00D40BD0"/>
    <w:rsid w:val="00D50EFB"/>
    <w:rsid w:val="00D525CA"/>
    <w:rsid w:val="00D56286"/>
    <w:rsid w:val="00D56351"/>
    <w:rsid w:val="00D6077F"/>
    <w:rsid w:val="00D60D3A"/>
    <w:rsid w:val="00D61467"/>
    <w:rsid w:val="00D625D0"/>
    <w:rsid w:val="00D630D9"/>
    <w:rsid w:val="00D63E86"/>
    <w:rsid w:val="00D67D01"/>
    <w:rsid w:val="00D67ED9"/>
    <w:rsid w:val="00D7088F"/>
    <w:rsid w:val="00D72099"/>
    <w:rsid w:val="00D73B67"/>
    <w:rsid w:val="00D82A57"/>
    <w:rsid w:val="00D83BC9"/>
    <w:rsid w:val="00D84241"/>
    <w:rsid w:val="00D848E9"/>
    <w:rsid w:val="00D8636C"/>
    <w:rsid w:val="00D86C70"/>
    <w:rsid w:val="00D91161"/>
    <w:rsid w:val="00D915A0"/>
    <w:rsid w:val="00D9226E"/>
    <w:rsid w:val="00D94A85"/>
    <w:rsid w:val="00DA0DD8"/>
    <w:rsid w:val="00DA123E"/>
    <w:rsid w:val="00DA39B0"/>
    <w:rsid w:val="00DA4F33"/>
    <w:rsid w:val="00DA5C10"/>
    <w:rsid w:val="00DA6CDE"/>
    <w:rsid w:val="00DA79CF"/>
    <w:rsid w:val="00DB4EC7"/>
    <w:rsid w:val="00DB51F3"/>
    <w:rsid w:val="00DB6D5A"/>
    <w:rsid w:val="00DC0CA5"/>
    <w:rsid w:val="00DC3BA5"/>
    <w:rsid w:val="00DC5250"/>
    <w:rsid w:val="00DC55D2"/>
    <w:rsid w:val="00DC59EE"/>
    <w:rsid w:val="00DC69C6"/>
    <w:rsid w:val="00DC70D1"/>
    <w:rsid w:val="00DC77E8"/>
    <w:rsid w:val="00DD11A3"/>
    <w:rsid w:val="00DD4E2B"/>
    <w:rsid w:val="00DD6298"/>
    <w:rsid w:val="00DD6ABB"/>
    <w:rsid w:val="00DD6CAB"/>
    <w:rsid w:val="00DD6FC4"/>
    <w:rsid w:val="00DD7F90"/>
    <w:rsid w:val="00DE205A"/>
    <w:rsid w:val="00DE2BBE"/>
    <w:rsid w:val="00DE3005"/>
    <w:rsid w:val="00DE4146"/>
    <w:rsid w:val="00DF26C7"/>
    <w:rsid w:val="00DF360E"/>
    <w:rsid w:val="00DF45D7"/>
    <w:rsid w:val="00DF6551"/>
    <w:rsid w:val="00DF6F88"/>
    <w:rsid w:val="00DF7CA1"/>
    <w:rsid w:val="00E006B0"/>
    <w:rsid w:val="00E02361"/>
    <w:rsid w:val="00E03A10"/>
    <w:rsid w:val="00E04B51"/>
    <w:rsid w:val="00E04CD4"/>
    <w:rsid w:val="00E06737"/>
    <w:rsid w:val="00E07AE6"/>
    <w:rsid w:val="00E10374"/>
    <w:rsid w:val="00E1060D"/>
    <w:rsid w:val="00E131CC"/>
    <w:rsid w:val="00E13FA2"/>
    <w:rsid w:val="00E15F94"/>
    <w:rsid w:val="00E16DC9"/>
    <w:rsid w:val="00E2464F"/>
    <w:rsid w:val="00E254C4"/>
    <w:rsid w:val="00E25625"/>
    <w:rsid w:val="00E26310"/>
    <w:rsid w:val="00E2670B"/>
    <w:rsid w:val="00E2780B"/>
    <w:rsid w:val="00E27A43"/>
    <w:rsid w:val="00E302B8"/>
    <w:rsid w:val="00E33A46"/>
    <w:rsid w:val="00E36F42"/>
    <w:rsid w:val="00E42F58"/>
    <w:rsid w:val="00E54E33"/>
    <w:rsid w:val="00E5545A"/>
    <w:rsid w:val="00E55D63"/>
    <w:rsid w:val="00E57E46"/>
    <w:rsid w:val="00E617EF"/>
    <w:rsid w:val="00E64D3C"/>
    <w:rsid w:val="00E654E4"/>
    <w:rsid w:val="00E65E69"/>
    <w:rsid w:val="00E671FC"/>
    <w:rsid w:val="00E712CD"/>
    <w:rsid w:val="00E7445A"/>
    <w:rsid w:val="00E74499"/>
    <w:rsid w:val="00E74ECD"/>
    <w:rsid w:val="00E750A2"/>
    <w:rsid w:val="00E75302"/>
    <w:rsid w:val="00E76405"/>
    <w:rsid w:val="00E81863"/>
    <w:rsid w:val="00E82988"/>
    <w:rsid w:val="00E874A5"/>
    <w:rsid w:val="00E87C4E"/>
    <w:rsid w:val="00E900A3"/>
    <w:rsid w:val="00E910B5"/>
    <w:rsid w:val="00E96C7D"/>
    <w:rsid w:val="00E97DA1"/>
    <w:rsid w:val="00EA0D0A"/>
    <w:rsid w:val="00EA1F42"/>
    <w:rsid w:val="00EA6070"/>
    <w:rsid w:val="00EA70C5"/>
    <w:rsid w:val="00EB392F"/>
    <w:rsid w:val="00EB475E"/>
    <w:rsid w:val="00EB4B93"/>
    <w:rsid w:val="00EB5D25"/>
    <w:rsid w:val="00EB6DC9"/>
    <w:rsid w:val="00EB7563"/>
    <w:rsid w:val="00EB7A4D"/>
    <w:rsid w:val="00EC2D2A"/>
    <w:rsid w:val="00EC3F0F"/>
    <w:rsid w:val="00EC6F49"/>
    <w:rsid w:val="00EC744F"/>
    <w:rsid w:val="00ED0401"/>
    <w:rsid w:val="00ED3FA3"/>
    <w:rsid w:val="00ED40AC"/>
    <w:rsid w:val="00ED4A22"/>
    <w:rsid w:val="00ED4B37"/>
    <w:rsid w:val="00ED516B"/>
    <w:rsid w:val="00ED6510"/>
    <w:rsid w:val="00ED71B1"/>
    <w:rsid w:val="00ED784B"/>
    <w:rsid w:val="00EE0CB1"/>
    <w:rsid w:val="00EE64DA"/>
    <w:rsid w:val="00EE69C9"/>
    <w:rsid w:val="00EF02E9"/>
    <w:rsid w:val="00EF3F2C"/>
    <w:rsid w:val="00EF3FE6"/>
    <w:rsid w:val="00EF5170"/>
    <w:rsid w:val="00EF560A"/>
    <w:rsid w:val="00EF5EBF"/>
    <w:rsid w:val="00F0065C"/>
    <w:rsid w:val="00F01F7B"/>
    <w:rsid w:val="00F052B1"/>
    <w:rsid w:val="00F05321"/>
    <w:rsid w:val="00F056B4"/>
    <w:rsid w:val="00F07121"/>
    <w:rsid w:val="00F106CE"/>
    <w:rsid w:val="00F26CED"/>
    <w:rsid w:val="00F276A7"/>
    <w:rsid w:val="00F27CCD"/>
    <w:rsid w:val="00F33189"/>
    <w:rsid w:val="00F34EB3"/>
    <w:rsid w:val="00F35321"/>
    <w:rsid w:val="00F35F6E"/>
    <w:rsid w:val="00F37BCE"/>
    <w:rsid w:val="00F4156C"/>
    <w:rsid w:val="00F4566B"/>
    <w:rsid w:val="00F45CB8"/>
    <w:rsid w:val="00F506DB"/>
    <w:rsid w:val="00F51B51"/>
    <w:rsid w:val="00F52A9D"/>
    <w:rsid w:val="00F53ECF"/>
    <w:rsid w:val="00F54B06"/>
    <w:rsid w:val="00F556F2"/>
    <w:rsid w:val="00F62D30"/>
    <w:rsid w:val="00F65771"/>
    <w:rsid w:val="00F66231"/>
    <w:rsid w:val="00F6789D"/>
    <w:rsid w:val="00F67C27"/>
    <w:rsid w:val="00F7473C"/>
    <w:rsid w:val="00F75338"/>
    <w:rsid w:val="00F817FB"/>
    <w:rsid w:val="00F81C25"/>
    <w:rsid w:val="00F85383"/>
    <w:rsid w:val="00F87524"/>
    <w:rsid w:val="00F907EB"/>
    <w:rsid w:val="00F90A2C"/>
    <w:rsid w:val="00F92A2C"/>
    <w:rsid w:val="00F931E7"/>
    <w:rsid w:val="00F9359A"/>
    <w:rsid w:val="00F93696"/>
    <w:rsid w:val="00F95023"/>
    <w:rsid w:val="00F9555A"/>
    <w:rsid w:val="00F9638E"/>
    <w:rsid w:val="00F977B6"/>
    <w:rsid w:val="00FA03BE"/>
    <w:rsid w:val="00FA14AC"/>
    <w:rsid w:val="00FB3FB3"/>
    <w:rsid w:val="00FB42AE"/>
    <w:rsid w:val="00FB4DFD"/>
    <w:rsid w:val="00FB5241"/>
    <w:rsid w:val="00FB773E"/>
    <w:rsid w:val="00FC33FD"/>
    <w:rsid w:val="00FC4CBC"/>
    <w:rsid w:val="00FC5B09"/>
    <w:rsid w:val="00FC78A5"/>
    <w:rsid w:val="00FC7B87"/>
    <w:rsid w:val="00FD6905"/>
    <w:rsid w:val="00FD79EB"/>
    <w:rsid w:val="00FE3AB8"/>
    <w:rsid w:val="00FE5F10"/>
    <w:rsid w:val="00FE615A"/>
    <w:rsid w:val="00FF34FE"/>
    <w:rsid w:val="00FF4E11"/>
    <w:rsid w:val="00FF5C34"/>
    <w:rsid w:val="00FF69A6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width-relative:margin;mso-height-relative:margin" fill="f" fillcolor="white" stroke="f">
      <v:fill color="white" on="f"/>
      <v:stroke weight=".5pt" on="f"/>
    </o:shapedefaults>
    <o:shapelayout v:ext="edit">
      <o:idmap v:ext="edit" data="1"/>
    </o:shapelayout>
  </w:shapeDefaults>
  <w:decimalSymbol w:val=","/>
  <w:listSeparator w:val=";"/>
  <w14:docId w14:val="0BA95FA6"/>
  <w15:docId w15:val="{7E33CF79-EBA3-4616-AA58-37A8C7BD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B90"/>
  </w:style>
  <w:style w:type="paragraph" w:styleId="Nadpis1">
    <w:name w:val="heading 1"/>
    <w:aliases w:val="h1"/>
    <w:basedOn w:val="Normln"/>
    <w:next w:val="Normln"/>
    <w:link w:val="Nadpis1Char"/>
    <w:qFormat/>
    <w:rsid w:val="00772B90"/>
    <w:pPr>
      <w:keepNext/>
      <w:numPr>
        <w:numId w:val="2"/>
      </w:numPr>
      <w:outlineLvl w:val="0"/>
    </w:pPr>
    <w:rPr>
      <w:rFonts w:ascii="Arial" w:hAnsi="Arial"/>
      <w:b/>
      <w:sz w:val="28"/>
      <w:u w:val="single"/>
    </w:rPr>
  </w:style>
  <w:style w:type="paragraph" w:styleId="Nadpis2">
    <w:name w:val="heading 2"/>
    <w:aliases w:val="h2,Nadpis 2 Char"/>
    <w:basedOn w:val="Normln"/>
    <w:next w:val="Normln"/>
    <w:qFormat/>
    <w:rsid w:val="00772B90"/>
    <w:pPr>
      <w:keepNext/>
      <w:numPr>
        <w:ilvl w:val="1"/>
        <w:numId w:val="2"/>
      </w:numPr>
      <w:outlineLvl w:val="1"/>
    </w:pPr>
    <w:rPr>
      <w:rFonts w:ascii="Arial" w:hAnsi="Arial"/>
      <w:b/>
      <w:sz w:val="24"/>
    </w:rPr>
  </w:style>
  <w:style w:type="paragraph" w:styleId="Nadpis3">
    <w:name w:val="heading 3"/>
    <w:aliases w:val="Nadpis 3 velká písmena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qFormat/>
    <w:rsid w:val="00772B90"/>
    <w:pPr>
      <w:keepNext/>
      <w:numPr>
        <w:ilvl w:val="2"/>
        <w:numId w:val="2"/>
      </w:numPr>
      <w:spacing w:before="120" w:after="120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rsid w:val="00772B90"/>
    <w:pPr>
      <w:keepNext/>
      <w:widowControl w:val="0"/>
      <w:numPr>
        <w:ilvl w:val="3"/>
        <w:numId w:val="2"/>
      </w:numPr>
      <w:spacing w:before="120" w:after="12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772B90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772B90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772B90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72B90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/>
      <w:i/>
    </w:rPr>
  </w:style>
  <w:style w:type="paragraph" w:styleId="Nadpis9">
    <w:name w:val="heading 9"/>
    <w:aliases w:val="h9,heading9"/>
    <w:basedOn w:val="Normln"/>
    <w:next w:val="Normln"/>
    <w:qFormat/>
    <w:rsid w:val="00772B9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bidka1">
    <w:name w:val="Nabidka1"/>
    <w:basedOn w:val="Normln"/>
    <w:next w:val="Zkladntext"/>
    <w:autoRedefine/>
    <w:rsid w:val="00772B90"/>
    <w:rPr>
      <w:rFonts w:ascii="Arial" w:hAnsi="Arial"/>
      <w:b/>
      <w:sz w:val="28"/>
    </w:rPr>
  </w:style>
  <w:style w:type="paragraph" w:styleId="Zkladntext">
    <w:name w:val="Body Text"/>
    <w:basedOn w:val="Normln"/>
    <w:rsid w:val="00772B90"/>
    <w:pPr>
      <w:spacing w:after="120"/>
    </w:pPr>
  </w:style>
  <w:style w:type="paragraph" w:styleId="Zhlav">
    <w:name w:val="header"/>
    <w:basedOn w:val="Normln"/>
    <w:link w:val="ZhlavChar"/>
    <w:uiPriority w:val="99"/>
    <w:rsid w:val="00772B9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72B9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72B90"/>
  </w:style>
  <w:style w:type="paragraph" w:styleId="Zkladntext2">
    <w:name w:val="Body Text 2"/>
    <w:basedOn w:val="Normln"/>
    <w:rsid w:val="00772B90"/>
    <w:pPr>
      <w:jc w:val="both"/>
    </w:pPr>
    <w:rPr>
      <w:rFonts w:ascii="Arial" w:hAnsi="Arial"/>
    </w:rPr>
  </w:style>
  <w:style w:type="paragraph" w:customStyle="1" w:styleId="Odstavec">
    <w:name w:val="Odstavec"/>
    <w:rsid w:val="00772B90"/>
    <w:pPr>
      <w:tabs>
        <w:tab w:val="left" w:pos="794"/>
      </w:tabs>
      <w:spacing w:before="120" w:after="120"/>
      <w:ind w:firstLine="851"/>
      <w:jc w:val="both"/>
    </w:pPr>
    <w:rPr>
      <w:rFonts w:ascii="Arial" w:hAnsi="Arial"/>
      <w:sz w:val="22"/>
    </w:rPr>
  </w:style>
  <w:style w:type="paragraph" w:styleId="Obsah3">
    <w:name w:val="toc 3"/>
    <w:basedOn w:val="Normln"/>
    <w:next w:val="Normln"/>
    <w:autoRedefine/>
    <w:semiHidden/>
    <w:rsid w:val="00772B90"/>
    <w:pPr>
      <w:widowControl w:val="0"/>
      <w:tabs>
        <w:tab w:val="right" w:leader="dot" w:pos="9071"/>
      </w:tabs>
      <w:ind w:left="480"/>
    </w:pPr>
    <w:rPr>
      <w:rFonts w:ascii="Arial" w:hAnsi="Arial"/>
      <w:sz w:val="22"/>
    </w:rPr>
  </w:style>
  <w:style w:type="paragraph" w:styleId="Rozloendokumentu">
    <w:name w:val="Document Map"/>
    <w:basedOn w:val="Normln"/>
    <w:semiHidden/>
    <w:rsid w:val="00772B90"/>
    <w:pPr>
      <w:shd w:val="clear" w:color="auto" w:fill="000080"/>
    </w:pPr>
    <w:rPr>
      <w:rFonts w:ascii="Tahoma" w:hAnsi="Tahoma"/>
    </w:rPr>
  </w:style>
  <w:style w:type="paragraph" w:styleId="Obsah2">
    <w:name w:val="toc 2"/>
    <w:basedOn w:val="Normln"/>
    <w:next w:val="Normln"/>
    <w:autoRedefine/>
    <w:uiPriority w:val="39"/>
    <w:rsid w:val="009845C6"/>
    <w:pPr>
      <w:tabs>
        <w:tab w:val="left" w:pos="1418"/>
        <w:tab w:val="right" w:pos="9060"/>
      </w:tabs>
      <w:spacing w:line="276" w:lineRule="auto"/>
    </w:pPr>
    <w:rPr>
      <w:rFonts w:ascii="Arial" w:hAnsi="Arial" w:cs="Arial"/>
      <w:smallCaps/>
      <w:noProof/>
    </w:rPr>
  </w:style>
  <w:style w:type="paragraph" w:styleId="Obsah1">
    <w:name w:val="toc 1"/>
    <w:basedOn w:val="Normln"/>
    <w:next w:val="Normln"/>
    <w:autoRedefine/>
    <w:uiPriority w:val="39"/>
    <w:rsid w:val="009845C6"/>
    <w:pPr>
      <w:tabs>
        <w:tab w:val="left" w:pos="851"/>
        <w:tab w:val="right" w:pos="9060"/>
      </w:tabs>
      <w:spacing w:line="276" w:lineRule="auto"/>
    </w:pPr>
    <w:rPr>
      <w:rFonts w:ascii="Arial" w:hAnsi="Arial" w:cs="Arial"/>
      <w:b/>
      <w:smallCaps/>
      <w:noProof/>
      <w:sz w:val="24"/>
      <w:szCs w:val="24"/>
    </w:rPr>
  </w:style>
  <w:style w:type="paragraph" w:styleId="Zkladntext3">
    <w:name w:val="Body Text 3"/>
    <w:basedOn w:val="Normln"/>
    <w:rsid w:val="00772B90"/>
    <w:pPr>
      <w:jc w:val="both"/>
    </w:pPr>
    <w:rPr>
      <w:rFonts w:ascii="Arial" w:hAnsi="Arial"/>
      <w:sz w:val="22"/>
    </w:rPr>
  </w:style>
  <w:style w:type="character" w:customStyle="1" w:styleId="spopis">
    <w:name w:val="s_popis"/>
    <w:basedOn w:val="Standardnpsmoodstavce"/>
    <w:rsid w:val="00772B90"/>
  </w:style>
  <w:style w:type="paragraph" w:customStyle="1" w:styleId="zanadpis">
    <w:name w:val="zanadpis"/>
    <w:basedOn w:val="Normln"/>
    <w:next w:val="Normln"/>
    <w:rsid w:val="00356F69"/>
    <w:pPr>
      <w:jc w:val="both"/>
    </w:pPr>
    <w:rPr>
      <w:sz w:val="22"/>
      <w:szCs w:val="24"/>
    </w:rPr>
  </w:style>
  <w:style w:type="paragraph" w:styleId="Textvbloku">
    <w:name w:val="Block Text"/>
    <w:basedOn w:val="Normln"/>
    <w:rsid w:val="005347C2"/>
    <w:pPr>
      <w:widowControl w:val="0"/>
      <w:spacing w:line="360" w:lineRule="auto"/>
      <w:ind w:left="3420" w:right="-2" w:hanging="3420"/>
      <w:jc w:val="both"/>
    </w:pPr>
    <w:rPr>
      <w:rFonts w:ascii="Arial" w:hAnsi="Arial" w:cs="Arial"/>
      <w:sz w:val="24"/>
      <w:szCs w:val="24"/>
    </w:rPr>
  </w:style>
  <w:style w:type="paragraph" w:customStyle="1" w:styleId="Textnormy">
    <w:name w:val="Text normy"/>
    <w:rsid w:val="00ED516B"/>
    <w:pPr>
      <w:spacing w:after="120"/>
      <w:jc w:val="both"/>
    </w:pPr>
    <w:rPr>
      <w:rFonts w:ascii="Arial" w:hAnsi="Arial"/>
    </w:rPr>
  </w:style>
  <w:style w:type="paragraph" w:customStyle="1" w:styleId="StylNadpis1">
    <w:name w:val="Styl Nadpis 1"/>
    <w:aliases w:val="h1 + Před:  24 b. Za:  24 b."/>
    <w:basedOn w:val="Nadpis1"/>
    <w:rsid w:val="000E346F"/>
    <w:pPr>
      <w:spacing w:before="240" w:after="240"/>
    </w:pPr>
    <w:rPr>
      <w:bCs/>
    </w:rPr>
  </w:style>
  <w:style w:type="paragraph" w:customStyle="1" w:styleId="Odstavec1">
    <w:name w:val="Odstavec 1"/>
    <w:basedOn w:val="Normln"/>
    <w:rsid w:val="009F6C80"/>
    <w:pPr>
      <w:ind w:firstLine="284"/>
      <w:jc w:val="both"/>
    </w:pPr>
    <w:rPr>
      <w:sz w:val="24"/>
    </w:rPr>
  </w:style>
  <w:style w:type="paragraph" w:styleId="Normlnweb">
    <w:name w:val="Normal (Web)"/>
    <w:basedOn w:val="Normln"/>
    <w:rsid w:val="004E52B6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DA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1E1678"/>
    <w:rPr>
      <w:color w:val="0000F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41C36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u w:val="none"/>
      <w:lang w:eastAsia="en-US"/>
    </w:rPr>
  </w:style>
  <w:style w:type="paragraph" w:styleId="Textbubliny">
    <w:name w:val="Balloon Text"/>
    <w:basedOn w:val="Normln"/>
    <w:link w:val="TextbublinyChar"/>
    <w:rsid w:val="00A41C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1C3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845C6"/>
  </w:style>
  <w:style w:type="character" w:customStyle="1" w:styleId="ZpatChar">
    <w:name w:val="Zápatí Char"/>
    <w:basedOn w:val="Standardnpsmoodstavce"/>
    <w:link w:val="Zpat"/>
    <w:uiPriority w:val="99"/>
    <w:rsid w:val="00E07AE6"/>
  </w:style>
  <w:style w:type="character" w:customStyle="1" w:styleId="Nadpis1Char">
    <w:name w:val="Nadpis 1 Char"/>
    <w:aliases w:val="h1 Char"/>
    <w:basedOn w:val="Standardnpsmoodstavce"/>
    <w:link w:val="Nadpis1"/>
    <w:rsid w:val="00F26CED"/>
    <w:rPr>
      <w:rFonts w:ascii="Arial" w:hAnsi="Arial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ichal.svoboda@merit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D6F23-8B8C-44AF-A56C-235785D6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3920</TotalTime>
  <Pages>1</Pages>
  <Words>2350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JIMI CZ, s.r.o.</Company>
  <LinksUpToDate>false</LinksUpToDate>
  <CharactersWithSpaces>16188</CharactersWithSpaces>
  <SharedDoc>false</SharedDoc>
  <HLinks>
    <vt:vector size="6" baseType="variant">
      <vt:variant>
        <vt:i4>4915261</vt:i4>
      </vt:variant>
      <vt:variant>
        <vt:i4>81</vt:i4>
      </vt:variant>
      <vt:variant>
        <vt:i4>0</vt:i4>
      </vt:variant>
      <vt:variant>
        <vt:i4>5</vt:i4>
      </vt:variant>
      <vt:variant>
        <vt:lpwstr>mailto:michal.svoboda@merit.cz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Svoboda</dc:creator>
  <cp:lastModifiedBy>Svoboda Michal</cp:lastModifiedBy>
  <cp:revision>101</cp:revision>
  <cp:lastPrinted>2018-06-22T03:27:00Z</cp:lastPrinted>
  <dcterms:created xsi:type="dcterms:W3CDTF">2009-08-20T13:07:00Z</dcterms:created>
  <dcterms:modified xsi:type="dcterms:W3CDTF">2018-06-22T03:27:00Z</dcterms:modified>
</cp:coreProperties>
</file>