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817" w:rsidRDefault="00AD0817" w:rsidP="00AD0817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Úvod</w:t>
      </w:r>
    </w:p>
    <w:p w:rsidR="00D44F08" w:rsidRDefault="00D44F08" w:rsidP="00D44F08">
      <w:pPr>
        <w:rPr>
          <w:b/>
          <w:u w:val="single"/>
        </w:rPr>
      </w:pPr>
    </w:p>
    <w:p w:rsidR="00A814D3" w:rsidRDefault="00941C98" w:rsidP="00A814D3">
      <w:pPr>
        <w:ind w:left="360" w:firstLine="348"/>
        <w:jc w:val="both"/>
      </w:pPr>
      <w:r>
        <w:t xml:space="preserve">Předložená dokumentace řeší </w:t>
      </w:r>
      <w:r w:rsidR="004B5D15">
        <w:t>přelo</w:t>
      </w:r>
      <w:r w:rsidR="002841CF">
        <w:t>žky areálové kanalizace</w:t>
      </w:r>
      <w:r w:rsidR="00CE738F">
        <w:t xml:space="preserve"> </w:t>
      </w:r>
      <w:r w:rsidR="00E31E81">
        <w:t xml:space="preserve">v rámci </w:t>
      </w:r>
      <w:r w:rsidR="00164D2E" w:rsidRPr="006D1E0B">
        <w:t>akce „</w:t>
      </w:r>
      <w:r w:rsidR="00164D2E">
        <w:t>FN Olomouc – Přístavba objektu “P“ pro ambulance a stacionář HOK</w:t>
      </w:r>
      <w:r w:rsidR="00164D2E" w:rsidRPr="006D1E0B">
        <w:t>“</w:t>
      </w:r>
      <w:r w:rsidR="00164D2E">
        <w:t xml:space="preserve"> – Fakultní nemocnice Olomouc, I. P. Pavlova 185/6, 779 00 Olomouc. Jedná se o objekt se čtyřmi nadzemními podlažími a plochou retenční zelenou střechou.</w:t>
      </w:r>
    </w:p>
    <w:p w:rsidR="00671136" w:rsidRDefault="00671136" w:rsidP="00A814D3">
      <w:pPr>
        <w:ind w:left="360" w:firstLine="348"/>
        <w:jc w:val="both"/>
      </w:pPr>
    </w:p>
    <w:p w:rsidR="00671136" w:rsidRDefault="00671136" w:rsidP="00671136">
      <w:pPr>
        <w:rPr>
          <w:b/>
          <w:i/>
        </w:rPr>
      </w:pPr>
      <w:r>
        <w:rPr>
          <w:b/>
          <w:i/>
        </w:rPr>
        <w:t>Jedná se o dotisk projektové dokumentace inženýrských sítí, které byly schváleny v rámci vodoprávního řízení. Dotisk je proveden pro kompletaci dokumentace ke změně stavby. Přílohou TZ je původní vyjádření k PD.  </w:t>
      </w:r>
    </w:p>
    <w:p w:rsidR="00671136" w:rsidRDefault="00671136" w:rsidP="00A814D3">
      <w:pPr>
        <w:ind w:left="360" w:firstLine="348"/>
        <w:jc w:val="both"/>
      </w:pPr>
    </w:p>
    <w:p w:rsidR="00E31E81" w:rsidRDefault="00E31E81" w:rsidP="00C050DB">
      <w:pPr>
        <w:ind w:firstLine="360"/>
        <w:jc w:val="both"/>
      </w:pPr>
    </w:p>
    <w:p w:rsidR="00941C98" w:rsidRDefault="00C050DB" w:rsidP="00671136">
      <w:pPr>
        <w:ind w:firstLine="360"/>
        <w:jc w:val="both"/>
      </w:pPr>
      <w:r>
        <w:t xml:space="preserve"> </w:t>
      </w:r>
      <w:r w:rsidR="00671136">
        <w:t xml:space="preserve">      </w:t>
      </w:r>
      <w:bookmarkStart w:id="0" w:name="_GoBack"/>
      <w:bookmarkEnd w:id="0"/>
      <w:r w:rsidR="00941C98">
        <w:t>Podkladem pro zpracování dokumentace byly stavební výkresy a požadavky investora.</w:t>
      </w:r>
    </w:p>
    <w:p w:rsidR="009A5D04" w:rsidRDefault="009A5D04" w:rsidP="009A5D04">
      <w:pPr>
        <w:ind w:left="360" w:firstLine="348"/>
        <w:jc w:val="both"/>
      </w:pPr>
    </w:p>
    <w:p w:rsidR="009A5D04" w:rsidRDefault="009A5D04" w:rsidP="009A5D04">
      <w:pPr>
        <w:ind w:left="360" w:firstLine="348"/>
        <w:jc w:val="both"/>
      </w:pPr>
      <w:r>
        <w:t xml:space="preserve">Projektová dokumentace byla zpracována v souladu s příslušnými normami, technickými pravidly, prováděcími vyhláškami, především </w:t>
      </w:r>
      <w:proofErr w:type="gramStart"/>
      <w:r>
        <w:t>dle..</w:t>
      </w:r>
      <w:proofErr w:type="gramEnd"/>
    </w:p>
    <w:p w:rsidR="009A5D04" w:rsidRDefault="009A5D04" w:rsidP="009A5D04">
      <w:pPr>
        <w:ind w:left="360" w:firstLine="348"/>
        <w:jc w:val="both"/>
      </w:pPr>
    </w:p>
    <w:p w:rsidR="009A5D04" w:rsidRPr="0098742A" w:rsidRDefault="009A5D04" w:rsidP="009A5D04">
      <w:pPr>
        <w:ind w:left="2124" w:hanging="1416"/>
        <w:jc w:val="both"/>
      </w:pPr>
      <w:r w:rsidRPr="0098742A">
        <w:t xml:space="preserve">ČSN 75 </w:t>
      </w:r>
      <w:proofErr w:type="gramStart"/>
      <w:r w:rsidRPr="0098742A">
        <w:t xml:space="preserve">6760  </w:t>
      </w:r>
      <w:r>
        <w:tab/>
      </w:r>
      <w:proofErr w:type="gramEnd"/>
      <w:r>
        <w:tab/>
      </w:r>
      <w:r w:rsidRPr="0098742A">
        <w:t>Vnitřní kanalizace</w:t>
      </w:r>
    </w:p>
    <w:p w:rsidR="009A5D04" w:rsidRPr="0098742A" w:rsidRDefault="009A5D04" w:rsidP="009A5D04">
      <w:pPr>
        <w:ind w:left="2124" w:hanging="1416"/>
        <w:jc w:val="both"/>
      </w:pPr>
      <w:r w:rsidRPr="0098742A">
        <w:t xml:space="preserve">ČSN EN 12056 1-5 </w:t>
      </w:r>
      <w:r>
        <w:tab/>
      </w:r>
      <w:r w:rsidRPr="0098742A">
        <w:t>Vnitřní kanalizace – Gravitační systémy – Část 1 až 5</w:t>
      </w:r>
    </w:p>
    <w:p w:rsidR="00E842E0" w:rsidRPr="0098742A" w:rsidRDefault="00E842E0" w:rsidP="00E842E0">
      <w:pPr>
        <w:ind w:left="2124" w:hanging="1416"/>
        <w:jc w:val="both"/>
      </w:pPr>
      <w:r w:rsidRPr="0098742A">
        <w:t xml:space="preserve">ČSN </w:t>
      </w:r>
      <w:r>
        <w:t>75 6101</w:t>
      </w:r>
      <w:r w:rsidRPr="0098742A">
        <w:t xml:space="preserve"> </w:t>
      </w:r>
      <w:r>
        <w:tab/>
      </w:r>
      <w:r>
        <w:tab/>
        <w:t>Stokové sítě a kanalizační přípojky</w:t>
      </w:r>
    </w:p>
    <w:p w:rsidR="009A5D04" w:rsidRPr="0098742A" w:rsidRDefault="009A5D04" w:rsidP="009A5D04">
      <w:pPr>
        <w:ind w:left="2124" w:hanging="1416"/>
        <w:jc w:val="both"/>
      </w:pPr>
      <w:r w:rsidRPr="0098742A">
        <w:t xml:space="preserve">ČSN </w:t>
      </w:r>
      <w:r w:rsidR="00E842E0">
        <w:t>75 6110</w:t>
      </w:r>
      <w:r w:rsidRPr="0098742A">
        <w:t xml:space="preserve"> </w:t>
      </w:r>
      <w:r>
        <w:tab/>
      </w:r>
      <w:r w:rsidR="00E842E0">
        <w:tab/>
        <w:t>Odvodňovací systémy vně budov</w:t>
      </w:r>
    </w:p>
    <w:p w:rsidR="00E842E0" w:rsidRPr="0098742A" w:rsidRDefault="00E842E0" w:rsidP="00E842E0">
      <w:pPr>
        <w:ind w:left="2124" w:hanging="1416"/>
        <w:jc w:val="both"/>
      </w:pPr>
      <w:r>
        <w:t>ČSN 76 6909</w:t>
      </w:r>
      <w:r w:rsidRPr="0098742A">
        <w:t xml:space="preserve"> </w:t>
      </w:r>
      <w:r>
        <w:tab/>
      </w:r>
      <w:r>
        <w:tab/>
      </w:r>
      <w:r w:rsidRPr="0098742A">
        <w:t>Zkoušky vodotěsnosti stok a kanalizačních přípojek</w:t>
      </w:r>
    </w:p>
    <w:p w:rsidR="00E842E0" w:rsidRPr="0098742A" w:rsidRDefault="00E842E0" w:rsidP="00E842E0">
      <w:pPr>
        <w:ind w:left="2124" w:hanging="1416"/>
        <w:jc w:val="both"/>
      </w:pPr>
      <w:r w:rsidRPr="0098742A">
        <w:t xml:space="preserve">ČSN </w:t>
      </w:r>
      <w:r>
        <w:t>73 6006</w:t>
      </w:r>
      <w:r w:rsidRPr="0098742A">
        <w:t xml:space="preserve"> </w:t>
      </w:r>
      <w:r>
        <w:tab/>
      </w:r>
      <w:r>
        <w:tab/>
        <w:t>Prostorové vybavení sítí technického vybavení</w:t>
      </w:r>
    </w:p>
    <w:p w:rsidR="00E842E0" w:rsidRDefault="00E842E0" w:rsidP="00E842E0">
      <w:pPr>
        <w:ind w:left="2124" w:hanging="1416"/>
        <w:jc w:val="both"/>
      </w:pPr>
      <w:r w:rsidRPr="0098742A">
        <w:t xml:space="preserve">ČSN </w:t>
      </w:r>
      <w:r>
        <w:t>73 7505</w:t>
      </w:r>
      <w:r w:rsidRPr="0098742A">
        <w:t xml:space="preserve"> </w:t>
      </w:r>
      <w:r>
        <w:tab/>
      </w:r>
      <w:r>
        <w:tab/>
        <w:t>Sdružené tresy městských vedení technického vybavení</w:t>
      </w:r>
    </w:p>
    <w:p w:rsidR="00F20C55" w:rsidRPr="0098742A" w:rsidRDefault="00F20C55" w:rsidP="00F20C55">
      <w:pPr>
        <w:ind w:left="2124" w:hanging="1416"/>
        <w:jc w:val="both"/>
      </w:pPr>
      <w:r>
        <w:t>ČSN 75 9010</w:t>
      </w:r>
      <w:r>
        <w:tab/>
      </w:r>
      <w:r>
        <w:tab/>
      </w:r>
      <w:r w:rsidRPr="00CE53D9">
        <w:t>Vsakovací zařízení srážkových vod</w:t>
      </w:r>
    </w:p>
    <w:p w:rsidR="00E842E0" w:rsidRPr="0098742A" w:rsidRDefault="00E842E0" w:rsidP="00E842E0">
      <w:pPr>
        <w:ind w:left="2124" w:hanging="1416"/>
        <w:jc w:val="both"/>
      </w:pPr>
      <w:r>
        <w:t>atd.</w:t>
      </w:r>
    </w:p>
    <w:p w:rsidR="006B1B2C" w:rsidRDefault="006B1B2C" w:rsidP="002841CF">
      <w:pPr>
        <w:jc w:val="both"/>
      </w:pPr>
    </w:p>
    <w:p w:rsidR="00A379F0" w:rsidRDefault="00A379F0" w:rsidP="00E35FFF">
      <w:pPr>
        <w:ind w:left="360" w:firstLine="348"/>
        <w:jc w:val="both"/>
      </w:pPr>
    </w:p>
    <w:p w:rsidR="009A5D04" w:rsidRDefault="002841CF" w:rsidP="009A5D04">
      <w:pPr>
        <w:numPr>
          <w:ilvl w:val="0"/>
          <w:numId w:val="1"/>
        </w:numPr>
        <w:tabs>
          <w:tab w:val="left" w:pos="567"/>
        </w:tabs>
        <w:rPr>
          <w:b/>
          <w:u w:val="single"/>
        </w:rPr>
      </w:pPr>
      <w:r>
        <w:rPr>
          <w:b/>
          <w:u w:val="single"/>
        </w:rPr>
        <w:t>Přeložky</w:t>
      </w:r>
      <w:r w:rsidR="009A5D04">
        <w:rPr>
          <w:b/>
          <w:u w:val="single"/>
        </w:rPr>
        <w:t xml:space="preserve"> kanalizace</w:t>
      </w:r>
    </w:p>
    <w:p w:rsidR="00164D2E" w:rsidRDefault="00164D2E" w:rsidP="00164D2E">
      <w:pPr>
        <w:tabs>
          <w:tab w:val="left" w:pos="567"/>
        </w:tabs>
        <w:ind w:left="360"/>
        <w:rPr>
          <w:b/>
          <w:u w:val="single"/>
        </w:rPr>
      </w:pPr>
    </w:p>
    <w:p w:rsidR="002841CF" w:rsidRDefault="002841CF" w:rsidP="00164D2E">
      <w:pPr>
        <w:tabs>
          <w:tab w:val="left" w:pos="567"/>
        </w:tabs>
        <w:ind w:left="360"/>
        <w:rPr>
          <w:b/>
          <w:u w:val="single"/>
        </w:rPr>
      </w:pPr>
    </w:p>
    <w:p w:rsidR="00164D2E" w:rsidRDefault="002841CF" w:rsidP="00164D2E">
      <w:pPr>
        <w:tabs>
          <w:tab w:val="left" w:pos="567"/>
        </w:tabs>
        <w:ind w:left="360"/>
        <w:rPr>
          <w:b/>
          <w:u w:val="single"/>
        </w:rPr>
      </w:pPr>
      <w:r w:rsidRPr="002841CF">
        <w:rPr>
          <w:b/>
        </w:rPr>
        <w:t>2.1.</w:t>
      </w:r>
      <w:r w:rsidR="00164D2E" w:rsidRPr="002841CF">
        <w:rPr>
          <w:b/>
        </w:rPr>
        <w:t xml:space="preserve"> </w:t>
      </w:r>
      <w:r>
        <w:rPr>
          <w:b/>
          <w:u w:val="single"/>
        </w:rPr>
        <w:t>Stávající stav</w:t>
      </w:r>
    </w:p>
    <w:p w:rsidR="00164D2E" w:rsidRDefault="00164D2E" w:rsidP="00164D2E">
      <w:pPr>
        <w:tabs>
          <w:tab w:val="left" w:pos="567"/>
        </w:tabs>
        <w:ind w:left="360"/>
        <w:rPr>
          <w:b/>
          <w:u w:val="single"/>
        </w:rPr>
      </w:pPr>
    </w:p>
    <w:p w:rsidR="00164D2E" w:rsidRDefault="002841CF" w:rsidP="00164D2E">
      <w:pPr>
        <w:ind w:left="360" w:firstLine="348"/>
        <w:jc w:val="both"/>
      </w:pPr>
      <w:r>
        <w:t xml:space="preserve">Stávající areálová kanalizace je provedena jako oddílná kanalizace. </w:t>
      </w:r>
      <w:r w:rsidR="00C126EC">
        <w:t xml:space="preserve">Splašková a dešťová kanalizace je vedena ve volném terénu a pod asfaltovou cestou za nemocničním objektem “P“. </w:t>
      </w:r>
    </w:p>
    <w:p w:rsidR="00C126EC" w:rsidRDefault="00C126EC" w:rsidP="00164D2E">
      <w:pPr>
        <w:ind w:left="360" w:firstLine="348"/>
        <w:jc w:val="both"/>
      </w:pPr>
      <w:r>
        <w:t>Dešťová areálová kanalizace je provedena z materiálů betonové a plastové kanalizační potrubí.</w:t>
      </w:r>
    </w:p>
    <w:p w:rsidR="00C126EC" w:rsidRDefault="00C126EC" w:rsidP="00164D2E">
      <w:pPr>
        <w:ind w:left="360" w:firstLine="348"/>
        <w:jc w:val="both"/>
      </w:pPr>
      <w:r>
        <w:t>Splašková areálová kanalizace je provedena z materiálu PVC-U KG.</w:t>
      </w:r>
    </w:p>
    <w:p w:rsidR="00164D2E" w:rsidRDefault="00164D2E" w:rsidP="00164D2E">
      <w:pPr>
        <w:tabs>
          <w:tab w:val="left" w:pos="567"/>
        </w:tabs>
        <w:ind w:left="360"/>
        <w:rPr>
          <w:b/>
          <w:u w:val="single"/>
        </w:rPr>
      </w:pPr>
    </w:p>
    <w:p w:rsidR="00C976D5" w:rsidRDefault="00C976D5" w:rsidP="00C976D5">
      <w:pPr>
        <w:tabs>
          <w:tab w:val="left" w:pos="567"/>
        </w:tabs>
        <w:rPr>
          <w:b/>
          <w:u w:val="single"/>
        </w:rPr>
      </w:pPr>
    </w:p>
    <w:p w:rsidR="00164D2E" w:rsidRDefault="00C126EC" w:rsidP="00164D2E">
      <w:pPr>
        <w:tabs>
          <w:tab w:val="left" w:pos="567"/>
        </w:tabs>
        <w:ind w:left="360"/>
        <w:rPr>
          <w:b/>
          <w:u w:val="single"/>
        </w:rPr>
      </w:pPr>
      <w:r>
        <w:rPr>
          <w:b/>
        </w:rPr>
        <w:t>2</w:t>
      </w:r>
      <w:r w:rsidR="00164D2E" w:rsidRPr="002841CF">
        <w:rPr>
          <w:b/>
        </w:rPr>
        <w:t xml:space="preserve">.2. </w:t>
      </w:r>
      <w:r w:rsidRPr="00C126EC">
        <w:rPr>
          <w:b/>
          <w:u w:val="single"/>
        </w:rPr>
        <w:t>Na</w:t>
      </w:r>
      <w:r>
        <w:rPr>
          <w:b/>
          <w:u w:val="single"/>
        </w:rPr>
        <w:t>vrhovaný stav</w:t>
      </w:r>
    </w:p>
    <w:p w:rsidR="00F75DE5" w:rsidRDefault="00F75DE5" w:rsidP="00F75DE5">
      <w:pPr>
        <w:ind w:left="360" w:firstLine="348"/>
        <w:jc w:val="both"/>
      </w:pPr>
      <w:r>
        <w:t xml:space="preserve">   </w:t>
      </w:r>
    </w:p>
    <w:p w:rsidR="00C126EC" w:rsidRDefault="00C126EC" w:rsidP="00AF1F03">
      <w:pPr>
        <w:ind w:left="360" w:firstLine="348"/>
        <w:jc w:val="both"/>
      </w:pPr>
      <w:r>
        <w:t>Stávající areálová kanalizace bude přeložena z důvodů křížení s nosnými prvky přístavby.</w:t>
      </w:r>
      <w:r w:rsidR="00630A07">
        <w:t xml:space="preserve"> Budou zrušeny stávající revizní šachty a budou nahrazeny novými s litinovými poklopy určenými pro pojezd automobilů.</w:t>
      </w:r>
    </w:p>
    <w:p w:rsidR="00630A07" w:rsidRDefault="00630A07" w:rsidP="00AF1F03">
      <w:pPr>
        <w:ind w:left="360" w:firstLine="348"/>
        <w:jc w:val="both"/>
      </w:pPr>
      <w:r>
        <w:t>Dešťová</w:t>
      </w:r>
      <w:r w:rsidR="00C04462">
        <w:t xml:space="preserve"> areálová</w:t>
      </w:r>
      <w:r>
        <w:t xml:space="preserve"> kanalizace bude pouze vyměněna ve stávající trase uložení</w:t>
      </w:r>
      <w:r w:rsidR="00C04462">
        <w:t xml:space="preserve"> se stejným spádem</w:t>
      </w:r>
      <w:r>
        <w:t>. Nová kanalizace bude provedena ve stejné dimenzi</w:t>
      </w:r>
      <w:r w:rsidR="00C04462">
        <w:t xml:space="preserve"> DN300/400</w:t>
      </w:r>
      <w:r>
        <w:t xml:space="preserve"> </w:t>
      </w:r>
      <w:r w:rsidR="00C04462">
        <w:t>jako stávající.</w:t>
      </w:r>
    </w:p>
    <w:p w:rsidR="00C04462" w:rsidRDefault="00C04462" w:rsidP="00AF1F03">
      <w:pPr>
        <w:ind w:left="360" w:firstLine="348"/>
        <w:jc w:val="both"/>
      </w:pPr>
      <w:r>
        <w:t>Splašková areálová kanalizace mezi šachtami Š1 a Š2 bude vyměněna ve stávající trase se stejným spádem. Nová kanalizace bude provedena ve stejné dimenzi DN300 jako je stávající. Stávající revizní šachta Š4 bude zrušena a bude zbudována nová revizní šachta Š3.</w:t>
      </w:r>
    </w:p>
    <w:p w:rsidR="00683D76" w:rsidRDefault="00683D76" w:rsidP="00683D76">
      <w:pPr>
        <w:ind w:left="360" w:firstLine="348"/>
        <w:jc w:val="both"/>
      </w:pPr>
      <w:r>
        <w:t>Nové areálové kanalizace splaškových a dešťových odpadních vod budou uloženy do výkopu. Potrubí bude ve výkopu uloženo do pískového lože, dále bude zahozeno obsypem ze štěrkopísku, který bude zhutněn. V obsypu bude nad potrubí umístěna výstražná fólie. Po provedení obsypu bude výkop zasypán rostlou zeminou.</w:t>
      </w:r>
    </w:p>
    <w:p w:rsidR="00AF1F03" w:rsidRDefault="000D1207" w:rsidP="000D1207">
      <w:pPr>
        <w:ind w:left="360" w:firstLine="348"/>
        <w:jc w:val="both"/>
      </w:pPr>
      <w:r>
        <w:t xml:space="preserve">Stávající potrubí bude nahrazeno novým </w:t>
      </w:r>
      <w:r w:rsidR="00C04462">
        <w:t xml:space="preserve">potrubím </w:t>
      </w:r>
      <w:r w:rsidR="00C126EC">
        <w:t>z materiálu PP</w:t>
      </w:r>
      <w:r w:rsidR="00634CBE">
        <w:t xml:space="preserve"> s ochrannými žebry</w:t>
      </w:r>
      <w:r w:rsidR="00C126EC">
        <w:t xml:space="preserve"> </w:t>
      </w:r>
      <w:r w:rsidR="00EA48B5">
        <w:t xml:space="preserve">o kruhové tuhosti </w:t>
      </w:r>
      <w:r w:rsidR="00C126EC">
        <w:t>SN10</w:t>
      </w:r>
      <w:r w:rsidR="00634CBE">
        <w:t xml:space="preserve"> spojovaného pomocí hrdlových spojů s těsněním</w:t>
      </w:r>
      <w:r w:rsidR="00C126EC">
        <w:t>.</w:t>
      </w:r>
    </w:p>
    <w:p w:rsidR="00D41E14" w:rsidRDefault="00D41E14" w:rsidP="00D41E14">
      <w:pPr>
        <w:ind w:left="360" w:firstLine="348"/>
        <w:jc w:val="both"/>
      </w:pPr>
      <w:r>
        <w:t>Ve výkresové dokumentaci jsou naznačeny inženýrské sítě, předané jako podklad HIP. Jejich přesné umístění je třeba, před započetím výkopových prací, nechat vytyčit správci jednotlivých sítí.</w:t>
      </w:r>
    </w:p>
    <w:p w:rsidR="00EC5DDE" w:rsidRDefault="00EC5DDE" w:rsidP="00436350">
      <w:pPr>
        <w:jc w:val="both"/>
      </w:pPr>
    </w:p>
    <w:p w:rsidR="00EC5DDE" w:rsidRDefault="00EC5DDE" w:rsidP="00D41E14">
      <w:pPr>
        <w:ind w:left="360" w:firstLine="348"/>
        <w:jc w:val="both"/>
      </w:pPr>
    </w:p>
    <w:p w:rsidR="00EC5DDE" w:rsidRDefault="00EA48B5" w:rsidP="00EC5DDE">
      <w:pPr>
        <w:ind w:left="360" w:firstLine="348"/>
        <w:jc w:val="both"/>
      </w:pPr>
      <w:r>
        <w:lastRenderedPageBreak/>
        <w:t>Kanalizační</w:t>
      </w:r>
      <w:r w:rsidR="00634CBE">
        <w:t xml:space="preserve"> potrubí z</w:t>
      </w:r>
      <w:r w:rsidR="00EC5DDE" w:rsidRPr="0065386A">
        <w:t xml:space="preserve"> materiál </w:t>
      </w:r>
      <w:r>
        <w:t>PP</w:t>
      </w:r>
      <w:r w:rsidR="00634CBE" w:rsidRPr="00634CBE">
        <w:t xml:space="preserve"> </w:t>
      </w:r>
      <w:r w:rsidR="00634CBE">
        <w:t>s ochrannými žebry</w:t>
      </w:r>
      <w:r w:rsidR="00EC5DDE" w:rsidRPr="0065386A">
        <w:t xml:space="preserve"> o kruhové tuhosti </w:t>
      </w:r>
      <w:r>
        <w:t>10</w:t>
      </w:r>
      <w:r w:rsidR="00EC5DDE" w:rsidRPr="0065386A">
        <w:t>kN/m2 (řada SN</w:t>
      </w:r>
      <w:r>
        <w:t>10</w:t>
      </w:r>
      <w:r w:rsidR="00EC5DDE" w:rsidRPr="0065386A">
        <w:t xml:space="preserve">) budou použita pro hloubky uložení 0,8 – </w:t>
      </w:r>
      <w:r w:rsidR="00B009B1">
        <w:t>8</w:t>
      </w:r>
      <w:r w:rsidR="00EC5DDE" w:rsidRPr="0065386A">
        <w:t xml:space="preserve">,0 m (ve volném terénu) popř. 1,0 až </w:t>
      </w:r>
      <w:r w:rsidR="00B009B1">
        <w:t xml:space="preserve">8,0 </w:t>
      </w:r>
      <w:r w:rsidR="00EC5DDE" w:rsidRPr="0065386A">
        <w:t>m pod komunika</w:t>
      </w:r>
      <w:r w:rsidR="00E133E1">
        <w:t>cemi zatíženými běžným provozem</w:t>
      </w:r>
      <w:r w:rsidR="00EC5DDE" w:rsidRPr="0065386A">
        <w:t>.</w:t>
      </w:r>
    </w:p>
    <w:p w:rsidR="00EC5DDE" w:rsidRPr="0065386A" w:rsidRDefault="00EC5DDE" w:rsidP="00EC5DDE">
      <w:pPr>
        <w:ind w:left="360" w:firstLine="348"/>
        <w:jc w:val="both"/>
      </w:pPr>
      <w:r w:rsidRPr="0065386A">
        <w:t xml:space="preserve"> Pro uložení potrubí budou provedeny výkopy dostatečně bezpečné – viz. vyhláška ČBÚP a ČBÚ 324/1990 </w:t>
      </w:r>
      <w:proofErr w:type="spellStart"/>
      <w:r w:rsidRPr="0065386A">
        <w:t>Sb</w:t>
      </w:r>
      <w:proofErr w:type="spellEnd"/>
      <w:r w:rsidRPr="0065386A">
        <w:t xml:space="preserve"> a dle ČSN EN 1610. Nutno dodržet minimální předepsané šířky výkopu, pro bezpečnou manipulaci, a umožňující dostatečné obsypání a hutnění. Svislé rýhy budou opatřeny pažením, dle soudržnosti zeminy, od hloubky výkopu 1,25m budou pažením opatřeny vždy! Dno výkopu musí být dostatečně zhutněno. Pokud je hodnota zh</w:t>
      </w:r>
      <w:r>
        <w:t>utnění nižší, než udává norma (</w:t>
      </w:r>
      <w:r w:rsidRPr="0065386A">
        <w:t xml:space="preserve">požadavek Standardní </w:t>
      </w:r>
      <w:proofErr w:type="spellStart"/>
      <w:r w:rsidRPr="0065386A">
        <w:t>Proctorovy</w:t>
      </w:r>
      <w:proofErr w:type="spellEnd"/>
      <w:r w:rsidRPr="0065386A">
        <w:t xml:space="preserve"> hustoty), např. z důvodu navážky musí se dno výkopu zhutnit na požadovanou hodnotu – pomocí hutnících mechanismů. Potrubí bude uloženo do pískového lože o minimální tloušťce </w:t>
      </w:r>
      <w:proofErr w:type="gramStart"/>
      <w:r w:rsidRPr="0065386A">
        <w:t>10cm</w:t>
      </w:r>
      <w:proofErr w:type="gramEnd"/>
      <w:r w:rsidRPr="0065386A">
        <w:t xml:space="preserve"> + 1/10 vnějšího průměru potrubí v cm, provedeného ve spádu potrubí. Obsyp potrubí bude proveden </w:t>
      </w:r>
      <w:proofErr w:type="gramStart"/>
      <w:r w:rsidRPr="0065386A">
        <w:t>pískem</w:t>
      </w:r>
      <w:proofErr w:type="gramEnd"/>
      <w:r w:rsidRPr="0065386A">
        <w:t xml:space="preserve"> popř. podobným nesoudržným materiálem – v zóně obsypu. Nad zónou překrytí je možno použít výkopový materiál, jehož zrnitost není omezena, ale musí být dostatečně zhutnitelný. Jednotlivé fáze obsypu a zásypu musí být hutněny po vrstvách, dle předepsaných norem a směrnic. Zvláštní pozornost nutno věnovat pokládce a uložení potrubí pod hladinou spodní vody.</w:t>
      </w:r>
    </w:p>
    <w:p w:rsidR="00EC5DDE" w:rsidRDefault="00EC5DDE" w:rsidP="00EC5DDE">
      <w:pPr>
        <w:ind w:left="360" w:firstLine="348"/>
        <w:jc w:val="both"/>
      </w:pPr>
      <w:r w:rsidRPr="0065386A">
        <w:t xml:space="preserve">Spojování potrubí bude prováděno pomocí hrdlových spojů </w:t>
      </w:r>
      <w:r w:rsidR="00E133E1">
        <w:t>s nasazovacími</w:t>
      </w:r>
      <w:r w:rsidRPr="0065386A">
        <w:t xml:space="preserve"> těsnícími kroužky</w:t>
      </w:r>
      <w:r w:rsidR="00E133E1">
        <w:t xml:space="preserve"> mezi druhé a třetí žebro</w:t>
      </w:r>
      <w:r w:rsidRPr="0065386A">
        <w:t xml:space="preserve">. </w:t>
      </w:r>
    </w:p>
    <w:p w:rsidR="00EC5DDE" w:rsidRPr="0065386A" w:rsidRDefault="00EC5DDE" w:rsidP="00EC5DDE">
      <w:pPr>
        <w:ind w:left="360" w:firstLine="348"/>
        <w:jc w:val="both"/>
      </w:pPr>
      <w:r w:rsidRPr="0065386A">
        <w:t>Po provedení pokládky potrubí je nutno provést předepsanou zkoušku vodotěsnosti. Zkouška se provádí podle ČSN 75 6909/Z1 (a ČSN EN 1610) po zásypu rýhy a odstranění pažení. Před zkouškou je nutno uzavřít veškeré otvory a uzavírací prvky (zátky) zajistit proti vytlačení. Potrubí je nutno v nejvyšším bodě opatřit odvzdušňovacím prvkem. Před zkouškou se potrubí naplní vodou tak, aby mohl uniknout vzduch. Po naplnění se nechá vodní náplň ustálit po dobu jedné hodiny a po uplynutí této doby se provede zkouška vodotěsnosti. Při zkoušce je nutno zabránit vlivu případných změn teploty, neboť by mohly ovlivnit přesnost měření! Kontroluje se při ní také těsnost jednotlivých spojů.</w:t>
      </w:r>
    </w:p>
    <w:p w:rsidR="00EC5DDE" w:rsidRPr="0065386A" w:rsidRDefault="00EC5DDE" w:rsidP="00EC5DDE">
      <w:pPr>
        <w:ind w:left="360" w:firstLine="348"/>
        <w:jc w:val="both"/>
      </w:pPr>
      <w:r w:rsidRPr="0065386A">
        <w:t>ČSN EN 1610 dovoluje rovněž zkoušku tlakem vzduchu, v případě nevyhovujících hodnot je směrodatná zkouška vodou.</w:t>
      </w:r>
    </w:p>
    <w:p w:rsidR="00EC5DDE" w:rsidRDefault="00EC5DDE" w:rsidP="00EC5DDE">
      <w:pPr>
        <w:ind w:left="360" w:firstLine="348"/>
        <w:jc w:val="both"/>
      </w:pPr>
      <w:r w:rsidRPr="0065386A">
        <w:t>Výkopové práce, pokládku potrubí, spojování, zásyp i zkoušku vodotěsnosti je nutno provádět dle předepsaných norem, směrnic a montážních předpisů výrobce systému.</w:t>
      </w:r>
    </w:p>
    <w:p w:rsidR="00EC5DDE" w:rsidRDefault="00EC5DDE" w:rsidP="00EC5DDE">
      <w:pPr>
        <w:ind w:left="360" w:firstLine="348"/>
        <w:jc w:val="both"/>
      </w:pPr>
      <w:r w:rsidRPr="0065386A">
        <w:t xml:space="preserve">Pro možnost čistění, kontroly a údržby kanalizace uložené v zemi, bude vnější kanalizace opatřena revizními šachtami dle výkresové dokumentace. </w:t>
      </w:r>
      <w:r>
        <w:t>J</w:t>
      </w:r>
      <w:r w:rsidRPr="0065386A">
        <w:t>sou použity prefabrikované plastové šachty</w:t>
      </w:r>
      <w:r>
        <w:t xml:space="preserve"> dn</w:t>
      </w:r>
      <w:r w:rsidR="00E133E1">
        <w:t>6</w:t>
      </w:r>
      <w:r>
        <w:t xml:space="preserve">00 na splaškové </w:t>
      </w:r>
      <w:r w:rsidR="00E133E1">
        <w:t xml:space="preserve">a dešťové </w:t>
      </w:r>
      <w:r>
        <w:t xml:space="preserve">kanalizaci doplněné prachotěsnými poklopy.  </w:t>
      </w:r>
    </w:p>
    <w:p w:rsidR="00EC5DDE" w:rsidRDefault="00EC5DDE" w:rsidP="00EC5DDE">
      <w:pPr>
        <w:ind w:left="360" w:firstLine="348"/>
        <w:jc w:val="both"/>
      </w:pPr>
      <w:r w:rsidRPr="0065386A">
        <w:t xml:space="preserve">Při montáži je třeba šachtových systémů postupovat dle montážních předpisů výrobce. Pro požadavky provedení výkopu, uložení a zásypu platí stejné požadavky jako pro pokládku potrubí viz. výše. </w:t>
      </w:r>
    </w:p>
    <w:p w:rsidR="00546415" w:rsidRDefault="00546415" w:rsidP="00546415">
      <w:pPr>
        <w:tabs>
          <w:tab w:val="left" w:pos="567"/>
        </w:tabs>
        <w:rPr>
          <w:b/>
          <w:i/>
        </w:rPr>
      </w:pPr>
    </w:p>
    <w:p w:rsidR="00321271" w:rsidRDefault="00321271" w:rsidP="003F339D"/>
    <w:p w:rsidR="00936872" w:rsidRPr="00F20C55" w:rsidRDefault="00936872" w:rsidP="00F20C55">
      <w:pPr>
        <w:numPr>
          <w:ilvl w:val="0"/>
          <w:numId w:val="1"/>
        </w:numPr>
        <w:tabs>
          <w:tab w:val="left" w:pos="567"/>
        </w:tabs>
        <w:rPr>
          <w:b/>
          <w:u w:val="single"/>
        </w:rPr>
      </w:pPr>
      <w:r w:rsidRPr="00F20C55">
        <w:rPr>
          <w:b/>
          <w:u w:val="single"/>
        </w:rPr>
        <w:t xml:space="preserve">Provádění prací </w:t>
      </w:r>
    </w:p>
    <w:p w:rsidR="00936872" w:rsidRPr="00936872" w:rsidRDefault="00936872" w:rsidP="00936872">
      <w:pPr>
        <w:tabs>
          <w:tab w:val="left" w:pos="567"/>
        </w:tabs>
        <w:rPr>
          <w:b/>
          <w:u w:val="single"/>
        </w:rPr>
      </w:pPr>
    </w:p>
    <w:p w:rsidR="00F75DE5" w:rsidRPr="00D85BC7" w:rsidRDefault="00936872" w:rsidP="00F75DE5">
      <w:pPr>
        <w:tabs>
          <w:tab w:val="left" w:pos="284"/>
          <w:tab w:val="left" w:pos="567"/>
        </w:tabs>
        <w:ind w:left="285"/>
        <w:rPr>
          <w:b/>
          <w:i/>
        </w:rPr>
      </w:pPr>
      <w:r>
        <w:tab/>
      </w:r>
      <w:r w:rsidR="00F75DE5" w:rsidRPr="00D85BC7">
        <w:rPr>
          <w:b/>
          <w:i/>
        </w:rPr>
        <w:t xml:space="preserve">Ve své celkové podzemní trase může </w:t>
      </w:r>
      <w:r w:rsidR="00F75DE5">
        <w:rPr>
          <w:b/>
          <w:i/>
        </w:rPr>
        <w:t xml:space="preserve">navržená </w:t>
      </w:r>
      <w:r w:rsidR="000D1207">
        <w:rPr>
          <w:b/>
          <w:i/>
        </w:rPr>
        <w:t>kanalizace</w:t>
      </w:r>
      <w:r w:rsidR="00F75DE5">
        <w:rPr>
          <w:b/>
          <w:i/>
        </w:rPr>
        <w:t xml:space="preserve"> </w:t>
      </w:r>
      <w:r w:rsidR="00F75DE5" w:rsidRPr="00D85BC7">
        <w:rPr>
          <w:b/>
          <w:i/>
        </w:rPr>
        <w:t>přecházet stávající a inženýrské sítě.</w:t>
      </w:r>
    </w:p>
    <w:p w:rsidR="00F75DE5" w:rsidRDefault="00F75DE5" w:rsidP="00F75DE5">
      <w:pPr>
        <w:tabs>
          <w:tab w:val="left" w:pos="284"/>
          <w:tab w:val="left" w:pos="567"/>
        </w:tabs>
        <w:ind w:left="285"/>
        <w:rPr>
          <w:b/>
          <w:i/>
        </w:rPr>
      </w:pPr>
      <w:r w:rsidRPr="00D85BC7">
        <w:rPr>
          <w:b/>
          <w:i/>
        </w:rPr>
        <w:t>Střety budou řešeny v souladu s ČSN 73 6005. Je nezbytně nut</w:t>
      </w:r>
      <w:r w:rsidRPr="00D85BC7">
        <w:rPr>
          <w:b/>
          <w:i/>
        </w:rPr>
        <w:softHyphen/>
        <w:t>né, aby před započetím zemních prací bylo stavebníkem zajiště</w:t>
      </w:r>
      <w:r w:rsidRPr="00D85BC7">
        <w:rPr>
          <w:b/>
          <w:i/>
        </w:rPr>
        <w:softHyphen/>
        <w:t xml:space="preserve">no vytýčení všech podzemních </w:t>
      </w:r>
      <w:proofErr w:type="spellStart"/>
      <w:r w:rsidRPr="00D85BC7">
        <w:rPr>
          <w:b/>
          <w:i/>
        </w:rPr>
        <w:t>inž</w:t>
      </w:r>
      <w:proofErr w:type="spellEnd"/>
      <w:r w:rsidRPr="00D85BC7">
        <w:rPr>
          <w:b/>
          <w:i/>
        </w:rPr>
        <w:t>. sítí. V žádném případě nesmí dojít k jejich narušení!</w:t>
      </w:r>
    </w:p>
    <w:p w:rsidR="00936872" w:rsidRDefault="00F75DE5" w:rsidP="00936872">
      <w:pPr>
        <w:tabs>
          <w:tab w:val="left" w:pos="284"/>
          <w:tab w:val="left" w:pos="567"/>
        </w:tabs>
        <w:ind w:left="285"/>
      </w:pPr>
      <w:r>
        <w:tab/>
      </w:r>
      <w:r w:rsidR="00936872">
        <w:t>Všechna zařízení budou uvedena do provozu až po provedení předepsaných zkoušek a vystavení protokolů o zkouškách.</w:t>
      </w:r>
    </w:p>
    <w:p w:rsidR="00936872" w:rsidRDefault="00936872" w:rsidP="00936872">
      <w:pPr>
        <w:tabs>
          <w:tab w:val="left" w:pos="284"/>
          <w:tab w:val="left" w:pos="567"/>
        </w:tabs>
        <w:ind w:left="285"/>
      </w:pPr>
      <w:r>
        <w:t>Montáž zařízení bude provedena dodavatelským způsobem v souladu s projektem, dle platných ČSN a technických pravidel. Postup montáže bude zaznamenáván vedoucím montérem v montážním deníku. Po ukončení montáže bude vystaven protokol o zkouškách a o ukončení montáže.</w:t>
      </w:r>
    </w:p>
    <w:p w:rsidR="00936872" w:rsidRDefault="00936872" w:rsidP="00936872">
      <w:pPr>
        <w:tabs>
          <w:tab w:val="left" w:pos="284"/>
          <w:tab w:val="left" w:pos="567"/>
        </w:tabs>
        <w:ind w:left="285"/>
      </w:pPr>
      <w:r>
        <w:t>Po ukončení montáže musí být na zařízení provedeny zkoušky dle ČSN doložené předepsanými protokoly.</w:t>
      </w:r>
    </w:p>
    <w:p w:rsidR="00D56DA1" w:rsidRDefault="00D56DA1" w:rsidP="00936872">
      <w:pPr>
        <w:tabs>
          <w:tab w:val="left" w:pos="284"/>
          <w:tab w:val="left" w:pos="567"/>
        </w:tabs>
        <w:ind w:left="285"/>
      </w:pPr>
    </w:p>
    <w:p w:rsidR="00936872" w:rsidRPr="00936872" w:rsidRDefault="00936872" w:rsidP="00936872">
      <w:pPr>
        <w:numPr>
          <w:ilvl w:val="0"/>
          <w:numId w:val="1"/>
        </w:numPr>
        <w:tabs>
          <w:tab w:val="left" w:pos="567"/>
        </w:tabs>
        <w:rPr>
          <w:b/>
          <w:bCs/>
        </w:rPr>
      </w:pPr>
      <w:r w:rsidRPr="00936872">
        <w:rPr>
          <w:b/>
          <w:u w:val="single"/>
        </w:rPr>
        <w:t xml:space="preserve">BOZP </w:t>
      </w:r>
    </w:p>
    <w:p w:rsidR="00936872" w:rsidRDefault="00936872" w:rsidP="00936872">
      <w:pPr>
        <w:tabs>
          <w:tab w:val="left" w:pos="567"/>
        </w:tabs>
        <w:rPr>
          <w:b/>
          <w:bCs/>
        </w:rPr>
      </w:pPr>
    </w:p>
    <w:p w:rsidR="00936872" w:rsidRDefault="00936872" w:rsidP="00936872">
      <w:pPr>
        <w:tabs>
          <w:tab w:val="left" w:pos="284"/>
          <w:tab w:val="left" w:pos="567"/>
        </w:tabs>
        <w:ind w:left="285"/>
      </w:pPr>
      <w:r>
        <w:tab/>
        <w:t xml:space="preserve">Zajištění bezpečnosti při montáži, zkouškách a provozu bude zajištěno dle požadavků prováděcích vyhlášek, technických standardů a norem. </w:t>
      </w:r>
    </w:p>
    <w:p w:rsidR="00CD6CEA" w:rsidRPr="00E2656F" w:rsidRDefault="00CD6CEA" w:rsidP="00CD6CEA">
      <w:pPr>
        <w:ind w:firstLine="567"/>
      </w:pPr>
      <w:r w:rsidRPr="00E2656F">
        <w:t>Při provádění stavebních prací musí být dodrženy zejména tyto bezpečnostní předpisy:</w:t>
      </w:r>
    </w:p>
    <w:p w:rsidR="00CD6CEA" w:rsidRPr="00E2656F" w:rsidRDefault="00CD6CEA" w:rsidP="00CD6CEA"/>
    <w:p w:rsidR="00CD6CEA" w:rsidRPr="00E2656F" w:rsidRDefault="00CD6CEA" w:rsidP="00CD6CEA">
      <w:pPr>
        <w:ind w:left="284" w:firstLine="283"/>
      </w:pPr>
      <w:r w:rsidRPr="00E2656F">
        <w:t>Obsluhu elektrických zařízení a práci na nich mohou provádět osoby v rozsahu kvalifikace získané v souladu s </w:t>
      </w:r>
      <w:proofErr w:type="spellStart"/>
      <w:r w:rsidRPr="00E2656F">
        <w:t>vyhl</w:t>
      </w:r>
      <w:proofErr w:type="spellEnd"/>
      <w:r w:rsidRPr="00E2656F">
        <w:t xml:space="preserve">. ČÚBP a </w:t>
      </w:r>
      <w:proofErr w:type="gramStart"/>
      <w:r w:rsidRPr="00E2656F">
        <w:t>ČBÚ  č.50</w:t>
      </w:r>
      <w:proofErr w:type="gramEnd"/>
      <w:r w:rsidRPr="00E2656F">
        <w:t>/1978 Sb. v platném znění.</w:t>
      </w:r>
    </w:p>
    <w:p w:rsidR="00CD6CEA" w:rsidRPr="00E2656F" w:rsidRDefault="00CD6CEA" w:rsidP="00CD6CEA">
      <w:pPr>
        <w:ind w:left="284" w:firstLine="283"/>
      </w:pPr>
      <w:r w:rsidRPr="00E2656F">
        <w:t xml:space="preserve">Při svařování a nahřívání živic v tavných nádobách musí být dodrženy požadavky </w:t>
      </w:r>
      <w:proofErr w:type="spellStart"/>
      <w:r w:rsidRPr="00E2656F">
        <w:t>vyhl</w:t>
      </w:r>
      <w:proofErr w:type="spellEnd"/>
      <w:r w:rsidRPr="00E2656F">
        <w:t>. MV č. 87/2000 Sb.</w:t>
      </w:r>
    </w:p>
    <w:p w:rsidR="00CD6CEA" w:rsidRPr="00E2656F" w:rsidRDefault="00CD6CEA" w:rsidP="00CD6CEA">
      <w:pPr>
        <w:ind w:left="284" w:firstLine="283"/>
      </w:pPr>
      <w:r w:rsidRPr="00E2656F">
        <w:lastRenderedPageBreak/>
        <w:t>Používání strojů, technických zařízení, přístrojů a nářadí musí být v souladu s </w:t>
      </w:r>
      <w:proofErr w:type="spellStart"/>
      <w:r w:rsidRPr="00E2656F">
        <w:t>Naříz</w:t>
      </w:r>
      <w:proofErr w:type="spellEnd"/>
      <w:r w:rsidRPr="00E2656F">
        <w:t xml:space="preserve">. vlády č.378 / 2001 Sb., kterým se stanoví bližší požadavky na </w:t>
      </w:r>
      <w:proofErr w:type="spellStart"/>
      <w:r w:rsidRPr="00E2656F">
        <w:t>bezp</w:t>
      </w:r>
      <w:proofErr w:type="spellEnd"/>
      <w:r w:rsidRPr="00E2656F">
        <w:t>. provoz a používání strojů, technických zařízení, přístrojů a nářadí.</w:t>
      </w:r>
    </w:p>
    <w:p w:rsidR="00CD6CEA" w:rsidRPr="00E2656F" w:rsidRDefault="00CD6CEA" w:rsidP="00CD6CEA">
      <w:pPr>
        <w:ind w:left="284" w:firstLine="283"/>
      </w:pPr>
      <w:r w:rsidRPr="00E2656F">
        <w:t xml:space="preserve">Poskytování ochranných oděvů a pracovních pomůcek, mycích, čistících a desinfekčních prostředků upravuje </w:t>
      </w:r>
      <w:proofErr w:type="spellStart"/>
      <w:r w:rsidRPr="00E2656F">
        <w:t>Naříz</w:t>
      </w:r>
      <w:proofErr w:type="spellEnd"/>
      <w:r w:rsidRPr="00E2656F">
        <w:t>. vlády č.495 / 2001 Sb.</w:t>
      </w:r>
    </w:p>
    <w:p w:rsidR="00CD6CEA" w:rsidRPr="00E2656F" w:rsidRDefault="00CD6CEA" w:rsidP="00CD6CEA">
      <w:pPr>
        <w:ind w:left="284" w:firstLine="283"/>
      </w:pPr>
      <w:r w:rsidRPr="00E2656F">
        <w:t xml:space="preserve">Zákazy, příkazy, výstrahy, informace a rizika musí být na pracovišti označeny bezpečnostními značkami podle </w:t>
      </w:r>
      <w:proofErr w:type="spellStart"/>
      <w:r w:rsidRPr="00E2656F">
        <w:t>Naříz</w:t>
      </w:r>
      <w:proofErr w:type="spellEnd"/>
      <w:r w:rsidRPr="00E2656F">
        <w:t>. vlády č.11/2002 Sb. a ČSN ISO 3864</w:t>
      </w:r>
    </w:p>
    <w:p w:rsidR="00CD6CEA" w:rsidRPr="00E2656F" w:rsidRDefault="00CD6CEA" w:rsidP="00CD6CEA">
      <w:pPr>
        <w:ind w:left="284" w:firstLine="283"/>
      </w:pPr>
      <w:r w:rsidRPr="00E2656F">
        <w:t xml:space="preserve">Při práci s přenosnou řetězovou pilou, křovinořezem a s ručním nářadím s ostřím (sekery, ruční pily, háky, sochory, klíny) platí </w:t>
      </w:r>
      <w:proofErr w:type="spellStart"/>
      <w:r w:rsidRPr="00E2656F">
        <w:t>Naříz</w:t>
      </w:r>
      <w:proofErr w:type="spellEnd"/>
      <w:r w:rsidRPr="00E2656F">
        <w:t>. vlády č.28/2002 Sb.</w:t>
      </w:r>
    </w:p>
    <w:p w:rsidR="00CD6CEA" w:rsidRPr="00E2656F" w:rsidRDefault="00CD6CEA" w:rsidP="00CD6CEA">
      <w:pPr>
        <w:ind w:left="284" w:firstLine="283"/>
      </w:pPr>
      <w:r w:rsidRPr="00E2656F">
        <w:t>Při provozování dopravy musí být s ohledem na zvláštnosti pracoviště a pracovní prostředí dodržováno Nařízení vlády č.168 / 2002 Sb.</w:t>
      </w:r>
    </w:p>
    <w:p w:rsidR="00CD6CEA" w:rsidRPr="00E2656F" w:rsidRDefault="00CD6CEA" w:rsidP="00CD6CEA">
      <w:pPr>
        <w:ind w:left="284" w:firstLine="283"/>
      </w:pPr>
      <w:r w:rsidRPr="00E2656F">
        <w:t xml:space="preserve">Požadavky na pracoviště řeší </w:t>
      </w:r>
      <w:proofErr w:type="spellStart"/>
      <w:r w:rsidRPr="00E2656F">
        <w:t>Naříz</w:t>
      </w:r>
      <w:proofErr w:type="spellEnd"/>
      <w:r w:rsidRPr="00E2656F">
        <w:t>. vlády č.101 / 2005 Sb. o podrobnějších požadavcích na pracoviště a pracovní prostředí.</w:t>
      </w:r>
    </w:p>
    <w:p w:rsidR="00CD6CEA" w:rsidRPr="00E2656F" w:rsidRDefault="00CD6CEA" w:rsidP="00CD6CEA">
      <w:pPr>
        <w:ind w:left="284" w:firstLine="283"/>
      </w:pPr>
      <w:r w:rsidRPr="00E2656F">
        <w:t xml:space="preserve">Při práci ve výškách je nutné respektovat </w:t>
      </w:r>
      <w:proofErr w:type="spellStart"/>
      <w:r w:rsidRPr="00E2656F">
        <w:t>Naříz</w:t>
      </w:r>
      <w:proofErr w:type="spellEnd"/>
      <w:r w:rsidRPr="00E2656F">
        <w:t>. vlády č.362 / 2005 Sb. o bližších požadavcích na BOZP při práci na pracovištích s nebezpečím pádu z výšky nebo do hloubky.</w:t>
      </w:r>
    </w:p>
    <w:p w:rsidR="00CD6CEA" w:rsidRPr="00E2656F" w:rsidRDefault="00CD6CEA" w:rsidP="00CD6CEA">
      <w:pPr>
        <w:tabs>
          <w:tab w:val="left" w:pos="709"/>
        </w:tabs>
        <w:ind w:left="284" w:firstLine="283"/>
      </w:pPr>
      <w:r w:rsidRPr="00E2656F">
        <w:t>Při práci s vibrujícími stroji a v prostředí se zvýšenými hladinami hluku platí Nařízení vlády č.148 / 2006 Sb., kde jsou mimo jiné uvedeny nejvyšší přípustné hodnoty hluku a vibrací na pracovištích. Při překročení denní osobní exposice hluku 85 dB(A) musí být zaměstnanci vybaveni osobními ochrannými pracovními prostředky proti hluku.</w:t>
      </w:r>
    </w:p>
    <w:p w:rsidR="00CD6CEA" w:rsidRPr="00E2656F" w:rsidRDefault="00CD6CEA" w:rsidP="00CD6CEA">
      <w:pPr>
        <w:ind w:left="284" w:firstLine="283"/>
      </w:pPr>
      <w:r w:rsidRPr="00E2656F">
        <w:t>Při určení rizik vyskytujících se při jednotlivých činnostech a určení opatření k jejich odstranění nebo snížení postupovat v souladu se zákonem č.262 / 2006 Sb. (Zákoník práce).</w:t>
      </w:r>
    </w:p>
    <w:p w:rsidR="00CD6CEA" w:rsidRPr="00E2656F" w:rsidRDefault="00CD6CEA" w:rsidP="00CD6CEA">
      <w:pPr>
        <w:ind w:left="284" w:firstLine="283"/>
      </w:pPr>
      <w:r w:rsidRPr="00E2656F">
        <w:t>Dodržovat požadavky uvedené v zákoně č.309 / 2006 Sb., kterým se upravují další požadavky BOZP při činnosti nebo poskytování služeb mimo pracovně právní vztahy.</w:t>
      </w:r>
    </w:p>
    <w:p w:rsidR="00CD6CEA" w:rsidRPr="00E2656F" w:rsidRDefault="00CD6CEA" w:rsidP="00CD6CEA">
      <w:pPr>
        <w:ind w:left="284" w:firstLine="283"/>
      </w:pPr>
      <w:r w:rsidRPr="00E2656F">
        <w:t xml:space="preserve">Při přípravě a provádění stavebních, montážních a udržovacích pracích a při pracích s nimi souvisejícími musí být dodrženo </w:t>
      </w:r>
      <w:proofErr w:type="spellStart"/>
      <w:r w:rsidRPr="00E2656F">
        <w:t>Naříz</w:t>
      </w:r>
      <w:proofErr w:type="spellEnd"/>
      <w:r w:rsidRPr="00E2656F">
        <w:t>. vlády č.591 / 2006 Sb. o bližších minimálních požadavcích na BOZP při práci na staveništích vč. příloh.</w:t>
      </w:r>
    </w:p>
    <w:p w:rsidR="00CD6CEA" w:rsidRPr="00E2656F" w:rsidRDefault="00CD6CEA" w:rsidP="00CD6CEA">
      <w:pPr>
        <w:ind w:left="284" w:firstLine="283"/>
      </w:pPr>
      <w:r w:rsidRPr="00E2656F">
        <w:t xml:space="preserve">Ochrana zdraví zaměstnanců musí odpovídat požadavkům </w:t>
      </w:r>
      <w:proofErr w:type="spellStart"/>
      <w:r w:rsidRPr="00E2656F">
        <w:t>Naříz</w:t>
      </w:r>
      <w:proofErr w:type="spellEnd"/>
      <w:r w:rsidRPr="00E2656F">
        <w:t>. vlády č.361 / 2007 Sb., kterým se stanoví podmínky ochrany zdraví zaměstnanců při práci.</w:t>
      </w:r>
    </w:p>
    <w:p w:rsidR="00CD6CEA" w:rsidRPr="00E2656F" w:rsidRDefault="00CD6CEA" w:rsidP="00CD6CEA">
      <w:pPr>
        <w:ind w:left="284" w:firstLine="283"/>
      </w:pPr>
      <w:r w:rsidRPr="00E2656F">
        <w:t>V případě vzniku úrazů na pracovišti postupovat v souladu s </w:t>
      </w:r>
      <w:proofErr w:type="spellStart"/>
      <w:r w:rsidRPr="00E2656F">
        <w:t>Naříz</w:t>
      </w:r>
      <w:proofErr w:type="spellEnd"/>
      <w:r w:rsidRPr="00E2656F">
        <w:t>. vlády č.201 / 2010 Sb.  o způsobu evidence úrazů, hlášení a zasílání záznamu o úrazu.</w:t>
      </w:r>
    </w:p>
    <w:p w:rsidR="00CD6CEA" w:rsidRDefault="00CD6CEA" w:rsidP="00936872">
      <w:pPr>
        <w:tabs>
          <w:tab w:val="left" w:pos="284"/>
          <w:tab w:val="left" w:pos="567"/>
        </w:tabs>
        <w:ind w:left="285"/>
      </w:pPr>
    </w:p>
    <w:p w:rsidR="009C51C4" w:rsidRDefault="009C51C4" w:rsidP="00936872">
      <w:pPr>
        <w:tabs>
          <w:tab w:val="left" w:pos="284"/>
          <w:tab w:val="left" w:pos="567"/>
        </w:tabs>
        <w:ind w:left="285"/>
      </w:pPr>
    </w:p>
    <w:p w:rsidR="00BD301E" w:rsidRDefault="00BD301E" w:rsidP="00297DD3">
      <w:pPr>
        <w:jc w:val="both"/>
      </w:pPr>
    </w:p>
    <w:p w:rsidR="00C976D5" w:rsidRDefault="00C976D5" w:rsidP="00297DD3">
      <w:pPr>
        <w:jc w:val="both"/>
      </w:pPr>
    </w:p>
    <w:p w:rsidR="00F919A6" w:rsidRPr="00AD0817" w:rsidRDefault="00AD0817" w:rsidP="00297DD3">
      <w:pPr>
        <w:jc w:val="both"/>
      </w:pPr>
      <w:proofErr w:type="gramStart"/>
      <w:r>
        <w:t>V  Brně</w:t>
      </w:r>
      <w:proofErr w:type="gramEnd"/>
      <w:r>
        <w:t xml:space="preserve"> : </w:t>
      </w:r>
      <w:r w:rsidR="00634CBE">
        <w:t>09</w:t>
      </w:r>
      <w:r w:rsidR="00D56DA1">
        <w:t>/</w:t>
      </w:r>
      <w:r>
        <w:t>20</w:t>
      </w:r>
      <w:r w:rsidR="00CC3F08">
        <w:t>17</w:t>
      </w:r>
      <w:r>
        <w:t xml:space="preserve">                                                                            </w:t>
      </w:r>
      <w:r>
        <w:tab/>
      </w:r>
      <w:r>
        <w:tab/>
        <w:t xml:space="preserve">Vypracoval: </w:t>
      </w:r>
      <w:r w:rsidR="00F20C55">
        <w:t>David Pluháček</w:t>
      </w:r>
    </w:p>
    <w:sectPr w:rsidR="00F919A6" w:rsidRPr="00AD0817">
      <w:headerReference w:type="default" r:id="rId7"/>
      <w:pgSz w:w="12240" w:h="15840" w:code="262"/>
      <w:pgMar w:top="1418" w:right="1418" w:bottom="1701" w:left="1418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15E" w:rsidRDefault="00F9015E">
      <w:r>
        <w:separator/>
      </w:r>
    </w:p>
  </w:endnote>
  <w:endnote w:type="continuationSeparator" w:id="0">
    <w:p w:rsidR="00F9015E" w:rsidRDefault="00F9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15E" w:rsidRDefault="00F9015E">
      <w:r>
        <w:separator/>
      </w:r>
    </w:p>
  </w:footnote>
  <w:footnote w:type="continuationSeparator" w:id="0">
    <w:p w:rsidR="00F9015E" w:rsidRDefault="00F90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F13" w:rsidRDefault="004C1A92">
    <w:pPr>
      <w:pStyle w:val="Zhlav"/>
      <w:tabs>
        <w:tab w:val="right" w:pos="9356"/>
      </w:tabs>
      <w:rPr>
        <w:u w:val="single"/>
      </w:rPr>
    </w:pPr>
    <w:r>
      <w:rPr>
        <w:u w:val="single"/>
      </w:rPr>
      <w:t>Technická zpráva</w:t>
    </w:r>
    <w:r>
      <w:rPr>
        <w:u w:val="single"/>
      </w:rPr>
      <w:tab/>
      <w:t xml:space="preserve">- </w:t>
    </w:r>
    <w:r>
      <w:rPr>
        <w:u w:val="single"/>
      </w:rPr>
      <w:fldChar w:fldCharType="begin"/>
    </w:r>
    <w:r>
      <w:rPr>
        <w:u w:val="single"/>
      </w:rPr>
      <w:instrText xml:space="preserve"> PAGE </w:instrText>
    </w:r>
    <w:r>
      <w:rPr>
        <w:u w:val="single"/>
      </w:rPr>
      <w:fldChar w:fldCharType="separate"/>
    </w:r>
    <w:r w:rsidR="009954EE">
      <w:rPr>
        <w:noProof/>
        <w:u w:val="single"/>
      </w:rPr>
      <w:t>2</w:t>
    </w:r>
    <w:r>
      <w:rPr>
        <w:u w:val="single"/>
      </w:rPr>
      <w:fldChar w:fldCharType="end"/>
    </w:r>
    <w:r>
      <w:rPr>
        <w:u w:val="single"/>
      </w:rPr>
      <w:t xml:space="preserve"> -</w:t>
    </w:r>
    <w:r>
      <w:rPr>
        <w:u w:val="single"/>
      </w:rPr>
      <w:tab/>
    </w:r>
    <w:r w:rsidR="003A5F13" w:rsidRPr="003A5F13">
      <w:rPr>
        <w:u w:val="single"/>
      </w:rPr>
      <w:t>D.</w:t>
    </w:r>
    <w:r w:rsidR="003A5F13">
      <w:rPr>
        <w:u w:val="single"/>
      </w:rPr>
      <w:t>2.</w:t>
    </w:r>
    <w:r w:rsidR="004B5D15">
      <w:rPr>
        <w:u w:val="single"/>
      </w:rPr>
      <w:t>11 Přeložky kanalizací</w:t>
    </w:r>
  </w:p>
  <w:p w:rsidR="004C1A92" w:rsidRDefault="004C1A92">
    <w:pPr>
      <w:pStyle w:val="Zhlav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6221"/>
    <w:multiLevelType w:val="multilevel"/>
    <w:tmpl w:val="DE424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7C007ED"/>
    <w:multiLevelType w:val="multilevel"/>
    <w:tmpl w:val="9342F6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2A6815"/>
    <w:multiLevelType w:val="multilevel"/>
    <w:tmpl w:val="D7B49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C856EB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2678D4"/>
    <w:multiLevelType w:val="hybridMultilevel"/>
    <w:tmpl w:val="66009414"/>
    <w:lvl w:ilvl="0" w:tplc="598EF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747B3"/>
    <w:multiLevelType w:val="multilevel"/>
    <w:tmpl w:val="BC00BA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6" w15:restartNumberingAfterBreak="0">
    <w:nsid w:val="2BFE6F37"/>
    <w:multiLevelType w:val="multilevel"/>
    <w:tmpl w:val="A33EF0EA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30C7E3B"/>
    <w:multiLevelType w:val="multilevel"/>
    <w:tmpl w:val="C6B492B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8" w15:restartNumberingAfterBreak="0">
    <w:nsid w:val="34DC22E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C5555AA"/>
    <w:multiLevelType w:val="multilevel"/>
    <w:tmpl w:val="26C231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40610286"/>
    <w:multiLevelType w:val="multilevel"/>
    <w:tmpl w:val="DE424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30A10D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D95247E"/>
    <w:multiLevelType w:val="hybridMultilevel"/>
    <w:tmpl w:val="6D06007A"/>
    <w:lvl w:ilvl="0" w:tplc="10FE3F94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3" w15:restartNumberingAfterBreak="0">
    <w:nsid w:val="59E84F68"/>
    <w:multiLevelType w:val="hybridMultilevel"/>
    <w:tmpl w:val="41D27FD0"/>
    <w:lvl w:ilvl="0" w:tplc="14F2D78E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  <w:b/>
        <w:u w:val="single"/>
      </w:rPr>
    </w:lvl>
    <w:lvl w:ilvl="1" w:tplc="142E6CB4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CAD25556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1496FD52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D612F10C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CC4370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8D8CCEAC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298C4DA8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739CB152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4" w15:restartNumberingAfterBreak="0">
    <w:nsid w:val="60D75715"/>
    <w:multiLevelType w:val="hybridMultilevel"/>
    <w:tmpl w:val="40542062"/>
    <w:lvl w:ilvl="0" w:tplc="BC0479E4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9A9AB2EA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5F941F2E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85E06DCE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10DAC002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C5A280BA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CAB4008C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6EFACE98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2DD0DCC4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5" w15:restartNumberingAfterBreak="0">
    <w:nsid w:val="6A8A749E"/>
    <w:multiLevelType w:val="hybridMultilevel"/>
    <w:tmpl w:val="0636B772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BEC7B30"/>
    <w:multiLevelType w:val="multilevel"/>
    <w:tmpl w:val="8C0E73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  <w:b/>
        <w:u w:val="single"/>
      </w:rPr>
    </w:lvl>
  </w:abstractNum>
  <w:abstractNum w:abstractNumId="17" w15:restartNumberingAfterBreak="0">
    <w:nsid w:val="6E5C052D"/>
    <w:multiLevelType w:val="hybridMultilevel"/>
    <w:tmpl w:val="D2361A34"/>
    <w:lvl w:ilvl="0" w:tplc="10A005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E61F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BE81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50C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78F6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E48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246D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D2D5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085E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BE117A"/>
    <w:multiLevelType w:val="hybridMultilevel"/>
    <w:tmpl w:val="B7C48318"/>
    <w:lvl w:ilvl="0" w:tplc="BE766A0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i w:val="0"/>
        <w:u w:val="none"/>
      </w:rPr>
    </w:lvl>
    <w:lvl w:ilvl="1" w:tplc="AF6AEE0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5002C608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036AA8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BCC0933E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324CF01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C8E3F8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F2659CA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E70426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7B22F83"/>
    <w:multiLevelType w:val="hybridMultilevel"/>
    <w:tmpl w:val="A8F408D8"/>
    <w:lvl w:ilvl="0" w:tplc="C580576E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0" w15:restartNumberingAfterBreak="0">
    <w:nsid w:val="78AD567D"/>
    <w:multiLevelType w:val="hybridMultilevel"/>
    <w:tmpl w:val="1402D0F0"/>
    <w:lvl w:ilvl="0" w:tplc="90AC9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5CC72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248D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8C6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E459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46AD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F82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B45C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12E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15B52"/>
    <w:multiLevelType w:val="multilevel"/>
    <w:tmpl w:val="423C89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  <w:b/>
        <w:u w:val="single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11"/>
  </w:num>
  <w:num w:numId="6">
    <w:abstractNumId w:val="7"/>
  </w:num>
  <w:num w:numId="7">
    <w:abstractNumId w:val="5"/>
  </w:num>
  <w:num w:numId="8">
    <w:abstractNumId w:val="18"/>
  </w:num>
  <w:num w:numId="9">
    <w:abstractNumId w:val="21"/>
  </w:num>
  <w:num w:numId="10">
    <w:abstractNumId w:val="16"/>
  </w:num>
  <w:num w:numId="11">
    <w:abstractNumId w:val="17"/>
  </w:num>
  <w:num w:numId="12">
    <w:abstractNumId w:val="13"/>
  </w:num>
  <w:num w:numId="13">
    <w:abstractNumId w:val="14"/>
  </w:num>
  <w:num w:numId="14">
    <w:abstractNumId w:val="20"/>
  </w:num>
  <w:num w:numId="15">
    <w:abstractNumId w:val="15"/>
  </w:num>
  <w:num w:numId="16">
    <w:abstractNumId w:val="10"/>
  </w:num>
  <w:num w:numId="17">
    <w:abstractNumId w:val="2"/>
  </w:num>
  <w:num w:numId="18">
    <w:abstractNumId w:val="4"/>
  </w:num>
  <w:num w:numId="19">
    <w:abstractNumId w:val="9"/>
  </w:num>
  <w:num w:numId="20">
    <w:abstractNumId w:val="19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825"/>
    <w:rsid w:val="000136FE"/>
    <w:rsid w:val="00015EAA"/>
    <w:rsid w:val="00034BB3"/>
    <w:rsid w:val="00060376"/>
    <w:rsid w:val="00066586"/>
    <w:rsid w:val="000874A5"/>
    <w:rsid w:val="000B549E"/>
    <w:rsid w:val="000D1207"/>
    <w:rsid w:val="000D2192"/>
    <w:rsid w:val="000F0DD4"/>
    <w:rsid w:val="00121376"/>
    <w:rsid w:val="001226FC"/>
    <w:rsid w:val="001611C0"/>
    <w:rsid w:val="00161E64"/>
    <w:rsid w:val="0016325F"/>
    <w:rsid w:val="00164D2E"/>
    <w:rsid w:val="00170357"/>
    <w:rsid w:val="00193307"/>
    <w:rsid w:val="00196FBD"/>
    <w:rsid w:val="001B38A9"/>
    <w:rsid w:val="001C1C81"/>
    <w:rsid w:val="001E07C7"/>
    <w:rsid w:val="001F5515"/>
    <w:rsid w:val="002017BC"/>
    <w:rsid w:val="002134E1"/>
    <w:rsid w:val="002135B8"/>
    <w:rsid w:val="0022462A"/>
    <w:rsid w:val="002841CF"/>
    <w:rsid w:val="002916A6"/>
    <w:rsid w:val="00297DD3"/>
    <w:rsid w:val="002C6E9F"/>
    <w:rsid w:val="00302E5E"/>
    <w:rsid w:val="003044F4"/>
    <w:rsid w:val="00321271"/>
    <w:rsid w:val="003575E1"/>
    <w:rsid w:val="00376274"/>
    <w:rsid w:val="00397DC9"/>
    <w:rsid w:val="003A20F7"/>
    <w:rsid w:val="003A5F13"/>
    <w:rsid w:val="003C54A0"/>
    <w:rsid w:val="003D034D"/>
    <w:rsid w:val="003F339D"/>
    <w:rsid w:val="003F63DD"/>
    <w:rsid w:val="00406B84"/>
    <w:rsid w:val="004109EA"/>
    <w:rsid w:val="00433A2B"/>
    <w:rsid w:val="00436350"/>
    <w:rsid w:val="00441202"/>
    <w:rsid w:val="004424F6"/>
    <w:rsid w:val="004573F8"/>
    <w:rsid w:val="004934A2"/>
    <w:rsid w:val="004B5D15"/>
    <w:rsid w:val="004B686A"/>
    <w:rsid w:val="004C1A92"/>
    <w:rsid w:val="004D26D3"/>
    <w:rsid w:val="004F66CC"/>
    <w:rsid w:val="00514286"/>
    <w:rsid w:val="005148AB"/>
    <w:rsid w:val="00546415"/>
    <w:rsid w:val="0055440C"/>
    <w:rsid w:val="00583FBE"/>
    <w:rsid w:val="00584F5A"/>
    <w:rsid w:val="00587947"/>
    <w:rsid w:val="005A3104"/>
    <w:rsid w:val="005D3DC5"/>
    <w:rsid w:val="005E18D7"/>
    <w:rsid w:val="00610553"/>
    <w:rsid w:val="00630A07"/>
    <w:rsid w:val="00634CBE"/>
    <w:rsid w:val="00671136"/>
    <w:rsid w:val="006778ED"/>
    <w:rsid w:val="00683D76"/>
    <w:rsid w:val="006A6B85"/>
    <w:rsid w:val="006B1B2C"/>
    <w:rsid w:val="006E3036"/>
    <w:rsid w:val="006F7761"/>
    <w:rsid w:val="006F7E9B"/>
    <w:rsid w:val="007327E0"/>
    <w:rsid w:val="00755825"/>
    <w:rsid w:val="00756116"/>
    <w:rsid w:val="00760CD5"/>
    <w:rsid w:val="0077078C"/>
    <w:rsid w:val="00774084"/>
    <w:rsid w:val="00777C12"/>
    <w:rsid w:val="00780ABC"/>
    <w:rsid w:val="007E6A5A"/>
    <w:rsid w:val="007F08C7"/>
    <w:rsid w:val="00801D06"/>
    <w:rsid w:val="00842C91"/>
    <w:rsid w:val="00853556"/>
    <w:rsid w:val="00864109"/>
    <w:rsid w:val="0088585B"/>
    <w:rsid w:val="00894BD6"/>
    <w:rsid w:val="008A075B"/>
    <w:rsid w:val="008A2C3A"/>
    <w:rsid w:val="008A6110"/>
    <w:rsid w:val="008D1464"/>
    <w:rsid w:val="008D6243"/>
    <w:rsid w:val="008E2A1D"/>
    <w:rsid w:val="00902AFE"/>
    <w:rsid w:val="00915CEB"/>
    <w:rsid w:val="00931C98"/>
    <w:rsid w:val="00936872"/>
    <w:rsid w:val="00941C98"/>
    <w:rsid w:val="0095276E"/>
    <w:rsid w:val="009954EE"/>
    <w:rsid w:val="009A0B92"/>
    <w:rsid w:val="009A4F30"/>
    <w:rsid w:val="009A5B31"/>
    <w:rsid w:val="009A5D04"/>
    <w:rsid w:val="009C4E00"/>
    <w:rsid w:val="009C51C4"/>
    <w:rsid w:val="00A24964"/>
    <w:rsid w:val="00A26349"/>
    <w:rsid w:val="00A379F0"/>
    <w:rsid w:val="00A436F4"/>
    <w:rsid w:val="00A44E57"/>
    <w:rsid w:val="00A554F6"/>
    <w:rsid w:val="00A70AE9"/>
    <w:rsid w:val="00A814D3"/>
    <w:rsid w:val="00A85FCB"/>
    <w:rsid w:val="00A908AC"/>
    <w:rsid w:val="00A97093"/>
    <w:rsid w:val="00AB06E5"/>
    <w:rsid w:val="00AC41A5"/>
    <w:rsid w:val="00AD0817"/>
    <w:rsid w:val="00AD1173"/>
    <w:rsid w:val="00AF1F03"/>
    <w:rsid w:val="00B009B1"/>
    <w:rsid w:val="00B34C83"/>
    <w:rsid w:val="00B408BE"/>
    <w:rsid w:val="00B51160"/>
    <w:rsid w:val="00B57D74"/>
    <w:rsid w:val="00B652AD"/>
    <w:rsid w:val="00BB072E"/>
    <w:rsid w:val="00BC3210"/>
    <w:rsid w:val="00BD301E"/>
    <w:rsid w:val="00C04462"/>
    <w:rsid w:val="00C050DB"/>
    <w:rsid w:val="00C126EC"/>
    <w:rsid w:val="00C2068B"/>
    <w:rsid w:val="00C3623B"/>
    <w:rsid w:val="00C74BCD"/>
    <w:rsid w:val="00C83088"/>
    <w:rsid w:val="00C87907"/>
    <w:rsid w:val="00C93064"/>
    <w:rsid w:val="00C976D5"/>
    <w:rsid w:val="00CC3F08"/>
    <w:rsid w:val="00CD6CEA"/>
    <w:rsid w:val="00CE738F"/>
    <w:rsid w:val="00D00F33"/>
    <w:rsid w:val="00D033DA"/>
    <w:rsid w:val="00D41E14"/>
    <w:rsid w:val="00D44F08"/>
    <w:rsid w:val="00D5343F"/>
    <w:rsid w:val="00D55DB2"/>
    <w:rsid w:val="00D56DA1"/>
    <w:rsid w:val="00D908E7"/>
    <w:rsid w:val="00D93360"/>
    <w:rsid w:val="00D95A27"/>
    <w:rsid w:val="00DC0837"/>
    <w:rsid w:val="00DC5783"/>
    <w:rsid w:val="00DC7758"/>
    <w:rsid w:val="00DE041E"/>
    <w:rsid w:val="00E0144C"/>
    <w:rsid w:val="00E12364"/>
    <w:rsid w:val="00E133E1"/>
    <w:rsid w:val="00E23E5D"/>
    <w:rsid w:val="00E31E81"/>
    <w:rsid w:val="00E35FFF"/>
    <w:rsid w:val="00E73903"/>
    <w:rsid w:val="00E842E0"/>
    <w:rsid w:val="00EA48B5"/>
    <w:rsid w:val="00EB4283"/>
    <w:rsid w:val="00EB786F"/>
    <w:rsid w:val="00EC5DDE"/>
    <w:rsid w:val="00ED61D3"/>
    <w:rsid w:val="00EE0BBC"/>
    <w:rsid w:val="00F06386"/>
    <w:rsid w:val="00F07419"/>
    <w:rsid w:val="00F20C55"/>
    <w:rsid w:val="00F56FC2"/>
    <w:rsid w:val="00F609C7"/>
    <w:rsid w:val="00F639F3"/>
    <w:rsid w:val="00F75DE5"/>
    <w:rsid w:val="00F87E85"/>
    <w:rsid w:val="00F9015E"/>
    <w:rsid w:val="00F91604"/>
    <w:rsid w:val="00F919A6"/>
    <w:rsid w:val="00F966B0"/>
    <w:rsid w:val="00FA3FA6"/>
    <w:rsid w:val="00F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78DB1"/>
  <w15:chartTrackingRefBased/>
  <w15:docId w15:val="{28D35592-3E6C-4D6E-8280-AB6427CA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jc w:val="both"/>
    </w:pPr>
    <w:rPr>
      <w:sz w:val="22"/>
    </w:rPr>
  </w:style>
  <w:style w:type="paragraph" w:styleId="Zkladntextodsazen2">
    <w:name w:val="Body Text Indent 2"/>
    <w:basedOn w:val="Normln"/>
    <w:pPr>
      <w:tabs>
        <w:tab w:val="left" w:pos="567"/>
      </w:tabs>
      <w:ind w:left="360"/>
    </w:pPr>
  </w:style>
  <w:style w:type="paragraph" w:styleId="Zkladntextodsazen3">
    <w:name w:val="Body Text Indent 3"/>
    <w:basedOn w:val="Normln"/>
    <w:pPr>
      <w:tabs>
        <w:tab w:val="left" w:pos="284"/>
        <w:tab w:val="left" w:pos="567"/>
      </w:tabs>
      <w:ind w:left="690"/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rPr>
      <w:rFonts w:ascii="Courier New" w:hAnsi="Courier New"/>
    </w:rPr>
  </w:style>
  <w:style w:type="paragraph" w:styleId="Textbubliny">
    <w:name w:val="Balloon Text"/>
    <w:basedOn w:val="Normln"/>
    <w:link w:val="TextbublinyChar"/>
    <w:rsid w:val="00A379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379F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841C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1363</Words>
  <Characters>8116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Ing. Jaroslav Prokes</Company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Ekis</dc:creator>
  <cp:keywords/>
  <cp:lastModifiedBy>Tomáš</cp:lastModifiedBy>
  <cp:revision>3</cp:revision>
  <cp:lastPrinted>2016-03-10T07:18:00Z</cp:lastPrinted>
  <dcterms:created xsi:type="dcterms:W3CDTF">2017-11-01T05:54:00Z</dcterms:created>
  <dcterms:modified xsi:type="dcterms:W3CDTF">2018-06-26T08:03:00Z</dcterms:modified>
</cp:coreProperties>
</file>