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6B1740CE"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00EC3CCB">
        <w:rPr>
          <w:caps/>
        </w:rPr>
        <w:tab/>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2A9F750C" w14:textId="3C429C34" w:rsidR="008C64CA" w:rsidRPr="00160E58" w:rsidRDefault="008C64CA" w:rsidP="008C64CA">
      <w:pPr>
        <w:spacing w:after="0" w:line="240"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INTEGROVANÝ REGIONÁLNÍ OPERAČNÍ PROGRAM</w:t>
      </w:r>
    </w:p>
    <w:p w14:paraId="425A20D4" w14:textId="77777777" w:rsidR="008C64CA" w:rsidRPr="00160E58" w:rsidRDefault="008C64CA" w:rsidP="008C64CA">
      <w:pPr>
        <w:spacing w:before="120" w:after="120" w:line="240" w:lineRule="auto"/>
        <w:jc w:val="center"/>
        <w:rPr>
          <w:rFonts w:ascii="Arial" w:hAnsi="Arial" w:cs="Arial"/>
          <w:b/>
          <w:bCs/>
          <w:color w:val="0B5294" w:themeColor="accent1" w:themeShade="BF"/>
          <w:sz w:val="48"/>
          <w:szCs w:val="48"/>
        </w:rPr>
      </w:pPr>
      <w:r w:rsidRPr="00160E58">
        <w:rPr>
          <w:rFonts w:ascii="Arial" w:hAnsi="Arial" w:cs="Arial"/>
          <w:b/>
          <w:bCs/>
          <w:color w:val="0B5294" w:themeColor="accent1" w:themeShade="BF"/>
          <w:sz w:val="48"/>
          <w:szCs w:val="48"/>
        </w:rPr>
        <w:t>2021</w:t>
      </w:r>
      <w:r w:rsidRPr="00160E58">
        <w:rPr>
          <w:rFonts w:ascii="Arial" w:eastAsia="SimSun" w:hAnsi="Arial" w:cs="Arial"/>
          <w:b/>
          <w:bCs/>
          <w:color w:val="2F5496"/>
          <w:sz w:val="48"/>
          <w:szCs w:val="48"/>
          <w:lang w:eastAsia="zh-CN"/>
        </w:rPr>
        <w:t>–</w:t>
      </w:r>
      <w:r w:rsidRPr="00160E58">
        <w:rPr>
          <w:rFonts w:ascii="Arial" w:hAnsi="Arial" w:cs="Arial"/>
          <w:b/>
          <w:bCs/>
          <w:color w:val="0B5294" w:themeColor="accent1" w:themeShade="BF"/>
          <w:sz w:val="48"/>
          <w:szCs w:val="48"/>
        </w:rPr>
        <w:t>2027</w:t>
      </w:r>
    </w:p>
    <w:p w14:paraId="16AA4C32" w14:textId="77777777" w:rsidR="008C64CA" w:rsidRPr="00A13B54" w:rsidRDefault="008C64CA" w:rsidP="008C64CA">
      <w:pPr>
        <w:pStyle w:val="Zkladnodstavec"/>
        <w:jc w:val="center"/>
        <w:rPr>
          <w:rFonts w:asciiTheme="majorHAnsi" w:hAnsiTheme="majorHAnsi" w:cs="MyriadPro-Black"/>
          <w:caps/>
          <w:color w:val="0B5294" w:themeColor="accent1" w:themeShade="BF"/>
          <w:sz w:val="40"/>
          <w:szCs w:val="60"/>
        </w:rPr>
      </w:pPr>
    </w:p>
    <w:p w14:paraId="1E39D236" w14:textId="77777777" w:rsidR="008C64CA" w:rsidRPr="00160E58" w:rsidRDefault="008C64CA" w:rsidP="008C64CA">
      <w:pPr>
        <w:pStyle w:val="Zkladnodstavec"/>
        <w:spacing w:line="312"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SPECIFICKÁ PRAVIDLA PRO ŽADATELE A PŘÍJEMCE</w:t>
      </w:r>
    </w:p>
    <w:p w14:paraId="262C51F9" w14:textId="2BFF53B8" w:rsidR="008C64CA" w:rsidRDefault="008C64CA" w:rsidP="00651B34">
      <w:pPr>
        <w:pStyle w:val="Zkladnodstavec"/>
        <w:spacing w:before="120" w:after="120"/>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PŘÍLOHA </w:t>
      </w:r>
      <w:r w:rsidR="00922EF6">
        <w:rPr>
          <w:rFonts w:ascii="Arial" w:hAnsi="Arial" w:cs="Arial"/>
          <w:b/>
          <w:bCs/>
          <w:color w:val="0B5294" w:themeColor="accent1" w:themeShade="BF"/>
          <w:sz w:val="44"/>
          <w:szCs w:val="44"/>
        </w:rPr>
        <w:t>ŽÁDOSTI č. 25</w:t>
      </w:r>
    </w:p>
    <w:p w14:paraId="0D517C2D" w14:textId="1F05C385" w:rsidR="008C64CA" w:rsidRDefault="00BE4B19" w:rsidP="005D2CEB">
      <w:pPr>
        <w:pStyle w:val="Zkladnodstavec"/>
        <w:jc w:val="center"/>
        <w:rPr>
          <w:rFonts w:ascii="Arial" w:hAnsi="Arial" w:cs="Arial"/>
          <w:b/>
          <w:bCs/>
          <w:caps/>
          <w:color w:val="0B5294" w:themeColor="accent1" w:themeShade="BF"/>
          <w:sz w:val="40"/>
          <w:szCs w:val="40"/>
        </w:rPr>
      </w:pPr>
      <w:r w:rsidRPr="002E1A51">
        <w:rPr>
          <w:rFonts w:ascii="Arial" w:hAnsi="Arial" w:cs="Arial"/>
          <w:b/>
          <w:bCs/>
          <w:caps/>
          <w:color w:val="0B5294" w:themeColor="accent1" w:themeShade="BF"/>
          <w:sz w:val="40"/>
          <w:szCs w:val="40"/>
        </w:rPr>
        <w:t>Doplňující pokyny ke zpracování Dokumentace k prověřování</w:t>
      </w:r>
      <w:r w:rsidRPr="002E1A51">
        <w:rPr>
          <w:rFonts w:ascii="Arial" w:hAnsi="Arial" w:cs="Arial"/>
          <w:b/>
          <w:bCs/>
          <w:caps/>
          <w:color w:val="0B5294" w:themeColor="accent1" w:themeShade="BF"/>
          <w:sz w:val="40"/>
          <w:szCs w:val="40"/>
        </w:rPr>
        <w:br/>
        <w:t>z hlediska klimatického dopadu</w:t>
      </w:r>
    </w:p>
    <w:p w14:paraId="68C5E3CC" w14:textId="77777777" w:rsidR="00922EF6" w:rsidRDefault="00922EF6" w:rsidP="005D2CEB">
      <w:pPr>
        <w:pStyle w:val="Zkladnodstavec"/>
        <w:jc w:val="center"/>
        <w:rPr>
          <w:rFonts w:ascii="Arial" w:hAnsi="Arial" w:cs="Arial"/>
          <w:b/>
          <w:bCs/>
          <w:caps/>
          <w:color w:val="0B5294" w:themeColor="accent1" w:themeShade="BF"/>
          <w:sz w:val="40"/>
          <w:szCs w:val="40"/>
        </w:rPr>
      </w:pPr>
    </w:p>
    <w:p w14:paraId="067EB0FC" w14:textId="4E2BEE1F" w:rsidR="00402DF8" w:rsidRPr="007F5219" w:rsidRDefault="00402DF8" w:rsidP="00402DF8">
      <w:pPr>
        <w:pStyle w:val="Zkladnodstavec"/>
        <w:jc w:val="center"/>
        <w:rPr>
          <w:rFonts w:ascii="Arial" w:eastAsiaTheme="minorEastAsia" w:hAnsi="Arial" w:cs="Arial"/>
          <w:caps/>
          <w:sz w:val="32"/>
          <w:szCs w:val="32"/>
          <w:lang w:eastAsia="en-US"/>
        </w:rPr>
      </w:pPr>
      <w:bookmarkStart w:id="5" w:name="_Hlk121465059"/>
      <w:r w:rsidRPr="007F5219">
        <w:rPr>
          <w:rFonts w:ascii="Arial" w:eastAsiaTheme="minorEastAsia" w:hAnsi="Arial" w:cs="Arial"/>
          <w:caps/>
          <w:sz w:val="32"/>
          <w:szCs w:val="32"/>
          <w:lang w:eastAsia="en-US"/>
        </w:rPr>
        <w:t>56. výzva IROP – PODPORA AKUTNÍ A SPECIALIZOVANÉ LŮŽKOVÉ PSYCHIATRICKÉ PÉČE – SC 4.3 (MRR)</w:t>
      </w:r>
    </w:p>
    <w:bookmarkEnd w:id="5"/>
    <w:p w14:paraId="6FDA268C" w14:textId="77777777" w:rsidR="00922EF6" w:rsidRDefault="00922EF6" w:rsidP="009B0F5D">
      <w:pPr>
        <w:jc w:val="center"/>
        <w:rPr>
          <w:rFonts w:ascii="Arial" w:eastAsia="Calibri" w:hAnsi="Arial" w:cs="Arial"/>
          <w:caps/>
          <w:color w:val="7F7F7F"/>
        </w:rPr>
      </w:pPr>
    </w:p>
    <w:p w14:paraId="76256BEE" w14:textId="7D3B87EA" w:rsidR="009B0F5D" w:rsidRDefault="009B0F5D" w:rsidP="009B0F5D">
      <w:pPr>
        <w:jc w:val="center"/>
        <w:rPr>
          <w:rFonts w:ascii="Arial" w:eastAsia="Calibri" w:hAnsi="Arial" w:cs="Arial"/>
          <w:caps/>
          <w:color w:val="7F7F7F"/>
          <w:sz w:val="32"/>
          <w:szCs w:val="32"/>
        </w:rPr>
      </w:pPr>
      <w:r w:rsidRPr="001E1A0D">
        <w:rPr>
          <w:rFonts w:ascii="Arial" w:eastAsia="Calibri" w:hAnsi="Arial" w:cs="Arial"/>
          <w:caps/>
          <w:color w:val="7F7F7F"/>
        </w:rPr>
        <w:t>VERZE</w:t>
      </w:r>
      <w:r w:rsidRPr="001E1A0D">
        <w:rPr>
          <w:rFonts w:ascii="Arial" w:eastAsia="Calibri" w:hAnsi="Arial" w:cs="Arial"/>
          <w:caps/>
          <w:color w:val="7F7F7F"/>
          <w:sz w:val="32"/>
          <w:szCs w:val="32"/>
        </w:rPr>
        <w:t xml:space="preserve"> </w:t>
      </w:r>
      <w:r w:rsidR="00810E4E">
        <w:rPr>
          <w:rFonts w:ascii="Arial" w:eastAsia="Calibri" w:hAnsi="Arial" w:cs="Arial"/>
          <w:caps/>
          <w:color w:val="7F7F7F"/>
          <w:sz w:val="32"/>
          <w:szCs w:val="32"/>
        </w:rPr>
        <w:t>3</w:t>
      </w:r>
    </w:p>
    <w:p w14:paraId="078110EE" w14:textId="77777777" w:rsidR="005E7900" w:rsidRDefault="005E7900" w:rsidP="005E7900">
      <w:pPr>
        <w:pStyle w:val="Nadpis1"/>
        <w:ind w:left="567" w:hanging="567"/>
      </w:pPr>
      <w:r w:rsidRPr="00854BE7">
        <w:rPr>
          <w:rStyle w:val="Nadpis1Char"/>
        </w:rPr>
        <w:lastRenderedPageBreak/>
        <w:t>Úvod</w:t>
      </w:r>
    </w:p>
    <w:p w14:paraId="7D731C53" w14:textId="77777777" w:rsidR="005E7900" w:rsidRDefault="005E7900" w:rsidP="005E7900"/>
    <w:p w14:paraId="4412A040" w14:textId="77777777" w:rsidR="005E7900" w:rsidRDefault="005E7900" w:rsidP="005E7900">
      <w:r>
        <w:t>Tímto posudkem žadatel deklaruje, že:</w:t>
      </w:r>
    </w:p>
    <w:p w14:paraId="199A9A15" w14:textId="77777777" w:rsidR="005E7900" w:rsidRDefault="005E7900" w:rsidP="005E7900">
      <w:pPr>
        <w:pStyle w:val="Odstavecseseznamem"/>
        <w:numPr>
          <w:ilvl w:val="0"/>
          <w:numId w:val="56"/>
        </w:numPr>
        <w:spacing w:after="160" w:line="259" w:lineRule="auto"/>
        <w:jc w:val="both"/>
      </w:pPr>
      <w:r>
        <w:t xml:space="preserve">hospodářské činnosti vztahující se k předmětným opatřením v rámci projektu </w:t>
      </w:r>
      <w:r w:rsidRPr="00FF1E0D">
        <w:rPr>
          <w:b/>
          <w:bCs/>
        </w:rPr>
        <w:t xml:space="preserve">významně nepoškozují environmetální cíle </w:t>
      </w:r>
      <w:r>
        <w:t>ve smyslu čl. 17 nařízení Evropského parlamentu a Rady (EU) č.</w:t>
      </w:r>
      <w:r w:rsidRPr="00FF1E0D">
        <w:rPr>
          <w:b/>
          <w:bCs/>
        </w:rPr>
        <w:t xml:space="preserve"> </w:t>
      </w:r>
      <w:r>
        <w:t>2020/852 ze dne 18. června 2020 o zřízení rámce pro usnadnění udržitelných investic a o změně</w:t>
      </w:r>
      <w:r w:rsidRPr="00FF1E0D">
        <w:rPr>
          <w:b/>
          <w:bCs/>
        </w:rPr>
        <w:t xml:space="preserve"> </w:t>
      </w:r>
      <w:r>
        <w:t>nařízení (EU) 2019/2088 (dále jen „Nařízení o Taxonomii“) a Nařízení Komise v přenesené pravomoci (EU) 2021/2139 ze dne 4.června 2021 kterým se doplňuje nařízení Evropského</w:t>
      </w:r>
      <w:r w:rsidRPr="00FF1E0D">
        <w:rPr>
          <w:b/>
          <w:bCs/>
        </w:rPr>
        <w:t xml:space="preserve"> </w:t>
      </w:r>
      <w:r>
        <w:t>parlamentu a Rady (EU) 2020/852, pokud jde o stanovení technických screeningových kritérií pro</w:t>
      </w:r>
      <w:r w:rsidRPr="00FF1E0D">
        <w:rPr>
          <w:b/>
          <w:bCs/>
        </w:rPr>
        <w:t xml:space="preserve"> </w:t>
      </w:r>
      <w:r>
        <w:t>určení toho, za jakých podmínek se hospodářská činnost kvalifikuje jako významně přispívající ke</w:t>
      </w:r>
      <w:r w:rsidRPr="00FF1E0D">
        <w:rPr>
          <w:b/>
          <w:bCs/>
        </w:rPr>
        <w:t xml:space="preserve"> </w:t>
      </w:r>
      <w:r>
        <w:t>zmírňování změny klimatu nebo k přizpůsobování se změně klimatu, a toho, zda tato hospodářská</w:t>
      </w:r>
      <w:r w:rsidRPr="00FF1E0D">
        <w:rPr>
          <w:b/>
          <w:bCs/>
        </w:rPr>
        <w:t xml:space="preserve"> </w:t>
      </w:r>
      <w:r>
        <w:t>činnost významně nepoškozuje některý z dalších environmentálních cílů (dále jen „Screeningová</w:t>
      </w:r>
      <w:r w:rsidRPr="00FF1E0D">
        <w:rPr>
          <w:b/>
          <w:bCs/>
        </w:rPr>
        <w:t xml:space="preserve"> </w:t>
      </w:r>
      <w:r>
        <w:t>kritéria“).</w:t>
      </w:r>
    </w:p>
    <w:p w14:paraId="5B15E182" w14:textId="77777777" w:rsidR="005E7900" w:rsidRPr="00FF1E0D" w:rsidRDefault="005E7900" w:rsidP="005E7900">
      <w:pPr>
        <w:pStyle w:val="Odstavecseseznamem"/>
        <w:numPr>
          <w:ilvl w:val="0"/>
          <w:numId w:val="56"/>
        </w:numPr>
        <w:spacing w:after="160" w:line="259" w:lineRule="auto"/>
        <w:jc w:val="both"/>
        <w:rPr>
          <w:b/>
          <w:bCs/>
        </w:rPr>
      </w:pPr>
      <w:r>
        <w:t xml:space="preserve">provedl </w:t>
      </w:r>
      <w:r w:rsidRPr="00FF1E0D">
        <w:rPr>
          <w:b/>
          <w:bCs/>
        </w:rPr>
        <w:t xml:space="preserve">prověřování infrastruktury z hlediska klimatického dopadu </w:t>
      </w:r>
      <w:r>
        <w:t>v souladu se Sdělením</w:t>
      </w:r>
      <w:r w:rsidRPr="00FF1E0D">
        <w:rPr>
          <w:b/>
          <w:bCs/>
        </w:rPr>
        <w:t xml:space="preserve"> </w:t>
      </w:r>
      <w:r>
        <w:t>Komise – Technické pokyny k prověřování infrastruktury z hlediska klimatického dopadu v období</w:t>
      </w:r>
      <w:r w:rsidRPr="00FF1E0D">
        <w:rPr>
          <w:b/>
          <w:bCs/>
        </w:rPr>
        <w:t xml:space="preserve"> </w:t>
      </w:r>
      <w:r>
        <w:t>2021–2027 (2021/C 373/01) (dále jen „Pokyny“).</w:t>
      </w:r>
    </w:p>
    <w:p w14:paraId="717915CF" w14:textId="77777777" w:rsidR="005E7900" w:rsidRDefault="005E7900" w:rsidP="005E7900"/>
    <w:p w14:paraId="4D46A161" w14:textId="77777777" w:rsidR="005E7900" w:rsidRDefault="005E7900" w:rsidP="005E7900">
      <w:r>
        <w:t>Příjemce podpory je specificky povinen prokázat dodržení principu významně nepoškozovat (DNSH) v těchto základních oblastech:</w:t>
      </w:r>
    </w:p>
    <w:p w14:paraId="29A9F7C2" w14:textId="77777777" w:rsidR="005E7900" w:rsidRDefault="005E7900" w:rsidP="005E7900">
      <w:pPr>
        <w:ind w:left="708"/>
      </w:pPr>
      <w:r>
        <w:t>1.</w:t>
      </w:r>
      <w:r>
        <w:tab/>
        <w:t xml:space="preserve"> Zmírňování změny klimatu</w:t>
      </w:r>
    </w:p>
    <w:p w14:paraId="78928811" w14:textId="77777777" w:rsidR="005E7900" w:rsidRDefault="005E7900" w:rsidP="005E7900">
      <w:pPr>
        <w:ind w:left="708"/>
      </w:pPr>
      <w:r>
        <w:t>2.</w:t>
      </w:r>
      <w:r>
        <w:tab/>
        <w:t xml:space="preserve"> Přizpůsobování se změně klimatu</w:t>
      </w:r>
    </w:p>
    <w:p w14:paraId="287AF607" w14:textId="77777777" w:rsidR="005E7900" w:rsidRDefault="005E7900" w:rsidP="005E7900">
      <w:pPr>
        <w:ind w:left="708"/>
      </w:pPr>
      <w:r>
        <w:t>3.</w:t>
      </w:r>
      <w:r>
        <w:tab/>
        <w:t xml:space="preserve"> Hospodaření s vodou</w:t>
      </w:r>
    </w:p>
    <w:p w14:paraId="103D3C25" w14:textId="77777777" w:rsidR="005E7900" w:rsidRDefault="005E7900" w:rsidP="005E7900">
      <w:pPr>
        <w:ind w:left="708"/>
      </w:pPr>
      <w:r>
        <w:t>4.</w:t>
      </w:r>
      <w:r>
        <w:tab/>
        <w:t xml:space="preserve"> Přechod na oběhové hospodářství</w:t>
      </w:r>
    </w:p>
    <w:p w14:paraId="18390381" w14:textId="77777777" w:rsidR="005E7900" w:rsidRDefault="005E7900" w:rsidP="005E7900">
      <w:pPr>
        <w:ind w:left="708"/>
      </w:pPr>
      <w:r>
        <w:t xml:space="preserve">5. </w:t>
      </w:r>
      <w:r>
        <w:tab/>
        <w:t>Prevence a omezení znečištění</w:t>
      </w:r>
    </w:p>
    <w:p w14:paraId="5E4817D8" w14:textId="77777777" w:rsidR="005E7900" w:rsidRDefault="005E7900" w:rsidP="005E7900">
      <w:pPr>
        <w:ind w:left="708"/>
      </w:pPr>
      <w:r>
        <w:t xml:space="preserve">6. </w:t>
      </w:r>
      <w:r>
        <w:tab/>
        <w:t>Ochrana a obnova biologické rozmanitosti a ekosystémů</w:t>
      </w:r>
    </w:p>
    <w:p w14:paraId="0EC7AB37" w14:textId="77777777" w:rsidR="005E7900" w:rsidRDefault="005E7900" w:rsidP="005E7900"/>
    <w:p w14:paraId="1D00061E" w14:textId="77777777" w:rsidR="005E7900" w:rsidRDefault="005E7900" w:rsidP="005E7900"/>
    <w:p w14:paraId="24F77C06" w14:textId="77777777" w:rsidR="005E7900" w:rsidRDefault="005E7900" w:rsidP="005E7900"/>
    <w:p w14:paraId="455DC4D3" w14:textId="77777777" w:rsidR="005E7900" w:rsidRDefault="005E7900" w:rsidP="005E7900"/>
    <w:p w14:paraId="3954B9E7" w14:textId="77777777" w:rsidR="005E7900" w:rsidRDefault="005E7900" w:rsidP="005E7900"/>
    <w:p w14:paraId="026CB84D" w14:textId="77777777" w:rsidR="005E7900" w:rsidRDefault="005E7900" w:rsidP="005E7900"/>
    <w:p w14:paraId="1FE70C3C" w14:textId="77777777" w:rsidR="005E7900" w:rsidRDefault="005E7900" w:rsidP="005E7900"/>
    <w:p w14:paraId="7DCD1E5B" w14:textId="77777777" w:rsidR="005E7900" w:rsidRDefault="005E7900" w:rsidP="005E7900"/>
    <w:p w14:paraId="4112819E" w14:textId="77777777" w:rsidR="005E7900" w:rsidRDefault="005E7900" w:rsidP="005E7900"/>
    <w:p w14:paraId="7E036E46" w14:textId="77777777" w:rsidR="005E7900" w:rsidRPr="00706885" w:rsidRDefault="005E7900" w:rsidP="005E7900">
      <w:r w:rsidRPr="00706885">
        <w:t xml:space="preserve">Zatřídění aktivity v rámci Nařízení o Taxonomii: </w:t>
      </w:r>
      <w:r w:rsidRPr="00706885">
        <w:rPr>
          <w:b/>
          <w:bCs/>
        </w:rPr>
        <w:t>RENOVACE STÁVAJÍCÍCH BUDOV</w:t>
      </w:r>
    </w:p>
    <w:p w14:paraId="64AA7880" w14:textId="77777777" w:rsidR="005E7900" w:rsidRDefault="005E7900" w:rsidP="005E7900">
      <w:pPr>
        <w:pStyle w:val="Nadpis2"/>
        <w:spacing w:before="40" w:after="240" w:line="259" w:lineRule="auto"/>
        <w:ind w:left="425" w:hanging="425"/>
        <w:jc w:val="both"/>
      </w:pPr>
      <w:r>
        <w:t xml:space="preserve">Zmírňování změny klimatu (klimatická neutralita) </w:t>
      </w:r>
    </w:p>
    <w:p w14:paraId="7ADDB71D" w14:textId="77777777" w:rsidR="005E7900" w:rsidRDefault="005E7900" w:rsidP="005E7900">
      <w:r w:rsidRPr="00785A64">
        <w:t xml:space="preserve">Zmírňování změny klimatu zahrnuje dekarbonizaci, </w:t>
      </w:r>
      <w:r w:rsidRPr="00FF1E0D">
        <w:t>energetickou účinnost, úspory energie a zavedení obnovitelných forem energie. Zahrnuje opatření ke snížení emisí skleníkových plynů nebo zvýšení sekvestrace skleníkových plynů a řídí se podle politiky EU pro</w:t>
      </w:r>
      <w:r w:rsidRPr="00785A64">
        <w:t xml:space="preserve"> cíle snižování emisí do roku 2030 a 2050.</w:t>
      </w:r>
    </w:p>
    <w:p w14:paraId="26C6D3F7" w14:textId="77777777" w:rsidR="005E7900" w:rsidRDefault="005E7900" w:rsidP="005E7900"/>
    <w:p w14:paraId="34BE6B18" w14:textId="77777777" w:rsidR="005E7900" w:rsidRDefault="005E7900" w:rsidP="005E7900">
      <w:pPr>
        <w:pStyle w:val="Nadpis3"/>
      </w:pPr>
      <w:r>
        <w:t>Prověřování – fáze 1</w:t>
      </w:r>
    </w:p>
    <w:p w14:paraId="081F52AF" w14:textId="77777777" w:rsidR="005E7900" w:rsidRDefault="005E7900" w:rsidP="005E7900">
      <w:pPr>
        <w:autoSpaceDE w:val="0"/>
        <w:autoSpaceDN w:val="0"/>
        <w:adjustRightInd w:val="0"/>
        <w:spacing w:line="360" w:lineRule="auto"/>
        <w:rPr>
          <w:rFonts w:cs="Arial"/>
          <w:color w:val="262626"/>
          <w:szCs w:val="20"/>
        </w:rPr>
      </w:pPr>
      <w:r>
        <w:rPr>
          <w:rFonts w:cs="Arial"/>
          <w:color w:val="262626"/>
          <w:szCs w:val="20"/>
        </w:rPr>
        <w:t xml:space="preserve">V případě projektů </w:t>
      </w:r>
      <w:r w:rsidRPr="00E31593">
        <w:rPr>
          <w:rFonts w:cs="Arial"/>
          <w:b/>
          <w:bCs/>
          <w:color w:val="262626"/>
          <w:szCs w:val="20"/>
        </w:rPr>
        <w:t>novostaveb a větších změn dokončené budovy</w:t>
      </w:r>
      <w:r>
        <w:rPr>
          <w:rFonts w:cs="Arial"/>
          <w:color w:val="262626"/>
          <w:szCs w:val="20"/>
        </w:rPr>
        <w:t xml:space="preserve"> jsou požadavky dány zákonem č. 406/2000 Sb. o hospodaření energií a vyhláškou č. 264/2020 Sb. o energetické náročnosti budov. Hodnocení je provedeno pomocí metodiky porovnání vypočtených hodnot s tzv. referenční budovou.</w:t>
      </w:r>
    </w:p>
    <w:p w14:paraId="34B3CAAF" w14:textId="77777777" w:rsidR="005E7900" w:rsidRDefault="005E7900" w:rsidP="005E7900">
      <w:pPr>
        <w:autoSpaceDE w:val="0"/>
        <w:autoSpaceDN w:val="0"/>
        <w:adjustRightInd w:val="0"/>
        <w:spacing w:line="360" w:lineRule="auto"/>
        <w:rPr>
          <w:rFonts w:cs="Arial"/>
          <w:b/>
          <w:bCs/>
          <w:color w:val="262626"/>
          <w:szCs w:val="20"/>
        </w:rPr>
      </w:pPr>
      <w:r>
        <w:rPr>
          <w:rFonts w:cs="Arial"/>
          <w:b/>
          <w:bCs/>
          <w:color w:val="262626"/>
          <w:szCs w:val="20"/>
        </w:rPr>
        <w:t>Požadavek 1.1:</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889"/>
        <w:gridCol w:w="6173"/>
      </w:tblGrid>
      <w:tr w:rsidR="005E7900" w14:paraId="23824D8A" w14:textId="77777777" w:rsidTr="005D010A">
        <w:trPr>
          <w:trHeight w:val="676"/>
        </w:trPr>
        <w:tc>
          <w:tcPr>
            <w:tcW w:w="3018" w:type="dxa"/>
            <w:tcBorders>
              <w:top w:val="single" w:sz="4" w:space="0" w:color="DBDBDB"/>
              <w:left w:val="single" w:sz="4" w:space="0" w:color="DBDBDB"/>
              <w:bottom w:val="single" w:sz="12" w:space="0" w:color="C9C9C9"/>
              <w:right w:val="single" w:sz="4" w:space="0" w:color="DBDBDB"/>
            </w:tcBorders>
            <w:hideMark/>
          </w:tcPr>
          <w:p w14:paraId="70735D82" w14:textId="77777777" w:rsidR="005E7900" w:rsidRDefault="005E7900" w:rsidP="005D010A">
            <w:pPr>
              <w:spacing w:line="254" w:lineRule="auto"/>
              <w:rPr>
                <w:rFonts w:eastAsia="Calibri" w:cs="Times New Roman"/>
                <w:b/>
                <w:bCs/>
                <w:szCs w:val="20"/>
              </w:rPr>
            </w:pPr>
            <w:r>
              <w:rPr>
                <w:rFonts w:eastAsia="Calibri"/>
                <w:b/>
                <w:bCs/>
                <w:szCs w:val="20"/>
              </w:rPr>
              <w:t>Vyhláška 264/2020 Sb. o energetické náročnosti budov</w:t>
            </w:r>
          </w:p>
        </w:tc>
        <w:tc>
          <w:tcPr>
            <w:tcW w:w="6553" w:type="dxa"/>
            <w:tcBorders>
              <w:top w:val="single" w:sz="4" w:space="0" w:color="DBDBDB"/>
              <w:left w:val="single" w:sz="4" w:space="0" w:color="DBDBDB"/>
              <w:bottom w:val="single" w:sz="12" w:space="0" w:color="C9C9C9"/>
              <w:right w:val="single" w:sz="4" w:space="0" w:color="DBDBDB"/>
            </w:tcBorders>
          </w:tcPr>
          <w:p w14:paraId="14D73E70" w14:textId="77777777" w:rsidR="005E7900" w:rsidRDefault="005E7900" w:rsidP="005D010A">
            <w:pPr>
              <w:rPr>
                <w:rFonts w:eastAsia="Calibri"/>
                <w:szCs w:val="20"/>
              </w:rPr>
            </w:pPr>
            <w:r>
              <w:rPr>
                <w:rFonts w:eastAsia="Calibri"/>
                <w:szCs w:val="20"/>
              </w:rPr>
              <w:t>Jedná se o minimální legislativní požadavek vyžadovaný pro kladné závazné stanovisko Státní energetické inspekce (SEI).</w:t>
            </w:r>
          </w:p>
          <w:p w14:paraId="20830C0E" w14:textId="77777777" w:rsidR="005E7900" w:rsidRDefault="005E7900" w:rsidP="005D010A">
            <w:pPr>
              <w:pStyle w:val="Odstavecseseznamem"/>
              <w:spacing w:after="0" w:line="240" w:lineRule="auto"/>
              <w:ind w:left="0"/>
              <w:rPr>
                <w:rFonts w:ascii="Arial" w:eastAsia="Calibri" w:hAnsi="Arial"/>
                <w:b/>
                <w:bCs/>
                <w:sz w:val="20"/>
                <w:szCs w:val="20"/>
                <w:lang w:eastAsia="cs-CZ"/>
              </w:rPr>
            </w:pPr>
          </w:p>
          <w:p w14:paraId="5E7245DB" w14:textId="77777777" w:rsidR="005E7900" w:rsidRDefault="005E7900" w:rsidP="005D010A">
            <w:pPr>
              <w:pStyle w:val="Odstavecseseznamem"/>
              <w:spacing w:after="0" w:line="240" w:lineRule="auto"/>
              <w:ind w:left="0"/>
              <w:rPr>
                <w:rFonts w:ascii="Arial" w:hAnsi="Arial"/>
                <w:b/>
                <w:bCs/>
                <w:sz w:val="20"/>
                <w:szCs w:val="20"/>
                <w:lang w:eastAsia="cs-CZ"/>
              </w:rPr>
            </w:pPr>
            <w:r>
              <w:rPr>
                <w:rFonts w:ascii="Arial" w:hAnsi="Arial"/>
                <w:b/>
                <w:bCs/>
                <w:sz w:val="20"/>
                <w:szCs w:val="20"/>
                <w:lang w:eastAsia="cs-CZ"/>
              </w:rPr>
              <w:t>Konkrétní požadavky na energetickou náročnost větší změny dokončené budovy jsou stanoveny v §6 odst. 2 vyhlášky 264/2020 Sb.</w:t>
            </w:r>
          </w:p>
          <w:p w14:paraId="60EEDB6B" w14:textId="77777777" w:rsidR="005E7900" w:rsidRDefault="005E7900" w:rsidP="005D010A">
            <w:pPr>
              <w:pStyle w:val="Odstavecseseznamem"/>
              <w:spacing w:after="0" w:line="240" w:lineRule="auto"/>
              <w:rPr>
                <w:rFonts w:ascii="Arial" w:hAnsi="Arial"/>
                <w:b/>
                <w:bCs/>
                <w:sz w:val="20"/>
                <w:szCs w:val="20"/>
                <w:lang w:eastAsia="cs-CZ"/>
              </w:rPr>
            </w:pPr>
          </w:p>
          <w:p w14:paraId="46647130" w14:textId="77777777" w:rsidR="005E7900" w:rsidRDefault="005E7900" w:rsidP="005D010A">
            <w:pPr>
              <w:pStyle w:val="Odstavecseseznamem"/>
              <w:spacing w:after="0" w:line="240" w:lineRule="auto"/>
              <w:ind w:left="0"/>
              <w:rPr>
                <w:rFonts w:ascii="Arial" w:hAnsi="Arial"/>
                <w:sz w:val="20"/>
                <w:szCs w:val="20"/>
                <w:lang w:eastAsia="cs-CZ"/>
              </w:rPr>
            </w:pPr>
            <w:r>
              <w:rPr>
                <w:rFonts w:ascii="Arial" w:hAnsi="Arial"/>
                <w:sz w:val="20"/>
                <w:szCs w:val="20"/>
                <w:lang w:eastAsia="cs-CZ"/>
              </w:rPr>
              <w:t>Hodnocená budova musí mít splňovat požadavky vyhlášky.</w:t>
            </w:r>
          </w:p>
          <w:p w14:paraId="165705B2" w14:textId="77777777" w:rsidR="005E7900" w:rsidRDefault="005E7900" w:rsidP="005D010A">
            <w:pPr>
              <w:spacing w:line="254" w:lineRule="auto"/>
              <w:rPr>
                <w:rFonts w:ascii="Arial" w:eastAsia="Calibri" w:hAnsi="Arial"/>
                <w:b/>
                <w:bCs/>
                <w:sz w:val="20"/>
                <w:szCs w:val="20"/>
                <w:lang w:eastAsia="cs-CZ"/>
              </w:rPr>
            </w:pPr>
          </w:p>
        </w:tc>
      </w:tr>
    </w:tbl>
    <w:p w14:paraId="58E572BC" w14:textId="77777777" w:rsidR="005E7900" w:rsidRDefault="005E7900" w:rsidP="005E7900">
      <w:pPr>
        <w:spacing w:after="120"/>
        <w:rPr>
          <w:rFonts w:ascii="Calibri" w:eastAsia="Times New Roman" w:hAnsi="Calibri" w:cs="Calibri"/>
          <w:color w:val="262626"/>
          <w:sz w:val="20"/>
          <w:szCs w:val="20"/>
        </w:rPr>
      </w:pPr>
    </w:p>
    <w:p w14:paraId="756F7AB3" w14:textId="77777777" w:rsidR="005E7900" w:rsidRDefault="005E7900" w:rsidP="005E7900">
      <w:pPr>
        <w:spacing w:after="120" w:line="360" w:lineRule="auto"/>
        <w:rPr>
          <w:rFonts w:ascii="Arial" w:hAnsi="Arial" w:cs="Arial"/>
          <w:b/>
          <w:bCs/>
          <w:color w:val="262626"/>
          <w:szCs w:val="20"/>
        </w:rPr>
      </w:pPr>
      <w:r>
        <w:rPr>
          <w:rFonts w:cs="Arial"/>
          <w:b/>
          <w:bCs/>
          <w:color w:val="262626"/>
          <w:szCs w:val="20"/>
        </w:rPr>
        <w:t>Komentář k plnění:</w:t>
      </w:r>
    </w:p>
    <w:p w14:paraId="50C30E27" w14:textId="77777777" w:rsidR="005E7900" w:rsidRPr="00706885" w:rsidRDefault="005E7900" w:rsidP="005E7900">
      <w:pPr>
        <w:spacing w:after="120"/>
        <w:rPr>
          <w:rFonts w:cs="Arial"/>
          <w:szCs w:val="20"/>
        </w:rPr>
      </w:pPr>
      <w:r w:rsidRPr="00706885">
        <w:rPr>
          <w:rFonts w:cs="Arial"/>
          <w:szCs w:val="20"/>
        </w:rPr>
        <w:t xml:space="preserve">V této fázi projektové dokumentace nebyl zpracováván simulační energetický model, který by kvantifikoval plnění parametrů. Bylo využito principů návrhu energeticky úsporných budov a nejlepších dostupných způsobů technologií. Plnění uvedených ukazatelů je tedy podmíněno dodržení těchto principů v dalších stupních PD. Řešená budova je navržena v souladu s nejlepšími dostupnými technologiemi jak z pohledu návrhu obálky budovy, tak z pohledu použitých technických systémů. V maximální možné míře je využito obnovitelných zdrojů. Použitá technická zařízení budou splňovat požadavky na </w:t>
      </w:r>
      <w:proofErr w:type="spellStart"/>
      <w:r w:rsidRPr="00706885">
        <w:rPr>
          <w:rFonts w:cs="Arial"/>
          <w:szCs w:val="20"/>
        </w:rPr>
        <w:t>Ecodesign</w:t>
      </w:r>
      <w:proofErr w:type="spellEnd"/>
      <w:r w:rsidRPr="00706885">
        <w:rPr>
          <w:rFonts w:cs="Arial"/>
          <w:szCs w:val="20"/>
        </w:rPr>
        <w:t>, čímž je zaručena vysoká energetická účinnost.</w:t>
      </w:r>
    </w:p>
    <w:p w14:paraId="6602C203" w14:textId="77777777" w:rsidR="005E7900" w:rsidRDefault="005E7900" w:rsidP="005E7900"/>
    <w:p w14:paraId="12D9D0BF" w14:textId="77777777" w:rsidR="005E7900" w:rsidRDefault="005E7900" w:rsidP="005E7900">
      <w:pPr>
        <w:rPr>
          <w:color w:val="262626"/>
        </w:rPr>
      </w:pPr>
      <w:r w:rsidRPr="00FF1E0D">
        <w:t xml:space="preserve">Příjemci realizující rozsáhlé projekty přesahující roční produkované provozní emise </w:t>
      </w:r>
      <w:r w:rsidRPr="00FF1E0D">
        <w:rPr>
          <w:b/>
          <w:bCs/>
        </w:rPr>
        <w:t>20</w:t>
      </w:r>
      <w:r>
        <w:rPr>
          <w:b/>
          <w:bCs/>
        </w:rPr>
        <w:t> </w:t>
      </w:r>
      <w:r w:rsidRPr="00FF1E0D">
        <w:rPr>
          <w:b/>
          <w:bCs/>
        </w:rPr>
        <w:t>000</w:t>
      </w:r>
      <w:r>
        <w:rPr>
          <w:b/>
          <w:bCs/>
        </w:rPr>
        <w:t xml:space="preserve"> </w:t>
      </w:r>
      <w:r w:rsidRPr="00FF1E0D">
        <w:rPr>
          <w:b/>
          <w:bCs/>
        </w:rPr>
        <w:t>t</w:t>
      </w:r>
      <w:r>
        <w:rPr>
          <w:b/>
          <w:bCs/>
        </w:rPr>
        <w:t>un</w:t>
      </w:r>
      <w:r w:rsidRPr="00FF1E0D">
        <w:rPr>
          <w:b/>
          <w:bCs/>
        </w:rPr>
        <w:t xml:space="preserve"> CO</w:t>
      </w:r>
      <w:r w:rsidRPr="00FF1E0D">
        <w:rPr>
          <w:b/>
          <w:bCs/>
          <w:vertAlign w:val="subscript"/>
        </w:rPr>
        <w:t>2</w:t>
      </w:r>
      <w:r w:rsidRPr="00FF1E0D">
        <w:rPr>
          <w:b/>
          <w:bCs/>
        </w:rPr>
        <w:t xml:space="preserve"> </w:t>
      </w:r>
      <w:proofErr w:type="spellStart"/>
      <w:r w:rsidRPr="00FF1E0D">
        <w:rPr>
          <w:b/>
          <w:bCs/>
        </w:rPr>
        <w:t>ekv</w:t>
      </w:r>
      <w:proofErr w:type="spellEnd"/>
      <w:r w:rsidRPr="00FF1E0D">
        <w:rPr>
          <w:b/>
          <w:bCs/>
        </w:rPr>
        <w:t xml:space="preserve">./rok </w:t>
      </w:r>
      <w:r w:rsidRPr="00FF1E0D">
        <w:t xml:space="preserve">u výstavby nových </w:t>
      </w:r>
      <w:r>
        <w:rPr>
          <w:color w:val="262626"/>
        </w:rPr>
        <w:t>budov mají povinnost zpracovat podrobnou analýzu klimatického dopadu zdravotnického</w:t>
      </w:r>
      <w:r>
        <w:rPr>
          <w:color w:val="FF0000"/>
        </w:rPr>
        <w:t xml:space="preserve"> </w:t>
      </w:r>
      <w:r>
        <w:rPr>
          <w:color w:val="262626"/>
        </w:rPr>
        <w:t xml:space="preserve">zařízení (dále jen „Analýza“). </w:t>
      </w:r>
    </w:p>
    <w:p w14:paraId="4929F931" w14:textId="77777777" w:rsidR="005E7900" w:rsidRPr="00FF1E0D"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b/>
          <w:bCs/>
          <w:szCs w:val="20"/>
        </w:rPr>
      </w:pPr>
      <w:r w:rsidRPr="00FF1E0D">
        <w:rPr>
          <w:rFonts w:cs="Arial"/>
          <w:b/>
          <w:bCs/>
          <w:szCs w:val="20"/>
        </w:rPr>
        <w:t xml:space="preserve">Předpokládaná emise </w:t>
      </w:r>
      <w:r>
        <w:rPr>
          <w:rFonts w:cs="Arial"/>
          <w:b/>
          <w:bCs/>
          <w:szCs w:val="20"/>
        </w:rPr>
        <w:t>2000</w:t>
      </w:r>
      <w:r w:rsidRPr="00FF1E0D">
        <w:rPr>
          <w:rFonts w:cs="Arial"/>
          <w:b/>
          <w:bCs/>
          <w:szCs w:val="20"/>
        </w:rPr>
        <w:t xml:space="preserve"> tun/rok.</w:t>
      </w:r>
    </w:p>
    <w:p w14:paraId="6A49A36A" w14:textId="77777777" w:rsidR="005E7900" w:rsidRDefault="005E7900" w:rsidP="005E7900">
      <w:r>
        <w:lastRenderedPageBreak/>
        <w:t>Přesný výpočet produkované provozní emise oxidu uhličitého bude proveden v dalším stupni projektové dokumentace.</w:t>
      </w:r>
    </w:p>
    <w:p w14:paraId="260F18D0" w14:textId="77777777" w:rsidR="005E7900" w:rsidRDefault="005E7900" w:rsidP="005E7900"/>
    <w:p w14:paraId="2C37AE58" w14:textId="77777777" w:rsidR="005E7900" w:rsidRDefault="005E7900" w:rsidP="005E7900">
      <w:pPr>
        <w:pStyle w:val="Nadpis3"/>
      </w:pPr>
      <w:r>
        <w:t>Podrobná analýza – fáze 2</w:t>
      </w:r>
    </w:p>
    <w:p w14:paraId="6F282415" w14:textId="77777777" w:rsidR="005E7900" w:rsidRDefault="005E7900" w:rsidP="005E7900">
      <w:r>
        <w:t xml:space="preserve">S ohledem na to, že u </w:t>
      </w:r>
      <w:r w:rsidRPr="00370D81">
        <w:t>kategorie projektu – Výstavba nemovitostí se dle Tab. 2 kap. 3.2.1. Pokynů posouzení uhlíkové stopy v závislosti na velikosti projektu obecně NEVYŽADUJE</w:t>
      </w:r>
      <w:r>
        <w:t>, není třeba provádět podrobnou analýzu</w:t>
      </w:r>
      <w:r w:rsidRPr="00370D81">
        <w:t>.</w:t>
      </w:r>
    </w:p>
    <w:p w14:paraId="71FD29B8" w14:textId="77777777" w:rsidR="005E7900" w:rsidRDefault="005E7900" w:rsidP="005E7900"/>
    <w:p w14:paraId="18366DDC"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color w:val="262626"/>
          <w:szCs w:val="20"/>
        </w:rPr>
      </w:pPr>
      <w:r w:rsidRPr="00D92A2B">
        <w:rPr>
          <w:rFonts w:cs="Arial"/>
          <w:color w:val="262626"/>
          <w:szCs w:val="20"/>
        </w:rPr>
        <w:t>Řešená</w:t>
      </w:r>
      <w:r>
        <w:rPr>
          <w:rFonts w:cs="Arial"/>
          <w:color w:val="262626"/>
          <w:szCs w:val="20"/>
        </w:rPr>
        <w:t xml:space="preserve"> </w:t>
      </w:r>
      <w:r w:rsidRPr="00D42F09">
        <w:rPr>
          <w:rFonts w:cs="Arial"/>
          <w:szCs w:val="20"/>
        </w:rPr>
        <w:t>budova</w:t>
      </w:r>
      <w:r>
        <w:rPr>
          <w:rFonts w:cs="Arial"/>
          <w:color w:val="262626"/>
          <w:szCs w:val="20"/>
        </w:rPr>
        <w:t xml:space="preserve"> </w:t>
      </w:r>
      <w:r w:rsidRPr="00D92A2B">
        <w:rPr>
          <w:rFonts w:cs="Arial"/>
          <w:color w:val="262626"/>
          <w:szCs w:val="20"/>
        </w:rPr>
        <w:t xml:space="preserve">je navržena v souladu s principy </w:t>
      </w:r>
      <w:r>
        <w:rPr>
          <w:rFonts w:cs="Arial"/>
          <w:color w:val="262626"/>
          <w:szCs w:val="20"/>
        </w:rPr>
        <w:t>klimatické neutrality</w:t>
      </w:r>
    </w:p>
    <w:p w14:paraId="7B2147B1"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b/>
          <w:bCs/>
          <w:color w:val="262626"/>
          <w:szCs w:val="20"/>
        </w:rPr>
      </w:pPr>
      <w:r w:rsidRPr="00D92A2B">
        <w:rPr>
          <w:rFonts w:cs="Arial"/>
          <w:b/>
          <w:bCs/>
          <w:color w:val="262626"/>
          <w:szCs w:val="20"/>
        </w:rPr>
        <w:t>Činnost splňuje výše uvedená kritéria:</w:t>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t>ANO</w:t>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strike/>
          <w:color w:val="262626"/>
          <w:szCs w:val="20"/>
        </w:rPr>
        <w:t>NE</w:t>
      </w:r>
    </w:p>
    <w:p w14:paraId="46C84909"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b/>
          <w:bCs/>
          <w:color w:val="262626"/>
          <w:szCs w:val="20"/>
        </w:rPr>
      </w:pP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t>předpoklad plnění</w:t>
      </w:r>
    </w:p>
    <w:p w14:paraId="0CA6C24D" w14:textId="77777777" w:rsidR="005E7900" w:rsidRDefault="005E7900" w:rsidP="005E7900"/>
    <w:p w14:paraId="7478CA41" w14:textId="77777777" w:rsidR="005E7900" w:rsidRDefault="005E7900" w:rsidP="005E7900"/>
    <w:p w14:paraId="58F407FD" w14:textId="77777777" w:rsidR="005E7900" w:rsidRDefault="005E7900" w:rsidP="005E7900">
      <w:pPr>
        <w:pStyle w:val="Nadpis2"/>
        <w:spacing w:before="40" w:after="240" w:line="259" w:lineRule="auto"/>
        <w:ind w:left="425" w:hanging="425"/>
        <w:jc w:val="both"/>
      </w:pPr>
      <w:r w:rsidRPr="00D623A8">
        <w:t>Přizpůsobení se změně klimatu</w:t>
      </w:r>
      <w:r>
        <w:t xml:space="preserve"> (odolnost vůči změně klimatu)</w:t>
      </w:r>
    </w:p>
    <w:p w14:paraId="24E34FCD" w14:textId="77777777" w:rsidR="005E7900" w:rsidRPr="00607C0A" w:rsidRDefault="005E7900" w:rsidP="005E7900">
      <w:pPr>
        <w:rPr>
          <w:b/>
          <w:bCs/>
        </w:rPr>
      </w:pPr>
      <w:r w:rsidRPr="00607C0A">
        <w:rPr>
          <w:b/>
          <w:bCs/>
        </w:rPr>
        <w:t>Národní kontext Nařízení o Taxonomii</w:t>
      </w:r>
    </w:p>
    <w:p w14:paraId="3F792B9D" w14:textId="77777777" w:rsidR="005E7900" w:rsidRDefault="005E7900" w:rsidP="005E7900">
      <w:r>
        <w:t>Česká republika vyhodnocovala dopady změny klimatu na svém území v rámci zpracování Strategie přizpůsobení se změně klimatu v podmínkách ČR, kdy byla vytvořena Komplexní studie dopadů, zranitelnosti a zdrojů rizik souvisejících se změnou klimatu v ČR. Tyto dokumenty obsahují zhodnocení pravděpodobnosti dopadů změn klimatu v jednotlivých oblastech zájmu a zároveň řadu adaptačních opatření</w:t>
      </w:r>
    </w:p>
    <w:p w14:paraId="268AEC18" w14:textId="77777777" w:rsidR="005E7900" w:rsidRDefault="005E7900" w:rsidP="005E7900"/>
    <w:p w14:paraId="3A902831" w14:textId="77777777" w:rsidR="005E7900" w:rsidRPr="00854BE7" w:rsidRDefault="005E7900" w:rsidP="005E7900">
      <w:pPr>
        <w:pStyle w:val="Nadpis3"/>
      </w:pPr>
      <w:r>
        <w:t>Prověřování – fáze 1</w:t>
      </w:r>
    </w:p>
    <w:p w14:paraId="4762A09D" w14:textId="77777777" w:rsidR="005E7900" w:rsidRDefault="005E7900" w:rsidP="005E7900">
      <w:pPr>
        <w:pStyle w:val="Nadpis4"/>
      </w:pPr>
      <w:r w:rsidRPr="00370D81">
        <w:rPr>
          <w:rStyle w:val="Nadpis3Char"/>
        </w:rPr>
        <w:t>Posouzení</w:t>
      </w:r>
      <w:r>
        <w:t xml:space="preserve"> klimatické zranitelnosti</w:t>
      </w:r>
    </w:p>
    <w:p w14:paraId="2DB88572" w14:textId="77777777" w:rsidR="005E7900" w:rsidRPr="00607C0A" w:rsidRDefault="005E7900" w:rsidP="005E7900">
      <w:r w:rsidRPr="00607C0A">
        <w:t xml:space="preserve">Cílem analýzy zranitelnosti je určit podstatná klimatická nebezpečí pro daný konkrétní typ projektu v plánovaném umístění. Zranitelnost projektu je kombinací dvou aspektů: toho, jak citlivé jsou složky projektu na klimatická nebezpečí obecně (citlivost), a toho, jak pravděpodobné je, že se tato nebezpečí vyskytnou v místě projektu nyní a v budoucnu (expozice). </w:t>
      </w:r>
    </w:p>
    <w:p w14:paraId="1AE43B29" w14:textId="77777777" w:rsidR="005E7900" w:rsidRDefault="005E7900" w:rsidP="005E7900">
      <w:pPr>
        <w:pStyle w:val="Nadpis5"/>
      </w:pPr>
      <w:r>
        <w:t>Analýza zranitelnosti</w:t>
      </w:r>
    </w:p>
    <w:p w14:paraId="40BE5814" w14:textId="77777777" w:rsidR="005E7900" w:rsidRDefault="005E7900" w:rsidP="005E7900">
      <w:r>
        <w:t>Kap. 3.3.1.3. Pokynů</w:t>
      </w:r>
    </w:p>
    <w:p w14:paraId="6145DC58" w14:textId="77777777" w:rsidR="005E7900" w:rsidRDefault="005E7900" w:rsidP="005E7900">
      <w:r>
        <w:rPr>
          <w:noProof/>
        </w:rPr>
        <w:lastRenderedPageBreak/>
        <w:drawing>
          <wp:inline distT="0" distB="0" distL="0" distR="0" wp14:anchorId="4C945404" wp14:editId="7167ED66">
            <wp:extent cx="5760720" cy="7437120"/>
            <wp:effectExtent l="0" t="0" r="0" b="0"/>
            <wp:docPr id="24793869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437120"/>
                    </a:xfrm>
                    <a:prstGeom prst="rect">
                      <a:avLst/>
                    </a:prstGeom>
                    <a:noFill/>
                    <a:ln>
                      <a:noFill/>
                    </a:ln>
                  </pic:spPr>
                </pic:pic>
              </a:graphicData>
            </a:graphic>
          </wp:inline>
        </w:drawing>
      </w:r>
    </w:p>
    <w:p w14:paraId="5022F715" w14:textId="77777777" w:rsidR="005E7900" w:rsidRDefault="005E7900" w:rsidP="005E7900">
      <w:r>
        <w:t>* Pokud se při analýze citlivosti a expozice identifikuje, že je v obou analýzách vysoké = významné riziko, které bude dále hodnoceno.</w:t>
      </w:r>
    </w:p>
    <w:p w14:paraId="686DB5AC" w14:textId="77777777" w:rsidR="005E7900" w:rsidRDefault="005E7900" w:rsidP="005E7900">
      <w:r>
        <w:t>Z uvedené analýzy vyplývají následující rizika, u kterých je třeba provést podrobnější analýzu.</w:t>
      </w:r>
    </w:p>
    <w:p w14:paraId="53DF678B" w14:textId="77777777" w:rsidR="005E7900" w:rsidRDefault="005E7900" w:rsidP="005E7900"/>
    <w:p w14:paraId="3C941417" w14:textId="77777777" w:rsidR="005E7900" w:rsidRDefault="005E7900" w:rsidP="005E7900">
      <w:r w:rsidRPr="003F65FA">
        <w:rPr>
          <w:b/>
          <w:bCs/>
        </w:rPr>
        <w:lastRenderedPageBreak/>
        <w:t>Významná rizika relevantní pro projekt</w:t>
      </w:r>
      <w:r>
        <w:t xml:space="preserve"> v závislosti na typu projektu a jeho umístění:</w:t>
      </w:r>
    </w:p>
    <w:p w14:paraId="17D392F8" w14:textId="77777777" w:rsidR="005E7900" w:rsidRDefault="005E7900" w:rsidP="005E7900">
      <w:pPr>
        <w:pStyle w:val="Odstavecseseznamem"/>
        <w:numPr>
          <w:ilvl w:val="0"/>
          <w:numId w:val="57"/>
        </w:numPr>
        <w:spacing w:after="160" w:line="259" w:lineRule="auto"/>
        <w:jc w:val="both"/>
      </w:pPr>
      <w:r>
        <w:t>Měnící se teplota (vzduchu, vody)</w:t>
      </w:r>
    </w:p>
    <w:p w14:paraId="2AB9FB0D" w14:textId="77777777" w:rsidR="005E7900" w:rsidRDefault="005E7900" w:rsidP="005E7900">
      <w:pPr>
        <w:pStyle w:val="Odstavecseseznamem"/>
        <w:numPr>
          <w:ilvl w:val="0"/>
          <w:numId w:val="57"/>
        </w:numPr>
        <w:spacing w:after="160" w:line="259" w:lineRule="auto"/>
        <w:jc w:val="both"/>
      </w:pPr>
      <w:r>
        <w:t>Tepelný stres</w:t>
      </w:r>
    </w:p>
    <w:p w14:paraId="3BE0FC16" w14:textId="77777777" w:rsidR="005E7900" w:rsidRDefault="005E7900" w:rsidP="005E7900">
      <w:pPr>
        <w:pStyle w:val="Odstavecseseznamem"/>
        <w:numPr>
          <w:ilvl w:val="0"/>
          <w:numId w:val="57"/>
        </w:numPr>
        <w:spacing w:after="160" w:line="259" w:lineRule="auto"/>
        <w:jc w:val="both"/>
      </w:pPr>
      <w:r>
        <w:t>Vlna veder</w:t>
      </w:r>
    </w:p>
    <w:p w14:paraId="4133B414" w14:textId="77777777" w:rsidR="005E7900" w:rsidRDefault="005E7900" w:rsidP="005E7900">
      <w:pPr>
        <w:pStyle w:val="Odstavecseseznamem"/>
        <w:numPr>
          <w:ilvl w:val="0"/>
          <w:numId w:val="57"/>
        </w:numPr>
        <w:spacing w:after="160" w:line="259" w:lineRule="auto"/>
        <w:jc w:val="both"/>
      </w:pPr>
      <w:r>
        <w:t>Sucho</w:t>
      </w:r>
    </w:p>
    <w:p w14:paraId="7790462B" w14:textId="77777777" w:rsidR="005E7900" w:rsidRDefault="005E7900" w:rsidP="005E7900">
      <w:pPr>
        <w:pStyle w:val="Odstavecseseznamem"/>
        <w:numPr>
          <w:ilvl w:val="0"/>
          <w:numId w:val="57"/>
        </w:numPr>
        <w:spacing w:after="160" w:line="259" w:lineRule="auto"/>
        <w:jc w:val="both"/>
      </w:pPr>
      <w:r>
        <w:t>Bouře</w:t>
      </w:r>
    </w:p>
    <w:p w14:paraId="74E0D6D4" w14:textId="77777777" w:rsidR="005E7900" w:rsidRPr="003F65FA" w:rsidRDefault="005E7900" w:rsidP="005E7900">
      <w:pPr>
        <w:pStyle w:val="Odstavecseseznamem"/>
        <w:numPr>
          <w:ilvl w:val="0"/>
          <w:numId w:val="57"/>
        </w:numPr>
        <w:spacing w:after="160" w:line="259" w:lineRule="auto"/>
        <w:jc w:val="both"/>
        <w:rPr>
          <w:szCs w:val="24"/>
        </w:rPr>
      </w:pPr>
      <w:r>
        <w:t>Silné srážky (déšť, krupobití, sníh/led)</w:t>
      </w:r>
    </w:p>
    <w:p w14:paraId="709E82EA" w14:textId="77777777" w:rsidR="005E7900" w:rsidRPr="003F65FA" w:rsidRDefault="005E7900" w:rsidP="005E7900">
      <w:pPr>
        <w:pStyle w:val="Odstavecseseznamem"/>
        <w:numPr>
          <w:ilvl w:val="0"/>
          <w:numId w:val="57"/>
        </w:numPr>
        <w:spacing w:after="160" w:line="259" w:lineRule="auto"/>
        <w:jc w:val="both"/>
        <w:rPr>
          <w:szCs w:val="24"/>
        </w:rPr>
      </w:pPr>
      <w:r>
        <w:t>Povodeň (pobřežní, říční, dešťová, způsobená podzemními vodami)</w:t>
      </w:r>
    </w:p>
    <w:p w14:paraId="0C114D9C" w14:textId="77777777" w:rsidR="005E7900" w:rsidRDefault="005E7900" w:rsidP="005E7900">
      <w:pPr>
        <w:rPr>
          <w:highlight w:val="yellow"/>
        </w:rPr>
      </w:pPr>
    </w:p>
    <w:p w14:paraId="0EDB243B" w14:textId="77777777" w:rsidR="005E7900" w:rsidRDefault="005E7900" w:rsidP="005E7900">
      <w:r w:rsidRPr="00B11BFA">
        <w:rPr>
          <w:rStyle w:val="Nadpis3Char"/>
        </w:rPr>
        <w:t>Podrobná analýza – fáze 2</w:t>
      </w:r>
      <w:r>
        <w:t xml:space="preserve"> </w:t>
      </w:r>
    </w:p>
    <w:p w14:paraId="080994A6" w14:textId="77777777" w:rsidR="005E7900" w:rsidRDefault="005E7900" w:rsidP="005E7900">
      <w:pPr>
        <w:pStyle w:val="Nadpis4"/>
      </w:pPr>
      <w:r>
        <w:t>Analýza pravděpodobnosti</w:t>
      </w:r>
    </w:p>
    <w:p w14:paraId="72985408" w14:textId="77777777" w:rsidR="005E7900" w:rsidRDefault="005E7900" w:rsidP="005E7900">
      <w:r>
        <w:t>Kap. 3.3.2.2. Pokynů</w:t>
      </w:r>
    </w:p>
    <w:p w14:paraId="58DCABCB" w14:textId="77777777" w:rsidR="005E7900" w:rsidRDefault="005E7900" w:rsidP="005E7900">
      <w:r w:rsidRPr="0072467B">
        <w:t>Tato část posouzení rizik zkoumá, s jakou pravděpodobností se vyskytnou určená klimatická nebezpečí v průběhu životnosti projektu</w:t>
      </w:r>
    </w:p>
    <w:p w14:paraId="24B77260" w14:textId="77777777" w:rsidR="005E7900" w:rsidRDefault="005E7900" w:rsidP="005E7900">
      <w:r w:rsidRPr="0072467B">
        <w:rPr>
          <w:noProof/>
        </w:rPr>
        <w:drawing>
          <wp:inline distT="0" distB="0" distL="0" distR="0" wp14:anchorId="3B0B5AFD" wp14:editId="3DAE7C58">
            <wp:extent cx="5760720" cy="1608455"/>
            <wp:effectExtent l="0" t="0" r="0" b="0"/>
            <wp:docPr id="213844145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608455"/>
                    </a:xfrm>
                    <a:prstGeom prst="rect">
                      <a:avLst/>
                    </a:prstGeom>
                    <a:noFill/>
                    <a:ln>
                      <a:noFill/>
                    </a:ln>
                  </pic:spPr>
                </pic:pic>
              </a:graphicData>
            </a:graphic>
          </wp:inline>
        </w:drawing>
      </w:r>
    </w:p>
    <w:p w14:paraId="2CAB885F" w14:textId="77777777" w:rsidR="005E7900" w:rsidRDefault="005E7900" w:rsidP="005E7900">
      <w:pPr>
        <w:rPr>
          <w:rFonts w:ascii="Arial" w:hAnsi="Arial" w:cs="Arial"/>
        </w:rPr>
      </w:pPr>
    </w:p>
    <w:p w14:paraId="4B9B6087" w14:textId="77777777" w:rsidR="005E7900" w:rsidRDefault="005E7900" w:rsidP="005E7900">
      <w:pPr>
        <w:pStyle w:val="Nadpis4"/>
      </w:pPr>
      <w:r>
        <w:t>Analýza dopadu</w:t>
      </w:r>
    </w:p>
    <w:p w14:paraId="22D307D7" w14:textId="77777777" w:rsidR="005E7900" w:rsidRDefault="005E7900" w:rsidP="005E7900">
      <w:r>
        <w:t>Kap. 3.3.2.3. Pokynů</w:t>
      </w:r>
    </w:p>
    <w:p w14:paraId="14E0930F" w14:textId="77777777" w:rsidR="005E7900" w:rsidRDefault="005E7900" w:rsidP="005E7900">
      <w:r w:rsidRPr="00416039">
        <w:t xml:space="preserve">Tato část posouzení rizik se zabývá důsledky, pokud dojde k určeným klimatickým nebezpečím. Důsledky se obvykle týkají hmotných aktiv, zdraví a bezpečnosti, dopadů na životní prostředí, sociálních dopadů, dopadu na přístupnost pro osoby se zdravotním postižením, finančních dopadů a rizika poškození dobré pověsti. </w:t>
      </w:r>
    </w:p>
    <w:p w14:paraId="067652A9" w14:textId="77777777" w:rsidR="005E7900" w:rsidRDefault="005E7900" w:rsidP="005E7900">
      <w:r w:rsidRPr="00416039">
        <w:rPr>
          <w:noProof/>
        </w:rPr>
        <w:lastRenderedPageBreak/>
        <w:drawing>
          <wp:inline distT="0" distB="0" distL="0" distR="0" wp14:anchorId="69E50D0A" wp14:editId="13322701">
            <wp:extent cx="5760720" cy="2259330"/>
            <wp:effectExtent l="0" t="0" r="0" b="7620"/>
            <wp:docPr id="163780228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259330"/>
                    </a:xfrm>
                    <a:prstGeom prst="rect">
                      <a:avLst/>
                    </a:prstGeom>
                    <a:noFill/>
                    <a:ln>
                      <a:noFill/>
                    </a:ln>
                  </pic:spPr>
                </pic:pic>
              </a:graphicData>
            </a:graphic>
          </wp:inline>
        </w:drawing>
      </w:r>
    </w:p>
    <w:p w14:paraId="044DD751" w14:textId="77777777" w:rsidR="005E7900" w:rsidRDefault="005E7900" w:rsidP="005E7900"/>
    <w:p w14:paraId="394A0190" w14:textId="77777777" w:rsidR="005E7900" w:rsidRDefault="005E7900" w:rsidP="005E7900">
      <w:pPr>
        <w:pStyle w:val="Nadpis4"/>
      </w:pPr>
      <w:r>
        <w:t>Analýza rizik</w:t>
      </w:r>
    </w:p>
    <w:p w14:paraId="672AC18F" w14:textId="77777777" w:rsidR="005E7900" w:rsidRDefault="005E7900" w:rsidP="005E7900">
      <w:r>
        <w:t>Kap. 3.3.2.4. Pokynů</w:t>
      </w:r>
    </w:p>
    <w:p w14:paraId="6E507964" w14:textId="77777777" w:rsidR="005E7900" w:rsidRDefault="005E7900" w:rsidP="005E7900">
      <w:pPr>
        <w:pStyle w:val="CM3"/>
      </w:pPr>
    </w:p>
    <w:p w14:paraId="204DE77E" w14:textId="77777777" w:rsidR="005E7900" w:rsidRDefault="005E7900" w:rsidP="005E7900">
      <w:r w:rsidRPr="00A76EB9">
        <w:t>Po posouzení pravděpodobnosti a dopadu každého nebezpečí může být odhadnuta hladina významnosti každého potenciálního rizika zkombinováním těchto dvou faktorů. Rizika mohou být zanesena do matice rizik, aby tak byla zjištěna rizika, u nichž je třeba přijmout adaptační opatření.</w:t>
      </w:r>
    </w:p>
    <w:p w14:paraId="67B6917B" w14:textId="77777777" w:rsidR="005E7900" w:rsidRDefault="005E7900" w:rsidP="005E7900"/>
    <w:tbl>
      <w:tblPr>
        <w:tblW w:w="8040" w:type="dxa"/>
        <w:tblCellMar>
          <w:left w:w="70" w:type="dxa"/>
          <w:right w:w="70" w:type="dxa"/>
        </w:tblCellMar>
        <w:tblLook w:val="04A0" w:firstRow="1" w:lastRow="0" w:firstColumn="1" w:lastColumn="0" w:noHBand="0" w:noVBand="1"/>
      </w:tblPr>
      <w:tblGrid>
        <w:gridCol w:w="960"/>
        <w:gridCol w:w="1720"/>
        <w:gridCol w:w="1197"/>
        <w:gridCol w:w="960"/>
        <w:gridCol w:w="960"/>
        <w:gridCol w:w="960"/>
        <w:gridCol w:w="1323"/>
      </w:tblGrid>
      <w:tr w:rsidR="005E7900" w:rsidRPr="00A76EB9" w14:paraId="7D91CEF7" w14:textId="77777777" w:rsidTr="005D010A">
        <w:trPr>
          <w:trHeight w:val="636"/>
        </w:trPr>
        <w:tc>
          <w:tcPr>
            <w:tcW w:w="268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61F80B2D" w14:textId="77777777" w:rsidR="005E7900" w:rsidRPr="00A76EB9" w:rsidRDefault="005E7900" w:rsidP="005D010A">
            <w:pPr>
              <w:spacing w:after="0" w:line="240" w:lineRule="auto"/>
              <w:rPr>
                <w:rFonts w:ascii="Calibri" w:eastAsia="Times New Roman" w:hAnsi="Calibri" w:cs="Calibri"/>
                <w:b/>
                <w:bCs/>
                <w:color w:val="000000"/>
                <w:sz w:val="24"/>
                <w:szCs w:val="24"/>
                <w:lang w:eastAsia="cs-CZ"/>
              </w:rPr>
            </w:pPr>
            <w:r w:rsidRPr="00A76EB9">
              <w:rPr>
                <w:rFonts w:ascii="Calibri" w:eastAsia="Times New Roman" w:hAnsi="Calibri" w:cs="Calibri"/>
                <w:b/>
                <w:bCs/>
                <w:color w:val="000000"/>
                <w:sz w:val="24"/>
                <w:szCs w:val="24"/>
                <w:lang w:eastAsia="cs-CZ"/>
              </w:rPr>
              <w:t>ANALÝZA RIZIK</w:t>
            </w:r>
          </w:p>
        </w:tc>
        <w:tc>
          <w:tcPr>
            <w:tcW w:w="1160" w:type="dxa"/>
            <w:tcBorders>
              <w:top w:val="single" w:sz="8" w:space="0" w:color="auto"/>
              <w:left w:val="nil"/>
              <w:bottom w:val="single" w:sz="8" w:space="0" w:color="auto"/>
              <w:right w:val="nil"/>
            </w:tcBorders>
            <w:shd w:val="clear" w:color="000000" w:fill="BFBFBF"/>
            <w:noWrap/>
            <w:vAlign w:val="bottom"/>
            <w:hideMark/>
          </w:tcPr>
          <w:p w14:paraId="03D1A1FB"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single" w:sz="8" w:space="0" w:color="auto"/>
              <w:left w:val="nil"/>
              <w:bottom w:val="single" w:sz="8" w:space="0" w:color="auto"/>
              <w:right w:val="nil"/>
            </w:tcBorders>
            <w:shd w:val="clear" w:color="000000" w:fill="BFBFBF"/>
            <w:noWrap/>
            <w:vAlign w:val="bottom"/>
            <w:hideMark/>
          </w:tcPr>
          <w:p w14:paraId="1C3FCB7D"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single" w:sz="8" w:space="0" w:color="auto"/>
              <w:left w:val="nil"/>
              <w:bottom w:val="single" w:sz="8" w:space="0" w:color="auto"/>
              <w:right w:val="nil"/>
            </w:tcBorders>
            <w:shd w:val="clear" w:color="000000" w:fill="BFBFBF"/>
            <w:noWrap/>
            <w:vAlign w:val="bottom"/>
            <w:hideMark/>
          </w:tcPr>
          <w:p w14:paraId="566E41D1"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single" w:sz="8" w:space="0" w:color="auto"/>
              <w:left w:val="nil"/>
              <w:bottom w:val="single" w:sz="8" w:space="0" w:color="auto"/>
              <w:right w:val="nil"/>
            </w:tcBorders>
            <w:shd w:val="clear" w:color="000000" w:fill="BFBFBF"/>
            <w:noWrap/>
            <w:vAlign w:val="bottom"/>
            <w:hideMark/>
          </w:tcPr>
          <w:p w14:paraId="5EDFCCBC"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single" w:sz="8" w:space="0" w:color="auto"/>
              <w:left w:val="nil"/>
              <w:bottom w:val="single" w:sz="8" w:space="0" w:color="auto"/>
              <w:right w:val="single" w:sz="8" w:space="0" w:color="auto"/>
            </w:tcBorders>
            <w:shd w:val="clear" w:color="000000" w:fill="BFBFBF"/>
            <w:noWrap/>
            <w:vAlign w:val="bottom"/>
            <w:hideMark/>
          </w:tcPr>
          <w:p w14:paraId="4ABE3205"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405F7C5F" w14:textId="77777777" w:rsidTr="005D010A">
        <w:trPr>
          <w:trHeight w:val="288"/>
        </w:trPr>
        <w:tc>
          <w:tcPr>
            <w:tcW w:w="2680" w:type="dxa"/>
            <w:gridSpan w:val="2"/>
            <w:vMerge w:val="restart"/>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5DBDE22C"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5360" w:type="dxa"/>
            <w:gridSpan w:val="5"/>
            <w:tcBorders>
              <w:top w:val="single" w:sz="8" w:space="0" w:color="auto"/>
              <w:left w:val="nil"/>
              <w:bottom w:val="single" w:sz="4" w:space="0" w:color="auto"/>
              <w:right w:val="single" w:sz="8" w:space="0" w:color="000000"/>
            </w:tcBorders>
            <w:shd w:val="clear" w:color="000000" w:fill="F2F2F2"/>
            <w:noWrap/>
            <w:vAlign w:val="bottom"/>
            <w:hideMark/>
          </w:tcPr>
          <w:p w14:paraId="589AA958" w14:textId="77777777" w:rsidR="005E7900" w:rsidRPr="00A76EB9" w:rsidRDefault="005E7900" w:rsidP="005D010A">
            <w:pPr>
              <w:spacing w:after="0" w:line="240" w:lineRule="auto"/>
              <w:jc w:val="center"/>
              <w:rPr>
                <w:rFonts w:ascii="Calibri" w:eastAsia="Times New Roman" w:hAnsi="Calibri" w:cs="Calibri"/>
                <w:b/>
                <w:bCs/>
                <w:color w:val="000000"/>
                <w:lang w:eastAsia="cs-CZ"/>
              </w:rPr>
            </w:pPr>
            <w:r w:rsidRPr="00A76EB9">
              <w:rPr>
                <w:rFonts w:ascii="Calibri" w:eastAsia="Times New Roman" w:hAnsi="Calibri" w:cs="Calibri"/>
                <w:b/>
                <w:bCs/>
                <w:color w:val="000000"/>
                <w:lang w:eastAsia="cs-CZ"/>
              </w:rPr>
              <w:t>DOPAD</w:t>
            </w:r>
          </w:p>
        </w:tc>
      </w:tr>
      <w:tr w:rsidR="005E7900" w:rsidRPr="00A76EB9" w14:paraId="358E4857" w14:textId="77777777" w:rsidTr="005D010A">
        <w:trPr>
          <w:trHeight w:val="288"/>
        </w:trPr>
        <w:tc>
          <w:tcPr>
            <w:tcW w:w="2680" w:type="dxa"/>
            <w:gridSpan w:val="2"/>
            <w:vMerge/>
            <w:tcBorders>
              <w:top w:val="single" w:sz="8" w:space="0" w:color="auto"/>
              <w:left w:val="single" w:sz="8" w:space="0" w:color="auto"/>
              <w:bottom w:val="single" w:sz="4" w:space="0" w:color="auto"/>
              <w:right w:val="single" w:sz="4" w:space="0" w:color="auto"/>
            </w:tcBorders>
            <w:vAlign w:val="center"/>
            <w:hideMark/>
          </w:tcPr>
          <w:p w14:paraId="2A331577" w14:textId="77777777" w:rsidR="005E7900" w:rsidRPr="00A76EB9" w:rsidRDefault="005E7900" w:rsidP="005D010A">
            <w:pPr>
              <w:spacing w:after="0" w:line="240" w:lineRule="auto"/>
              <w:rPr>
                <w:rFonts w:ascii="Calibri" w:eastAsia="Times New Roman" w:hAnsi="Calibri" w:cs="Calibri"/>
                <w:color w:val="000000"/>
                <w:lang w:eastAsia="cs-CZ"/>
              </w:rPr>
            </w:pPr>
          </w:p>
        </w:tc>
        <w:tc>
          <w:tcPr>
            <w:tcW w:w="1160" w:type="dxa"/>
            <w:tcBorders>
              <w:top w:val="nil"/>
              <w:left w:val="nil"/>
              <w:bottom w:val="single" w:sz="4" w:space="0" w:color="auto"/>
              <w:right w:val="single" w:sz="4" w:space="0" w:color="auto"/>
            </w:tcBorders>
            <w:shd w:val="clear" w:color="000000" w:fill="F2F2F2"/>
            <w:vAlign w:val="bottom"/>
            <w:hideMark/>
          </w:tcPr>
          <w:p w14:paraId="04CB3E9D" w14:textId="77777777" w:rsidR="005E7900" w:rsidRPr="00A76EB9" w:rsidRDefault="005E7900" w:rsidP="005D010A">
            <w:pPr>
              <w:spacing w:after="0" w:line="240" w:lineRule="auto"/>
              <w:jc w:val="center"/>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NEVÝZNAMNÝ</w:t>
            </w:r>
          </w:p>
        </w:tc>
        <w:tc>
          <w:tcPr>
            <w:tcW w:w="960" w:type="dxa"/>
            <w:tcBorders>
              <w:top w:val="nil"/>
              <w:left w:val="nil"/>
              <w:bottom w:val="single" w:sz="4" w:space="0" w:color="auto"/>
              <w:right w:val="single" w:sz="4" w:space="0" w:color="auto"/>
            </w:tcBorders>
            <w:shd w:val="clear" w:color="000000" w:fill="F2F2F2"/>
            <w:vAlign w:val="bottom"/>
            <w:hideMark/>
          </w:tcPr>
          <w:p w14:paraId="042DD259" w14:textId="77777777" w:rsidR="005E7900" w:rsidRPr="00A76EB9" w:rsidRDefault="005E7900" w:rsidP="005D010A">
            <w:pPr>
              <w:spacing w:after="0" w:line="240" w:lineRule="auto"/>
              <w:jc w:val="center"/>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MALÝ</w:t>
            </w:r>
          </w:p>
        </w:tc>
        <w:tc>
          <w:tcPr>
            <w:tcW w:w="960" w:type="dxa"/>
            <w:tcBorders>
              <w:top w:val="nil"/>
              <w:left w:val="nil"/>
              <w:bottom w:val="single" w:sz="4" w:space="0" w:color="auto"/>
              <w:right w:val="single" w:sz="4" w:space="0" w:color="auto"/>
            </w:tcBorders>
            <w:shd w:val="clear" w:color="000000" w:fill="F2F2F2"/>
            <w:vAlign w:val="bottom"/>
            <w:hideMark/>
          </w:tcPr>
          <w:p w14:paraId="6CEB547B" w14:textId="77777777" w:rsidR="005E7900" w:rsidRPr="00A76EB9" w:rsidRDefault="005E7900" w:rsidP="005D010A">
            <w:pPr>
              <w:spacing w:after="0" w:line="240" w:lineRule="auto"/>
              <w:jc w:val="center"/>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NEVELKÝ</w:t>
            </w:r>
          </w:p>
        </w:tc>
        <w:tc>
          <w:tcPr>
            <w:tcW w:w="960" w:type="dxa"/>
            <w:tcBorders>
              <w:top w:val="nil"/>
              <w:left w:val="nil"/>
              <w:bottom w:val="single" w:sz="4" w:space="0" w:color="auto"/>
              <w:right w:val="single" w:sz="4" w:space="0" w:color="auto"/>
            </w:tcBorders>
            <w:shd w:val="clear" w:color="000000" w:fill="F2F2F2"/>
            <w:vAlign w:val="bottom"/>
            <w:hideMark/>
          </w:tcPr>
          <w:p w14:paraId="1B14DCB6" w14:textId="77777777" w:rsidR="005E7900" w:rsidRPr="00A76EB9" w:rsidRDefault="005E7900" w:rsidP="005D010A">
            <w:pPr>
              <w:spacing w:after="0" w:line="240" w:lineRule="auto"/>
              <w:jc w:val="center"/>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VELKÝ</w:t>
            </w:r>
          </w:p>
        </w:tc>
        <w:tc>
          <w:tcPr>
            <w:tcW w:w="1320" w:type="dxa"/>
            <w:tcBorders>
              <w:top w:val="nil"/>
              <w:left w:val="nil"/>
              <w:bottom w:val="single" w:sz="4" w:space="0" w:color="auto"/>
              <w:right w:val="single" w:sz="8" w:space="0" w:color="auto"/>
            </w:tcBorders>
            <w:shd w:val="clear" w:color="000000" w:fill="F2F2F2"/>
            <w:vAlign w:val="bottom"/>
            <w:hideMark/>
          </w:tcPr>
          <w:p w14:paraId="0A63E67F" w14:textId="77777777" w:rsidR="005E7900" w:rsidRPr="00A76EB9" w:rsidRDefault="005E7900" w:rsidP="005D010A">
            <w:pPr>
              <w:spacing w:after="0" w:line="240" w:lineRule="auto"/>
              <w:jc w:val="center"/>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KATASTROFICKÝ</w:t>
            </w:r>
          </w:p>
        </w:tc>
      </w:tr>
      <w:tr w:rsidR="005E7900" w:rsidRPr="00A76EB9" w14:paraId="270D459A" w14:textId="77777777" w:rsidTr="005D010A">
        <w:trPr>
          <w:trHeight w:val="432"/>
        </w:trPr>
        <w:tc>
          <w:tcPr>
            <w:tcW w:w="96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E79FFE8" w14:textId="77777777" w:rsidR="005E7900" w:rsidRPr="00A76EB9" w:rsidRDefault="005E7900" w:rsidP="005D010A">
            <w:pPr>
              <w:spacing w:after="0" w:line="240" w:lineRule="auto"/>
              <w:jc w:val="center"/>
              <w:rPr>
                <w:rFonts w:ascii="Calibri" w:eastAsia="Times New Roman" w:hAnsi="Calibri" w:cs="Calibri"/>
                <w:b/>
                <w:bCs/>
                <w:color w:val="000000"/>
                <w:lang w:eastAsia="cs-CZ"/>
              </w:rPr>
            </w:pPr>
            <w:r w:rsidRPr="00A76EB9">
              <w:rPr>
                <w:rFonts w:ascii="Calibri" w:eastAsia="Times New Roman" w:hAnsi="Calibri" w:cs="Calibri"/>
                <w:b/>
                <w:bCs/>
                <w:color w:val="000000"/>
                <w:lang w:eastAsia="cs-CZ"/>
              </w:rPr>
              <w:t>PRAVDĚPODOBNOST VÝSKYTU</w:t>
            </w:r>
          </w:p>
        </w:tc>
        <w:tc>
          <w:tcPr>
            <w:tcW w:w="1720" w:type="dxa"/>
            <w:tcBorders>
              <w:top w:val="nil"/>
              <w:left w:val="nil"/>
              <w:bottom w:val="single" w:sz="4" w:space="0" w:color="auto"/>
              <w:right w:val="single" w:sz="4" w:space="0" w:color="auto"/>
            </w:tcBorders>
            <w:shd w:val="clear" w:color="000000" w:fill="F2F2F2"/>
            <w:vAlign w:val="center"/>
            <w:hideMark/>
          </w:tcPr>
          <w:p w14:paraId="195B3A01" w14:textId="77777777" w:rsidR="005E7900" w:rsidRPr="00A76EB9" w:rsidRDefault="005E7900" w:rsidP="005D010A">
            <w:pPr>
              <w:spacing w:after="0" w:line="240" w:lineRule="auto"/>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VZÁCNÉ</w:t>
            </w:r>
          </w:p>
        </w:tc>
        <w:tc>
          <w:tcPr>
            <w:tcW w:w="1160" w:type="dxa"/>
            <w:tcBorders>
              <w:top w:val="nil"/>
              <w:left w:val="nil"/>
              <w:bottom w:val="single" w:sz="4" w:space="0" w:color="auto"/>
              <w:right w:val="single" w:sz="4" w:space="0" w:color="auto"/>
            </w:tcBorders>
            <w:shd w:val="clear" w:color="000000" w:fill="A9D08E"/>
            <w:noWrap/>
            <w:vAlign w:val="center"/>
            <w:hideMark/>
          </w:tcPr>
          <w:p w14:paraId="5BCD0038"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A9D08E"/>
            <w:noWrap/>
            <w:vAlign w:val="center"/>
            <w:hideMark/>
          </w:tcPr>
          <w:p w14:paraId="628E4599"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A9D08E"/>
            <w:noWrap/>
            <w:vAlign w:val="center"/>
            <w:hideMark/>
          </w:tcPr>
          <w:p w14:paraId="0710F5F2"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30B805F4"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nil"/>
              <w:left w:val="nil"/>
              <w:bottom w:val="single" w:sz="4" w:space="0" w:color="auto"/>
              <w:right w:val="single" w:sz="8" w:space="0" w:color="auto"/>
            </w:tcBorders>
            <w:shd w:val="clear" w:color="000000" w:fill="F8CBAD"/>
            <w:noWrap/>
            <w:vAlign w:val="center"/>
            <w:hideMark/>
          </w:tcPr>
          <w:p w14:paraId="1EC92E98"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2E25A672" w14:textId="77777777" w:rsidTr="005D010A">
        <w:trPr>
          <w:trHeight w:val="432"/>
        </w:trPr>
        <w:tc>
          <w:tcPr>
            <w:tcW w:w="960" w:type="dxa"/>
            <w:vMerge/>
            <w:tcBorders>
              <w:top w:val="nil"/>
              <w:left w:val="single" w:sz="8" w:space="0" w:color="auto"/>
              <w:bottom w:val="single" w:sz="8" w:space="0" w:color="000000"/>
              <w:right w:val="single" w:sz="4" w:space="0" w:color="auto"/>
            </w:tcBorders>
            <w:vAlign w:val="center"/>
            <w:hideMark/>
          </w:tcPr>
          <w:p w14:paraId="4333EA41" w14:textId="77777777" w:rsidR="005E7900" w:rsidRPr="00A76EB9" w:rsidRDefault="005E7900" w:rsidP="005D010A">
            <w:pPr>
              <w:spacing w:after="0" w:line="240" w:lineRule="auto"/>
              <w:rPr>
                <w:rFonts w:ascii="Calibri" w:eastAsia="Times New Roman" w:hAnsi="Calibri" w:cs="Calibri"/>
                <w:b/>
                <w:bCs/>
                <w:color w:val="000000"/>
                <w:lang w:eastAsia="cs-CZ"/>
              </w:rPr>
            </w:pPr>
          </w:p>
        </w:tc>
        <w:tc>
          <w:tcPr>
            <w:tcW w:w="1720" w:type="dxa"/>
            <w:tcBorders>
              <w:top w:val="nil"/>
              <w:left w:val="nil"/>
              <w:bottom w:val="single" w:sz="4" w:space="0" w:color="auto"/>
              <w:right w:val="single" w:sz="4" w:space="0" w:color="auto"/>
            </w:tcBorders>
            <w:shd w:val="clear" w:color="000000" w:fill="F2F2F2"/>
            <w:vAlign w:val="center"/>
            <w:hideMark/>
          </w:tcPr>
          <w:p w14:paraId="39AE9A21" w14:textId="77777777" w:rsidR="005E7900" w:rsidRPr="00A76EB9" w:rsidRDefault="005E7900" w:rsidP="005D010A">
            <w:pPr>
              <w:spacing w:after="0" w:line="240" w:lineRule="auto"/>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NEPRAVDĚPODOBNÉ</w:t>
            </w:r>
          </w:p>
        </w:tc>
        <w:tc>
          <w:tcPr>
            <w:tcW w:w="1160" w:type="dxa"/>
            <w:tcBorders>
              <w:top w:val="nil"/>
              <w:left w:val="nil"/>
              <w:bottom w:val="single" w:sz="4" w:space="0" w:color="auto"/>
              <w:right w:val="single" w:sz="4" w:space="0" w:color="auto"/>
            </w:tcBorders>
            <w:shd w:val="clear" w:color="000000" w:fill="A9D08E"/>
            <w:noWrap/>
            <w:vAlign w:val="center"/>
            <w:hideMark/>
          </w:tcPr>
          <w:p w14:paraId="7A5BA7A5"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A9D08E"/>
            <w:noWrap/>
            <w:vAlign w:val="center"/>
            <w:hideMark/>
          </w:tcPr>
          <w:p w14:paraId="293B65F8"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66C3ACD7"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8CBAD"/>
            <w:noWrap/>
            <w:vAlign w:val="center"/>
            <w:hideMark/>
          </w:tcPr>
          <w:p w14:paraId="7BCA9476"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nil"/>
              <w:left w:val="nil"/>
              <w:bottom w:val="single" w:sz="4" w:space="0" w:color="auto"/>
              <w:right w:val="single" w:sz="8" w:space="0" w:color="auto"/>
            </w:tcBorders>
            <w:shd w:val="clear" w:color="000000" w:fill="F8CBAD"/>
            <w:noWrap/>
            <w:vAlign w:val="center"/>
            <w:hideMark/>
          </w:tcPr>
          <w:p w14:paraId="25AE6356"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605AA155" w14:textId="77777777" w:rsidTr="005D010A">
        <w:trPr>
          <w:trHeight w:val="432"/>
        </w:trPr>
        <w:tc>
          <w:tcPr>
            <w:tcW w:w="960" w:type="dxa"/>
            <w:vMerge/>
            <w:tcBorders>
              <w:top w:val="nil"/>
              <w:left w:val="single" w:sz="8" w:space="0" w:color="auto"/>
              <w:bottom w:val="single" w:sz="8" w:space="0" w:color="000000"/>
              <w:right w:val="single" w:sz="4" w:space="0" w:color="auto"/>
            </w:tcBorders>
            <w:vAlign w:val="center"/>
            <w:hideMark/>
          </w:tcPr>
          <w:p w14:paraId="756F32D6" w14:textId="77777777" w:rsidR="005E7900" w:rsidRPr="00A76EB9" w:rsidRDefault="005E7900" w:rsidP="005D010A">
            <w:pPr>
              <w:spacing w:after="0" w:line="240" w:lineRule="auto"/>
              <w:rPr>
                <w:rFonts w:ascii="Calibri" w:eastAsia="Times New Roman" w:hAnsi="Calibri" w:cs="Calibri"/>
                <w:b/>
                <w:bCs/>
                <w:color w:val="000000"/>
                <w:lang w:eastAsia="cs-CZ"/>
              </w:rPr>
            </w:pPr>
          </w:p>
        </w:tc>
        <w:tc>
          <w:tcPr>
            <w:tcW w:w="1720" w:type="dxa"/>
            <w:tcBorders>
              <w:top w:val="nil"/>
              <w:left w:val="nil"/>
              <w:bottom w:val="single" w:sz="4" w:space="0" w:color="auto"/>
              <w:right w:val="single" w:sz="4" w:space="0" w:color="auto"/>
            </w:tcBorders>
            <w:shd w:val="clear" w:color="000000" w:fill="F2F2F2"/>
            <w:vAlign w:val="center"/>
            <w:hideMark/>
          </w:tcPr>
          <w:p w14:paraId="45FE2A43" w14:textId="77777777" w:rsidR="005E7900" w:rsidRPr="00A76EB9" w:rsidRDefault="005E7900" w:rsidP="005D010A">
            <w:pPr>
              <w:spacing w:after="0" w:line="240" w:lineRule="auto"/>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STŘEDNÍ</w:t>
            </w:r>
          </w:p>
        </w:tc>
        <w:tc>
          <w:tcPr>
            <w:tcW w:w="1160" w:type="dxa"/>
            <w:tcBorders>
              <w:top w:val="nil"/>
              <w:left w:val="nil"/>
              <w:bottom w:val="single" w:sz="4" w:space="0" w:color="auto"/>
              <w:right w:val="single" w:sz="4" w:space="0" w:color="auto"/>
            </w:tcBorders>
            <w:shd w:val="clear" w:color="000000" w:fill="A9D08E"/>
            <w:noWrap/>
            <w:vAlign w:val="center"/>
            <w:hideMark/>
          </w:tcPr>
          <w:p w14:paraId="42A8232F"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75A898E"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8CBAD"/>
            <w:noWrap/>
            <w:vAlign w:val="center"/>
            <w:hideMark/>
          </w:tcPr>
          <w:p w14:paraId="775BF15D"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8CBAD"/>
            <w:noWrap/>
            <w:vAlign w:val="center"/>
            <w:hideMark/>
          </w:tcPr>
          <w:p w14:paraId="1D476264"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nil"/>
              <w:left w:val="nil"/>
              <w:bottom w:val="single" w:sz="4" w:space="0" w:color="auto"/>
              <w:right w:val="single" w:sz="8" w:space="0" w:color="auto"/>
            </w:tcBorders>
            <w:shd w:val="clear" w:color="000000" w:fill="FF0000"/>
            <w:noWrap/>
            <w:vAlign w:val="center"/>
            <w:hideMark/>
          </w:tcPr>
          <w:p w14:paraId="5696557E"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52CAF393" w14:textId="77777777" w:rsidTr="005D010A">
        <w:trPr>
          <w:trHeight w:val="432"/>
        </w:trPr>
        <w:tc>
          <w:tcPr>
            <w:tcW w:w="960" w:type="dxa"/>
            <w:vMerge/>
            <w:tcBorders>
              <w:top w:val="nil"/>
              <w:left w:val="single" w:sz="8" w:space="0" w:color="auto"/>
              <w:bottom w:val="single" w:sz="8" w:space="0" w:color="000000"/>
              <w:right w:val="single" w:sz="4" w:space="0" w:color="auto"/>
            </w:tcBorders>
            <w:vAlign w:val="center"/>
            <w:hideMark/>
          </w:tcPr>
          <w:p w14:paraId="0FEC1C90" w14:textId="77777777" w:rsidR="005E7900" w:rsidRPr="00A76EB9" w:rsidRDefault="005E7900" w:rsidP="005D010A">
            <w:pPr>
              <w:spacing w:after="0" w:line="240" w:lineRule="auto"/>
              <w:rPr>
                <w:rFonts w:ascii="Calibri" w:eastAsia="Times New Roman" w:hAnsi="Calibri" w:cs="Calibri"/>
                <w:b/>
                <w:bCs/>
                <w:color w:val="000000"/>
                <w:lang w:eastAsia="cs-CZ"/>
              </w:rPr>
            </w:pPr>
          </w:p>
        </w:tc>
        <w:tc>
          <w:tcPr>
            <w:tcW w:w="1720" w:type="dxa"/>
            <w:tcBorders>
              <w:top w:val="nil"/>
              <w:left w:val="nil"/>
              <w:bottom w:val="single" w:sz="4" w:space="0" w:color="auto"/>
              <w:right w:val="single" w:sz="4" w:space="0" w:color="auto"/>
            </w:tcBorders>
            <w:shd w:val="clear" w:color="000000" w:fill="F2F2F2"/>
            <w:vAlign w:val="center"/>
            <w:hideMark/>
          </w:tcPr>
          <w:p w14:paraId="70107C41" w14:textId="77777777" w:rsidR="005E7900" w:rsidRPr="00A76EB9" w:rsidRDefault="005E7900" w:rsidP="005D010A">
            <w:pPr>
              <w:spacing w:after="0" w:line="240" w:lineRule="auto"/>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PRAVDĚPODOBNÉ</w:t>
            </w:r>
          </w:p>
        </w:tc>
        <w:tc>
          <w:tcPr>
            <w:tcW w:w="1160" w:type="dxa"/>
            <w:tcBorders>
              <w:top w:val="nil"/>
              <w:left w:val="nil"/>
              <w:bottom w:val="single" w:sz="4" w:space="0" w:color="auto"/>
              <w:right w:val="single" w:sz="4" w:space="0" w:color="auto"/>
            </w:tcBorders>
            <w:shd w:val="clear" w:color="000000" w:fill="FFFF00"/>
            <w:noWrap/>
            <w:vAlign w:val="center"/>
            <w:hideMark/>
          </w:tcPr>
          <w:p w14:paraId="437BAF71" w14:textId="77777777" w:rsidR="005E7900" w:rsidRPr="00A76EB9" w:rsidRDefault="005E7900" w:rsidP="005D010A">
            <w:pPr>
              <w:spacing w:after="0" w:line="240" w:lineRule="auto"/>
              <w:jc w:val="center"/>
              <w:rPr>
                <w:rFonts w:ascii="Calibri" w:eastAsia="Times New Roman" w:hAnsi="Calibri" w:cs="Calibri"/>
                <w:b/>
                <w:bCs/>
                <w:color w:val="000000"/>
                <w:lang w:eastAsia="cs-CZ"/>
              </w:rPr>
            </w:pPr>
            <w:r w:rsidRPr="00A76EB9">
              <w:rPr>
                <w:rFonts w:ascii="Calibri" w:eastAsia="Times New Roman" w:hAnsi="Calibri" w:cs="Calibri"/>
                <w:b/>
                <w:bCs/>
                <w:color w:val="000000"/>
                <w:sz w:val="28"/>
                <w:szCs w:val="28"/>
                <w:lang w:eastAsia="cs-CZ"/>
              </w:rPr>
              <w:t>X</w:t>
            </w:r>
          </w:p>
        </w:tc>
        <w:tc>
          <w:tcPr>
            <w:tcW w:w="960" w:type="dxa"/>
            <w:tcBorders>
              <w:top w:val="nil"/>
              <w:left w:val="nil"/>
              <w:bottom w:val="single" w:sz="4" w:space="0" w:color="auto"/>
              <w:right w:val="single" w:sz="4" w:space="0" w:color="auto"/>
            </w:tcBorders>
            <w:shd w:val="clear" w:color="000000" w:fill="F8CBAD"/>
            <w:noWrap/>
            <w:vAlign w:val="center"/>
            <w:hideMark/>
          </w:tcPr>
          <w:p w14:paraId="7B065631"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8CBAD"/>
            <w:noWrap/>
            <w:vAlign w:val="center"/>
            <w:hideMark/>
          </w:tcPr>
          <w:p w14:paraId="3D259554"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65DE9759"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nil"/>
              <w:left w:val="nil"/>
              <w:bottom w:val="single" w:sz="4" w:space="0" w:color="auto"/>
              <w:right w:val="single" w:sz="8" w:space="0" w:color="auto"/>
            </w:tcBorders>
            <w:shd w:val="clear" w:color="000000" w:fill="FF0000"/>
            <w:noWrap/>
            <w:vAlign w:val="center"/>
            <w:hideMark/>
          </w:tcPr>
          <w:p w14:paraId="27611763"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03FA1ACE" w14:textId="77777777" w:rsidTr="005D010A">
        <w:trPr>
          <w:trHeight w:val="432"/>
        </w:trPr>
        <w:tc>
          <w:tcPr>
            <w:tcW w:w="960" w:type="dxa"/>
            <w:vMerge/>
            <w:tcBorders>
              <w:top w:val="nil"/>
              <w:left w:val="single" w:sz="8" w:space="0" w:color="auto"/>
              <w:bottom w:val="single" w:sz="8" w:space="0" w:color="000000"/>
              <w:right w:val="single" w:sz="4" w:space="0" w:color="auto"/>
            </w:tcBorders>
            <w:vAlign w:val="center"/>
            <w:hideMark/>
          </w:tcPr>
          <w:p w14:paraId="4EEF3A99" w14:textId="77777777" w:rsidR="005E7900" w:rsidRPr="00A76EB9" w:rsidRDefault="005E7900" w:rsidP="005D010A">
            <w:pPr>
              <w:spacing w:after="0" w:line="240" w:lineRule="auto"/>
              <w:rPr>
                <w:rFonts w:ascii="Calibri" w:eastAsia="Times New Roman" w:hAnsi="Calibri" w:cs="Calibri"/>
                <w:b/>
                <w:bCs/>
                <w:color w:val="000000"/>
                <w:lang w:eastAsia="cs-CZ"/>
              </w:rPr>
            </w:pPr>
          </w:p>
        </w:tc>
        <w:tc>
          <w:tcPr>
            <w:tcW w:w="1720" w:type="dxa"/>
            <w:tcBorders>
              <w:top w:val="nil"/>
              <w:left w:val="nil"/>
              <w:bottom w:val="single" w:sz="8" w:space="0" w:color="auto"/>
              <w:right w:val="single" w:sz="4" w:space="0" w:color="auto"/>
            </w:tcBorders>
            <w:shd w:val="clear" w:color="000000" w:fill="F2F2F2"/>
            <w:vAlign w:val="center"/>
            <w:hideMark/>
          </w:tcPr>
          <w:p w14:paraId="4AA7E483" w14:textId="77777777" w:rsidR="005E7900" w:rsidRPr="00A76EB9" w:rsidRDefault="005E7900" w:rsidP="005D010A">
            <w:pPr>
              <w:spacing w:after="0" w:line="240" w:lineRule="auto"/>
              <w:rPr>
                <w:rFonts w:ascii="Calibri" w:eastAsia="Times New Roman" w:hAnsi="Calibri" w:cs="Calibri"/>
                <w:color w:val="000000"/>
                <w:sz w:val="18"/>
                <w:szCs w:val="18"/>
                <w:lang w:eastAsia="cs-CZ"/>
              </w:rPr>
            </w:pPr>
            <w:r w:rsidRPr="00A76EB9">
              <w:rPr>
                <w:rFonts w:ascii="Calibri" w:eastAsia="Times New Roman" w:hAnsi="Calibri" w:cs="Calibri"/>
                <w:color w:val="000000"/>
                <w:sz w:val="18"/>
                <w:szCs w:val="18"/>
                <w:lang w:eastAsia="cs-CZ"/>
              </w:rPr>
              <w:t>TÉMĚŘ JISTÉ</w:t>
            </w:r>
          </w:p>
        </w:tc>
        <w:tc>
          <w:tcPr>
            <w:tcW w:w="1160" w:type="dxa"/>
            <w:tcBorders>
              <w:top w:val="nil"/>
              <w:left w:val="nil"/>
              <w:bottom w:val="single" w:sz="8" w:space="0" w:color="auto"/>
              <w:right w:val="single" w:sz="4" w:space="0" w:color="auto"/>
            </w:tcBorders>
            <w:shd w:val="clear" w:color="000000" w:fill="FFFF00"/>
            <w:noWrap/>
            <w:vAlign w:val="center"/>
            <w:hideMark/>
          </w:tcPr>
          <w:p w14:paraId="25F642C5"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8" w:space="0" w:color="auto"/>
              <w:right w:val="single" w:sz="4" w:space="0" w:color="auto"/>
            </w:tcBorders>
            <w:shd w:val="clear" w:color="000000" w:fill="F8CBAD"/>
            <w:noWrap/>
            <w:vAlign w:val="center"/>
            <w:hideMark/>
          </w:tcPr>
          <w:p w14:paraId="736C367C"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8" w:space="0" w:color="auto"/>
              <w:right w:val="single" w:sz="4" w:space="0" w:color="auto"/>
            </w:tcBorders>
            <w:shd w:val="clear" w:color="000000" w:fill="FF0000"/>
            <w:noWrap/>
            <w:vAlign w:val="center"/>
            <w:hideMark/>
          </w:tcPr>
          <w:p w14:paraId="197338B9"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single" w:sz="8" w:space="0" w:color="auto"/>
              <w:right w:val="single" w:sz="4" w:space="0" w:color="auto"/>
            </w:tcBorders>
            <w:shd w:val="clear" w:color="000000" w:fill="FF0000"/>
            <w:noWrap/>
            <w:vAlign w:val="center"/>
            <w:hideMark/>
          </w:tcPr>
          <w:p w14:paraId="7453C67A"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1320" w:type="dxa"/>
            <w:tcBorders>
              <w:top w:val="nil"/>
              <w:left w:val="nil"/>
              <w:bottom w:val="single" w:sz="8" w:space="0" w:color="auto"/>
              <w:right w:val="single" w:sz="8" w:space="0" w:color="auto"/>
            </w:tcBorders>
            <w:shd w:val="clear" w:color="000000" w:fill="FF0000"/>
            <w:noWrap/>
            <w:vAlign w:val="center"/>
            <w:hideMark/>
          </w:tcPr>
          <w:p w14:paraId="4CF23C24"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r>
      <w:tr w:rsidR="005E7900" w:rsidRPr="00A76EB9" w14:paraId="3D3880A1" w14:textId="77777777" w:rsidTr="005D010A">
        <w:trPr>
          <w:trHeight w:val="288"/>
        </w:trPr>
        <w:tc>
          <w:tcPr>
            <w:tcW w:w="960" w:type="dxa"/>
            <w:tcBorders>
              <w:top w:val="nil"/>
              <w:left w:val="nil"/>
              <w:bottom w:val="nil"/>
              <w:right w:val="nil"/>
            </w:tcBorders>
            <w:shd w:val="clear" w:color="auto" w:fill="auto"/>
            <w:noWrap/>
            <w:vAlign w:val="bottom"/>
            <w:hideMark/>
          </w:tcPr>
          <w:p w14:paraId="2CE30FA1" w14:textId="77777777" w:rsidR="005E7900" w:rsidRPr="00A76EB9" w:rsidRDefault="005E7900" w:rsidP="005D010A">
            <w:pPr>
              <w:spacing w:after="0" w:line="240" w:lineRule="auto"/>
              <w:jc w:val="center"/>
              <w:rPr>
                <w:rFonts w:ascii="Calibri" w:eastAsia="Times New Roman" w:hAnsi="Calibri" w:cs="Calibri"/>
                <w:color w:val="000000"/>
                <w:lang w:eastAsia="cs-CZ"/>
              </w:rPr>
            </w:pPr>
          </w:p>
        </w:tc>
        <w:tc>
          <w:tcPr>
            <w:tcW w:w="1720" w:type="dxa"/>
            <w:tcBorders>
              <w:top w:val="nil"/>
              <w:left w:val="nil"/>
              <w:bottom w:val="nil"/>
              <w:right w:val="nil"/>
            </w:tcBorders>
            <w:shd w:val="clear" w:color="auto" w:fill="auto"/>
            <w:noWrap/>
            <w:vAlign w:val="bottom"/>
            <w:hideMark/>
          </w:tcPr>
          <w:p w14:paraId="1DDB4F35"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160" w:type="dxa"/>
            <w:tcBorders>
              <w:top w:val="nil"/>
              <w:left w:val="nil"/>
              <w:bottom w:val="nil"/>
              <w:right w:val="nil"/>
            </w:tcBorders>
            <w:shd w:val="clear" w:color="auto" w:fill="auto"/>
            <w:noWrap/>
            <w:vAlign w:val="bottom"/>
            <w:hideMark/>
          </w:tcPr>
          <w:p w14:paraId="017A752E"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1EE1FC8"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7460CBB"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5633568"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A049799"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r w:rsidR="005E7900" w:rsidRPr="00A76EB9" w14:paraId="57973386" w14:textId="77777777" w:rsidTr="005D010A">
        <w:trPr>
          <w:trHeight w:val="288"/>
        </w:trPr>
        <w:tc>
          <w:tcPr>
            <w:tcW w:w="960" w:type="dxa"/>
            <w:tcBorders>
              <w:top w:val="nil"/>
              <w:left w:val="nil"/>
              <w:bottom w:val="nil"/>
              <w:right w:val="nil"/>
            </w:tcBorders>
            <w:shd w:val="clear" w:color="auto" w:fill="auto"/>
            <w:noWrap/>
            <w:vAlign w:val="bottom"/>
            <w:hideMark/>
          </w:tcPr>
          <w:p w14:paraId="3BAB753C"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vAlign w:val="center"/>
            <w:hideMark/>
          </w:tcPr>
          <w:p w14:paraId="3BBD42FB" w14:textId="77777777" w:rsidR="005E7900" w:rsidRPr="00A76EB9" w:rsidRDefault="005E7900" w:rsidP="005D010A">
            <w:pPr>
              <w:spacing w:after="0" w:line="240" w:lineRule="auto"/>
              <w:rPr>
                <w:rFonts w:ascii="Calibri" w:eastAsia="Times New Roman" w:hAnsi="Calibri" w:cs="Calibri"/>
                <w:b/>
                <w:bCs/>
                <w:color w:val="000000"/>
                <w:sz w:val="18"/>
                <w:szCs w:val="18"/>
                <w:lang w:eastAsia="cs-CZ"/>
              </w:rPr>
            </w:pPr>
            <w:r w:rsidRPr="00A76EB9">
              <w:rPr>
                <w:rFonts w:ascii="Calibri" w:eastAsia="Times New Roman" w:hAnsi="Calibri" w:cs="Calibri"/>
                <w:b/>
                <w:bCs/>
                <w:color w:val="000000"/>
                <w:sz w:val="18"/>
                <w:szCs w:val="18"/>
                <w:lang w:eastAsia="cs-CZ"/>
              </w:rPr>
              <w:t>Úroveň rizika</w:t>
            </w:r>
          </w:p>
        </w:tc>
        <w:tc>
          <w:tcPr>
            <w:tcW w:w="1160" w:type="dxa"/>
            <w:tcBorders>
              <w:top w:val="nil"/>
              <w:left w:val="nil"/>
              <w:bottom w:val="nil"/>
              <w:right w:val="nil"/>
            </w:tcBorders>
            <w:shd w:val="clear" w:color="auto" w:fill="auto"/>
            <w:noWrap/>
            <w:vAlign w:val="bottom"/>
            <w:hideMark/>
          </w:tcPr>
          <w:p w14:paraId="66BF7C43" w14:textId="77777777" w:rsidR="005E7900" w:rsidRPr="00A76EB9" w:rsidRDefault="005E7900" w:rsidP="005D010A">
            <w:pPr>
              <w:spacing w:after="0" w:line="240" w:lineRule="auto"/>
              <w:rPr>
                <w:rFonts w:ascii="Calibri" w:eastAsia="Times New Roman" w:hAnsi="Calibri" w:cs="Calibri"/>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14:paraId="5B0EF174"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751C42F"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6E01F22"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F172FF3"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r w:rsidR="005E7900" w:rsidRPr="00A76EB9" w14:paraId="5B0FE65D" w14:textId="77777777" w:rsidTr="005D010A">
        <w:trPr>
          <w:trHeight w:val="288"/>
        </w:trPr>
        <w:tc>
          <w:tcPr>
            <w:tcW w:w="960" w:type="dxa"/>
            <w:tcBorders>
              <w:top w:val="nil"/>
              <w:left w:val="nil"/>
              <w:bottom w:val="nil"/>
              <w:right w:val="nil"/>
            </w:tcBorders>
            <w:shd w:val="clear" w:color="auto" w:fill="auto"/>
            <w:noWrap/>
            <w:vAlign w:val="bottom"/>
            <w:hideMark/>
          </w:tcPr>
          <w:p w14:paraId="5EA08900"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4FB49F5D"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16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F528EDF"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14:paraId="7D3FE3EA"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nízká</w:t>
            </w:r>
          </w:p>
        </w:tc>
        <w:tc>
          <w:tcPr>
            <w:tcW w:w="960" w:type="dxa"/>
            <w:tcBorders>
              <w:top w:val="nil"/>
              <w:left w:val="nil"/>
              <w:bottom w:val="nil"/>
              <w:right w:val="nil"/>
            </w:tcBorders>
            <w:shd w:val="clear" w:color="auto" w:fill="auto"/>
            <w:noWrap/>
            <w:vAlign w:val="bottom"/>
            <w:hideMark/>
          </w:tcPr>
          <w:p w14:paraId="17177F39" w14:textId="77777777" w:rsidR="005E7900" w:rsidRPr="00A76EB9" w:rsidRDefault="005E7900" w:rsidP="005D010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7B7860E1"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54299A43"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r w:rsidR="005E7900" w:rsidRPr="00A76EB9" w14:paraId="29637BE4" w14:textId="77777777" w:rsidTr="005D010A">
        <w:trPr>
          <w:trHeight w:val="288"/>
        </w:trPr>
        <w:tc>
          <w:tcPr>
            <w:tcW w:w="960" w:type="dxa"/>
            <w:tcBorders>
              <w:top w:val="nil"/>
              <w:left w:val="nil"/>
              <w:bottom w:val="nil"/>
              <w:right w:val="nil"/>
            </w:tcBorders>
            <w:shd w:val="clear" w:color="auto" w:fill="auto"/>
            <w:noWrap/>
            <w:vAlign w:val="bottom"/>
            <w:hideMark/>
          </w:tcPr>
          <w:p w14:paraId="0C055874"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441F0560"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160" w:type="dxa"/>
            <w:tcBorders>
              <w:top w:val="nil"/>
              <w:left w:val="single" w:sz="4" w:space="0" w:color="auto"/>
              <w:bottom w:val="single" w:sz="4" w:space="0" w:color="auto"/>
              <w:right w:val="single" w:sz="4" w:space="0" w:color="auto"/>
            </w:tcBorders>
            <w:shd w:val="clear" w:color="000000" w:fill="FFFF00"/>
            <w:noWrap/>
            <w:vAlign w:val="center"/>
            <w:hideMark/>
          </w:tcPr>
          <w:p w14:paraId="751E064B"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14:paraId="1BE463F5"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 xml:space="preserve">střední </w:t>
            </w:r>
          </w:p>
        </w:tc>
        <w:tc>
          <w:tcPr>
            <w:tcW w:w="960" w:type="dxa"/>
            <w:tcBorders>
              <w:top w:val="nil"/>
              <w:left w:val="nil"/>
              <w:bottom w:val="nil"/>
              <w:right w:val="nil"/>
            </w:tcBorders>
            <w:shd w:val="clear" w:color="auto" w:fill="auto"/>
            <w:noWrap/>
            <w:vAlign w:val="bottom"/>
            <w:hideMark/>
          </w:tcPr>
          <w:p w14:paraId="23DB7975" w14:textId="77777777" w:rsidR="005E7900" w:rsidRPr="00A76EB9" w:rsidRDefault="005E7900" w:rsidP="005D010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35CF53F9"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6DD54275"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r w:rsidR="005E7900" w:rsidRPr="00A76EB9" w14:paraId="1ED000BB" w14:textId="77777777" w:rsidTr="005D010A">
        <w:trPr>
          <w:trHeight w:val="288"/>
        </w:trPr>
        <w:tc>
          <w:tcPr>
            <w:tcW w:w="960" w:type="dxa"/>
            <w:tcBorders>
              <w:top w:val="nil"/>
              <w:left w:val="nil"/>
              <w:bottom w:val="nil"/>
              <w:right w:val="nil"/>
            </w:tcBorders>
            <w:shd w:val="clear" w:color="auto" w:fill="auto"/>
            <w:noWrap/>
            <w:vAlign w:val="bottom"/>
            <w:hideMark/>
          </w:tcPr>
          <w:p w14:paraId="68949731"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277929F0"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160" w:type="dxa"/>
            <w:tcBorders>
              <w:top w:val="nil"/>
              <w:left w:val="single" w:sz="4" w:space="0" w:color="auto"/>
              <w:bottom w:val="single" w:sz="4" w:space="0" w:color="auto"/>
              <w:right w:val="single" w:sz="4" w:space="0" w:color="auto"/>
            </w:tcBorders>
            <w:shd w:val="clear" w:color="000000" w:fill="F8CBAD"/>
            <w:noWrap/>
            <w:vAlign w:val="center"/>
            <w:hideMark/>
          </w:tcPr>
          <w:p w14:paraId="6E4AAEAE"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14:paraId="421C48E4"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vysoká</w:t>
            </w:r>
          </w:p>
        </w:tc>
        <w:tc>
          <w:tcPr>
            <w:tcW w:w="960" w:type="dxa"/>
            <w:tcBorders>
              <w:top w:val="nil"/>
              <w:left w:val="nil"/>
              <w:bottom w:val="nil"/>
              <w:right w:val="nil"/>
            </w:tcBorders>
            <w:shd w:val="clear" w:color="auto" w:fill="auto"/>
            <w:noWrap/>
            <w:vAlign w:val="bottom"/>
            <w:hideMark/>
          </w:tcPr>
          <w:p w14:paraId="52251A16" w14:textId="77777777" w:rsidR="005E7900" w:rsidRPr="00A76EB9" w:rsidRDefault="005E7900" w:rsidP="005D010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74668DDD"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D5D4941"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r w:rsidR="005E7900" w:rsidRPr="00A76EB9" w14:paraId="20FE682F" w14:textId="77777777" w:rsidTr="005D010A">
        <w:trPr>
          <w:trHeight w:val="288"/>
        </w:trPr>
        <w:tc>
          <w:tcPr>
            <w:tcW w:w="960" w:type="dxa"/>
            <w:tcBorders>
              <w:top w:val="nil"/>
              <w:left w:val="nil"/>
              <w:bottom w:val="nil"/>
              <w:right w:val="nil"/>
            </w:tcBorders>
            <w:shd w:val="clear" w:color="auto" w:fill="auto"/>
            <w:noWrap/>
            <w:vAlign w:val="bottom"/>
            <w:hideMark/>
          </w:tcPr>
          <w:p w14:paraId="2CB8CFAA"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49037C68"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160" w:type="dxa"/>
            <w:tcBorders>
              <w:top w:val="nil"/>
              <w:left w:val="single" w:sz="4" w:space="0" w:color="auto"/>
              <w:bottom w:val="single" w:sz="4" w:space="0" w:color="auto"/>
              <w:right w:val="single" w:sz="4" w:space="0" w:color="auto"/>
            </w:tcBorders>
            <w:shd w:val="clear" w:color="000000" w:fill="FF0000"/>
            <w:noWrap/>
            <w:vAlign w:val="center"/>
            <w:hideMark/>
          </w:tcPr>
          <w:p w14:paraId="25C87ED8" w14:textId="77777777" w:rsidR="005E7900" w:rsidRPr="00A76EB9" w:rsidRDefault="005E7900" w:rsidP="005D010A">
            <w:pPr>
              <w:spacing w:after="0" w:line="240" w:lineRule="auto"/>
              <w:jc w:val="center"/>
              <w:rPr>
                <w:rFonts w:ascii="Calibri" w:eastAsia="Times New Roman" w:hAnsi="Calibri" w:cs="Calibri"/>
                <w:color w:val="000000"/>
                <w:lang w:eastAsia="cs-CZ"/>
              </w:rPr>
            </w:pPr>
            <w:r w:rsidRPr="00A76EB9">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14:paraId="17B6EEE0" w14:textId="77777777" w:rsidR="005E7900" w:rsidRPr="00A76EB9" w:rsidRDefault="005E7900" w:rsidP="005D010A">
            <w:pPr>
              <w:spacing w:after="0" w:line="240" w:lineRule="auto"/>
              <w:rPr>
                <w:rFonts w:ascii="Calibri" w:eastAsia="Times New Roman" w:hAnsi="Calibri" w:cs="Calibri"/>
                <w:color w:val="000000"/>
                <w:lang w:eastAsia="cs-CZ"/>
              </w:rPr>
            </w:pPr>
            <w:r w:rsidRPr="00A76EB9">
              <w:rPr>
                <w:rFonts w:ascii="Calibri" w:eastAsia="Times New Roman" w:hAnsi="Calibri" w:cs="Calibri"/>
                <w:color w:val="000000"/>
                <w:lang w:eastAsia="cs-CZ"/>
              </w:rPr>
              <w:t>extrémní</w:t>
            </w:r>
          </w:p>
        </w:tc>
        <w:tc>
          <w:tcPr>
            <w:tcW w:w="960" w:type="dxa"/>
            <w:tcBorders>
              <w:top w:val="nil"/>
              <w:left w:val="nil"/>
              <w:bottom w:val="nil"/>
              <w:right w:val="nil"/>
            </w:tcBorders>
            <w:shd w:val="clear" w:color="auto" w:fill="auto"/>
            <w:noWrap/>
            <w:vAlign w:val="bottom"/>
            <w:hideMark/>
          </w:tcPr>
          <w:p w14:paraId="5FF6C903" w14:textId="77777777" w:rsidR="005E7900" w:rsidRPr="00A76EB9" w:rsidRDefault="005E7900" w:rsidP="005D010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198A566D"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6B22615F" w14:textId="77777777" w:rsidR="005E7900" w:rsidRPr="00A76EB9" w:rsidRDefault="005E7900" w:rsidP="005D010A">
            <w:pPr>
              <w:spacing w:after="0" w:line="240" w:lineRule="auto"/>
              <w:rPr>
                <w:rFonts w:ascii="Times New Roman" w:eastAsia="Times New Roman" w:hAnsi="Times New Roman" w:cs="Times New Roman"/>
                <w:sz w:val="20"/>
                <w:szCs w:val="20"/>
                <w:lang w:eastAsia="cs-CZ"/>
              </w:rPr>
            </w:pPr>
          </w:p>
        </w:tc>
      </w:tr>
    </w:tbl>
    <w:p w14:paraId="5AEF917D" w14:textId="77777777" w:rsidR="005E7900" w:rsidRDefault="005E7900" w:rsidP="005E7900">
      <w:pPr>
        <w:pStyle w:val="CM1"/>
        <w:jc w:val="center"/>
      </w:pPr>
    </w:p>
    <w:p w14:paraId="33AD4E04" w14:textId="77777777" w:rsidR="005E7900" w:rsidRDefault="005E7900" w:rsidP="005E7900">
      <w:pPr>
        <w:pStyle w:val="CM3"/>
      </w:pPr>
    </w:p>
    <w:p w14:paraId="1A96AE9F" w14:textId="77777777" w:rsidR="005E7900" w:rsidRDefault="005E7900" w:rsidP="005E7900">
      <w:r>
        <w:t>U všech identifikovaných rizik vychází střední úroveň rizika.</w:t>
      </w:r>
    </w:p>
    <w:p w14:paraId="21B5C1F6" w14:textId="77777777" w:rsidR="005E7900" w:rsidRDefault="005E7900" w:rsidP="005E7900"/>
    <w:p w14:paraId="54DEB6AF" w14:textId="77777777" w:rsidR="005E7900" w:rsidRDefault="005E7900" w:rsidP="005E7900">
      <w:pPr>
        <w:pStyle w:val="Nadpis3"/>
        <w:spacing w:after="120"/>
      </w:pPr>
      <w:r>
        <w:lastRenderedPageBreak/>
        <w:t>Adaptační opatření</w:t>
      </w:r>
    </w:p>
    <w:p w14:paraId="7F1339E0"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Měnící se teplota (vzduchu, vody)</w:t>
      </w:r>
    </w:p>
    <w:p w14:paraId="1FA05291" w14:textId="77777777" w:rsidR="005E7900" w:rsidRDefault="005E7900" w:rsidP="005E7900">
      <w:r>
        <w:t>Vzrostlé stromy v blízkosti budovy (stávající případně nová výsadba). Částečné pokrytí střechy vegetací. Velmi kvalitní zateplení obálky budovy. Stínící technika (vnější žaluzie na oknech) pro redukci tepelné zátěže. Nízkoenergetická technologie chlazení budovy, které bude pro zmírňování změny klimatu doplněno instalací FVE na střechu budovy (výroba elektřiny snižuje spotřebu nakupované elektřiny pro systémy chlazení). FVE zachytí také významnou část solárního záření a tím dochází ke snížení efektu tepelného ostrova.</w:t>
      </w:r>
    </w:p>
    <w:p w14:paraId="648C58D1"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Tepelný stres</w:t>
      </w:r>
    </w:p>
    <w:p w14:paraId="77384973" w14:textId="77777777" w:rsidR="005E7900" w:rsidRDefault="005E7900" w:rsidP="005E7900">
      <w:r>
        <w:t>Vzrostlé stromy v blízkosti budovy (stávající případně nová výsadba). Částečné pokrytí střechy vegetací. Velmi kvalitní zateplení obálky budovy. Stínící technika (vnější žaluzie na oknech) pro redukci tepelné zátěže. Nízkoenergetická technologie chlazení budovy, které bude pro zmírňování změny klimatu doplněno instalací FVE na střechu budovy (výroba elektřiny snižuje spotřebu nakupované elektřiny pro systémy chlazení). FVE zachytí také významnou část solárního záření a tím dochází ke snížení efektu tepelného ostrova.</w:t>
      </w:r>
    </w:p>
    <w:p w14:paraId="4566C6D3"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Vlna veder</w:t>
      </w:r>
    </w:p>
    <w:p w14:paraId="12E664D9" w14:textId="77777777" w:rsidR="005E7900" w:rsidRDefault="005E7900" w:rsidP="005E7900">
      <w:r>
        <w:t>Vzrostlé stromy v blízkosti budovy (stávající případně nová výsadba). Částečné pokrytí střechy vegetací. Velmi kvalitní zateplení obálky budovy. Stínící technika (vnější žaluzie na oknech) pro redukci tepelné zátěže. Nízkoenergetická technologie chlazení budovy, které bude pro zmírňování změny klimatu doplněno instalací FVE na střechu budovy (výroba elektřiny snižuje spotřebu nakupované elektřiny pro systémy chlazení). FVE zachytí také významnou část solárního záření a tím dochází ke snížení efektu tepelného ostrova.</w:t>
      </w:r>
    </w:p>
    <w:p w14:paraId="2BB7844B"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Sucho</w:t>
      </w:r>
    </w:p>
    <w:p w14:paraId="3A5AF236" w14:textId="77777777" w:rsidR="005E7900" w:rsidRDefault="005E7900" w:rsidP="005E7900">
      <w:r>
        <w:t xml:space="preserve">Prvky snižující spotřebu pitné </w:t>
      </w:r>
      <w:proofErr w:type="gramStart"/>
      <w:r>
        <w:t>vody - instalace</w:t>
      </w:r>
      <w:proofErr w:type="gramEnd"/>
      <w:r>
        <w:t xml:space="preserve"> úsporných zařizovacích předmětů (umyvadlové baterie, sprchy, WC, pisoáry apod.), prvky hospodaření s dešťovou vodou – vegetační střecha, retence, akumulace, využití výsadeb s nízkou potřebou zálivky (suchomilných rostlin).</w:t>
      </w:r>
    </w:p>
    <w:p w14:paraId="4E0AC79A"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Bouře</w:t>
      </w:r>
    </w:p>
    <w:p w14:paraId="0E982B73" w14:textId="77777777" w:rsidR="005E7900" w:rsidRDefault="005E7900" w:rsidP="005E7900">
      <w:r>
        <w:t xml:space="preserve">Konkrétní stavebně technické opatření, které by bylo realizované nad rámec stávajících technických norem není plánováno. </w:t>
      </w:r>
      <w:r w:rsidRPr="002A10BE">
        <w:t>Budova</w:t>
      </w:r>
      <w:r w:rsidRPr="001E2A5E">
        <w:rPr>
          <w:color w:val="FF0000"/>
        </w:rPr>
        <w:t xml:space="preserve"> </w:t>
      </w:r>
      <w:r>
        <w:t>bude splňovat veškeré legislativní požadavky na ochraně proti předpětí a blesku a pro uzemnění.</w:t>
      </w:r>
    </w:p>
    <w:p w14:paraId="7EC79FB5"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Silné srážky (déšť, krupobití, sníh/led)</w:t>
      </w:r>
    </w:p>
    <w:p w14:paraId="4B46E727" w14:textId="77777777" w:rsidR="005E7900" w:rsidRDefault="005E7900" w:rsidP="005E7900">
      <w:r>
        <w:t>Konkrétní stavebně technické opatření, které by bylo realizované nad rámec technických norem není plánováno. Ekonomické náklady na dosažení větší odolnosti budovy vzhledem k pravděpodobnosti výskytu silných srážek jsou ve vztahu k nákladům na pojištění neobhajitelné.</w:t>
      </w:r>
    </w:p>
    <w:p w14:paraId="7A1E9B81" w14:textId="77777777" w:rsidR="005E7900" w:rsidRPr="00A76EB9" w:rsidRDefault="005E7900" w:rsidP="005E7900">
      <w:pPr>
        <w:pStyle w:val="Odstavecseseznamem"/>
        <w:numPr>
          <w:ilvl w:val="0"/>
          <w:numId w:val="58"/>
        </w:numPr>
        <w:spacing w:after="160" w:line="259" w:lineRule="auto"/>
        <w:jc w:val="both"/>
        <w:rPr>
          <w:b/>
          <w:bCs/>
        </w:rPr>
      </w:pPr>
      <w:r w:rsidRPr="00A76EB9">
        <w:rPr>
          <w:b/>
          <w:bCs/>
        </w:rPr>
        <w:t>Povodeň (pobřežní, říční, dešťová, způsobená podzemními vodami)</w:t>
      </w:r>
    </w:p>
    <w:p w14:paraId="0340A9FD" w14:textId="77777777" w:rsidR="005E7900" w:rsidRDefault="005E7900" w:rsidP="005E7900">
      <w:r>
        <w:lastRenderedPageBreak/>
        <w:t xml:space="preserve">Konkrétní stavebně technické opatření, které by bylo realizované nad rámec technických norem není plánováno. </w:t>
      </w:r>
      <w:r w:rsidRPr="002A10BE">
        <w:t>Budova</w:t>
      </w:r>
      <w:r>
        <w:t xml:space="preserve"> bude splňovat veškeré legislativní požadavky – technické požadavky na stavby v této oblasti.</w:t>
      </w:r>
    </w:p>
    <w:p w14:paraId="62C607C7"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color w:val="262626"/>
          <w:szCs w:val="20"/>
        </w:rPr>
      </w:pPr>
      <w:r w:rsidRPr="00D92A2B">
        <w:rPr>
          <w:rFonts w:cs="Arial"/>
          <w:color w:val="262626"/>
          <w:szCs w:val="20"/>
        </w:rPr>
        <w:t xml:space="preserve">Řešená </w:t>
      </w:r>
      <w:r>
        <w:rPr>
          <w:rFonts w:cs="Arial"/>
          <w:szCs w:val="20"/>
        </w:rPr>
        <w:t>budova</w:t>
      </w:r>
      <w:r w:rsidRPr="00D92A2B">
        <w:rPr>
          <w:rFonts w:cs="Arial"/>
          <w:color w:val="262626"/>
          <w:szCs w:val="20"/>
        </w:rPr>
        <w:t xml:space="preserve"> je navržena v souladu s principy adaptace na změnu klimatu</w:t>
      </w:r>
    </w:p>
    <w:p w14:paraId="62255853"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b/>
          <w:bCs/>
          <w:color w:val="262626"/>
          <w:szCs w:val="20"/>
        </w:rPr>
      </w:pPr>
      <w:r w:rsidRPr="00D92A2B">
        <w:rPr>
          <w:rFonts w:cs="Arial"/>
          <w:b/>
          <w:bCs/>
          <w:color w:val="262626"/>
          <w:szCs w:val="20"/>
        </w:rPr>
        <w:t>Činnost splňuje výše uvedená kritéria:</w:t>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t>ANO</w:t>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strike/>
          <w:color w:val="262626"/>
          <w:szCs w:val="20"/>
        </w:rPr>
        <w:t>NE</w:t>
      </w:r>
    </w:p>
    <w:p w14:paraId="4DBA62BC" w14:textId="77777777" w:rsidR="005E7900" w:rsidRPr="00D92A2B" w:rsidRDefault="005E7900" w:rsidP="005E7900">
      <w:pPr>
        <w:pBdr>
          <w:top w:val="single" w:sz="4" w:space="1" w:color="auto"/>
          <w:left w:val="single" w:sz="4" w:space="4" w:color="auto"/>
          <w:bottom w:val="single" w:sz="4" w:space="1" w:color="auto"/>
          <w:right w:val="single" w:sz="4" w:space="4" w:color="auto"/>
        </w:pBdr>
        <w:spacing w:after="120" w:line="360" w:lineRule="auto"/>
        <w:rPr>
          <w:rFonts w:cs="Arial"/>
          <w:b/>
          <w:bCs/>
          <w:color w:val="262626"/>
          <w:szCs w:val="20"/>
        </w:rPr>
      </w:pP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r>
      <w:r w:rsidRPr="00D92A2B">
        <w:rPr>
          <w:rFonts w:cs="Arial"/>
          <w:b/>
          <w:bCs/>
          <w:color w:val="262626"/>
          <w:szCs w:val="20"/>
        </w:rPr>
        <w:tab/>
        <w:t>předpoklad plnění</w:t>
      </w:r>
    </w:p>
    <w:p w14:paraId="026AA66F" w14:textId="77777777" w:rsidR="005E7900" w:rsidRDefault="005E7900" w:rsidP="005E7900"/>
    <w:p w14:paraId="507FA586" w14:textId="77777777" w:rsidR="005E7900" w:rsidRDefault="005E7900" w:rsidP="005E7900">
      <w:pPr>
        <w:pStyle w:val="Nadpis2"/>
        <w:spacing w:before="40" w:after="240" w:line="259" w:lineRule="auto"/>
        <w:ind w:left="425" w:hanging="425"/>
        <w:jc w:val="both"/>
      </w:pPr>
      <w:r>
        <w:t>Hospodaření s vodou</w:t>
      </w:r>
    </w:p>
    <w:p w14:paraId="4BFDDE2C" w14:textId="77777777" w:rsidR="005E7900" w:rsidRPr="00A76EB9" w:rsidRDefault="005E7900" w:rsidP="005E7900">
      <w:pPr>
        <w:rPr>
          <w:b/>
          <w:bCs/>
        </w:rPr>
      </w:pPr>
      <w:r w:rsidRPr="00A76EB9">
        <w:rPr>
          <w:b/>
          <w:bCs/>
        </w:rPr>
        <w:t>Národní kontext Nařízení o Taxonomii</w:t>
      </w:r>
    </w:p>
    <w:p w14:paraId="65411C51" w14:textId="77777777" w:rsidR="005E7900" w:rsidRDefault="005E7900" w:rsidP="005E7900">
      <w:r>
        <w:t>U tohoto cíle se identifikují rizika zhoršování stavu životního prostředí související se zachováním jakosti vody a předcházení nedostatku vody. Činnost nesmí významně poškozovat udržitelné využívání a ochranu vodních a mořských zdrojů, poškozovat dobrý stav nebo ekologický potenciál vodních útvarů, včetně podzemních vod. Toto opatření se hodnotí dle zákona č. 114/1992 Sb. o ochraně přírody a krajiny na několika kategoriích životního prostředí. V případě, že projekt naplňuje ještě hodnocení dle zákona č. 100/2001 Sb., je prováděno zjišťovací řízení EIA nebo přímo proces EIA, kde se hodnotí i vliv na vodní zdroje. Stavebník se bude řídit opatřením k tomuto cíli ke snížení spotřeby pitné vody, ztrát ve vodohospodářské infrastruktuře a podpoře znovuvyužití částečně čištěných odpadních (šedých) vod. Následná opatření týkající se vypouštění odpadních vod se vztahují na vodní zákon č. 254/2001 Sb., případně zákon č. 274/2001 Sb. o vodovodech a kanalizacích. V oblastech s výskytem infekčních vod se odkazuje na zákon č. 258/2000 Sb. o ochraně veřejného zdraví.</w:t>
      </w:r>
    </w:p>
    <w:p w14:paraId="0DE84391" w14:textId="77777777" w:rsidR="005E7900" w:rsidRPr="00524CBE" w:rsidRDefault="005E7900" w:rsidP="005E7900">
      <w:pPr>
        <w:rPr>
          <w:u w:val="single"/>
        </w:rPr>
      </w:pPr>
      <w:r w:rsidRPr="00524CBE">
        <w:rPr>
          <w:u w:val="single"/>
        </w:rPr>
        <w:t>Požadavek 3.1</w:t>
      </w:r>
    </w:p>
    <w:p w14:paraId="2274D9FC" w14:textId="77777777" w:rsidR="005E7900" w:rsidRDefault="005E7900" w:rsidP="005E7900">
      <w:r w:rsidRPr="002A10BE">
        <w:t>Budova</w:t>
      </w:r>
      <w:r>
        <w:t xml:space="preserve"> je navržena v souladu s následujícími předpisy:</w:t>
      </w:r>
    </w:p>
    <w:p w14:paraId="77DB56E2" w14:textId="77777777" w:rsidR="005E7900" w:rsidRDefault="005E7900" w:rsidP="005E7900">
      <w:pPr>
        <w:pStyle w:val="Odstavecseseznamem"/>
        <w:numPr>
          <w:ilvl w:val="0"/>
          <w:numId w:val="59"/>
        </w:numPr>
        <w:spacing w:after="160" w:line="259" w:lineRule="auto"/>
        <w:jc w:val="both"/>
      </w:pPr>
      <w:r>
        <w:t>zákon č. 114/1992 Sb., o ochraně přírody a krajiny</w:t>
      </w:r>
    </w:p>
    <w:p w14:paraId="34A1211A" w14:textId="77777777" w:rsidR="005E7900" w:rsidRDefault="005E7900" w:rsidP="005E7900">
      <w:pPr>
        <w:pStyle w:val="Odstavecseseznamem"/>
        <w:numPr>
          <w:ilvl w:val="0"/>
          <w:numId w:val="59"/>
        </w:numPr>
        <w:spacing w:after="160" w:line="259" w:lineRule="auto"/>
        <w:jc w:val="both"/>
      </w:pPr>
      <w:r>
        <w:t>zákon č. 100/2001 Sb., zákon o posuzování vlivů na živ. Prostředí</w:t>
      </w:r>
    </w:p>
    <w:p w14:paraId="247FA5CF" w14:textId="77777777" w:rsidR="005E7900" w:rsidRDefault="005E7900" w:rsidP="005E7900">
      <w:pPr>
        <w:pStyle w:val="Odstavecseseznamem"/>
        <w:numPr>
          <w:ilvl w:val="0"/>
          <w:numId w:val="59"/>
        </w:numPr>
        <w:spacing w:after="160" w:line="259" w:lineRule="auto"/>
        <w:jc w:val="both"/>
      </w:pPr>
      <w:r>
        <w:t>zákon č. 254/2001 Sb., o vodách a o změně některých zákonů (vodní zákon)</w:t>
      </w:r>
    </w:p>
    <w:p w14:paraId="5008B4FD" w14:textId="77777777" w:rsidR="005E7900" w:rsidRDefault="005E7900" w:rsidP="005E7900">
      <w:pPr>
        <w:pStyle w:val="Odstavecseseznamem"/>
        <w:numPr>
          <w:ilvl w:val="0"/>
          <w:numId w:val="59"/>
        </w:numPr>
        <w:spacing w:after="160" w:line="259" w:lineRule="auto"/>
        <w:jc w:val="both"/>
      </w:pPr>
      <w:r>
        <w:t>zákon č. 274/2001 Sb. o vodovodech a kanalizacích</w:t>
      </w:r>
    </w:p>
    <w:p w14:paraId="79142FFD" w14:textId="77777777" w:rsidR="005E7900" w:rsidRPr="00FF1E0D" w:rsidRDefault="005E7900" w:rsidP="005E7900">
      <w:pPr>
        <w:pStyle w:val="Odstavecseseznamem"/>
        <w:numPr>
          <w:ilvl w:val="0"/>
          <w:numId w:val="59"/>
        </w:numPr>
        <w:spacing w:after="160" w:line="259" w:lineRule="auto"/>
        <w:jc w:val="both"/>
        <w:rPr>
          <w:color w:val="262626"/>
        </w:rPr>
      </w:pPr>
      <w:r>
        <w:t>zákon č. 258/2000 Sb. o ochraně veřejného zdraví</w:t>
      </w:r>
    </w:p>
    <w:p w14:paraId="1681F433" w14:textId="77777777" w:rsidR="005E7900" w:rsidRDefault="005E7900" w:rsidP="005E7900">
      <w:r>
        <w:t>V rámci projektové dokumentace je deklarováno plnění veškerých uvedených právních předpisů. V rámci povolení stavby byla/budou vyžádána veškerá nezbytná stanoviska dotčených orgánů a jejich požadavky zapracovány.</w:t>
      </w:r>
    </w:p>
    <w:p w14:paraId="1282029A" w14:textId="77777777" w:rsidR="005E7900" w:rsidRPr="00524CBE" w:rsidRDefault="005E7900" w:rsidP="005E7900">
      <w:pPr>
        <w:rPr>
          <w:u w:val="single"/>
        </w:rPr>
      </w:pPr>
      <w:r w:rsidRPr="00524CBE">
        <w:rPr>
          <w:u w:val="single"/>
        </w:rPr>
        <w:t>Požadavek 3.2</w:t>
      </w:r>
    </w:p>
    <w:p w14:paraId="20AA78A8" w14:textId="77777777" w:rsidR="005E7900" w:rsidRDefault="005E7900" w:rsidP="005E7900">
      <w:r>
        <w:t xml:space="preserve">Při pořizování vnitřního vybavení budovy bude dbáno na optimalizaci spotřeby vody prostřednictvím instalace produktů, které mají dvě nejvyšší hodnocení EU </w:t>
      </w:r>
      <w:proofErr w:type="spellStart"/>
      <w:r>
        <w:t>Water</w:t>
      </w:r>
      <w:proofErr w:type="spellEnd"/>
      <w:r>
        <w:t xml:space="preserve"> Label (průtok vody technikou v </w:t>
      </w:r>
      <w:r>
        <w:lastRenderedPageBreak/>
        <w:t>litrech za minutu) nebo splňují následující parametry, které budou doloženy technickým listem produktu:</w:t>
      </w:r>
    </w:p>
    <w:p w14:paraId="46E38D0A" w14:textId="77777777" w:rsidR="005E7900" w:rsidRDefault="005E7900" w:rsidP="005E7900">
      <w:pPr>
        <w:pStyle w:val="Odstavecseseznamem"/>
        <w:numPr>
          <w:ilvl w:val="0"/>
          <w:numId w:val="59"/>
        </w:numPr>
        <w:spacing w:after="160" w:line="259" w:lineRule="auto"/>
        <w:jc w:val="both"/>
      </w:pPr>
      <w:r>
        <w:t>umyvadlové baterie a kuchyňské baterie mají maximální průtok vody 6 litrů/min,</w:t>
      </w:r>
    </w:p>
    <w:p w14:paraId="22A68177" w14:textId="77777777" w:rsidR="005E7900" w:rsidRDefault="005E7900" w:rsidP="005E7900">
      <w:pPr>
        <w:pStyle w:val="Odstavecseseznamem"/>
        <w:numPr>
          <w:ilvl w:val="0"/>
          <w:numId w:val="59"/>
        </w:numPr>
        <w:spacing w:after="160" w:line="259" w:lineRule="auto"/>
        <w:jc w:val="both"/>
      </w:pPr>
      <w:r>
        <w:t>sprchy mají maximální průtok vody 8 litrů/min – s ohledem na h</w:t>
      </w:r>
    </w:p>
    <w:p w14:paraId="68C17AFC" w14:textId="77777777" w:rsidR="005E7900" w:rsidRDefault="005E7900" w:rsidP="005E7900">
      <w:pPr>
        <w:pStyle w:val="Odstavecseseznamem"/>
        <w:numPr>
          <w:ilvl w:val="0"/>
          <w:numId w:val="59"/>
        </w:numPr>
        <w:spacing w:after="160" w:line="259" w:lineRule="auto"/>
        <w:jc w:val="both"/>
      </w:pPr>
      <w:r>
        <w:t>WC, zahrnující soupravy, mísy a splachovací nádrže, mají úplný objem splachovací body maximálně 6 litrů a maximální průměrný objem splachovací vody 3,5 litru,</w:t>
      </w:r>
    </w:p>
    <w:p w14:paraId="6197FDB2" w14:textId="77777777" w:rsidR="005E7900" w:rsidRPr="00FF1E0D" w:rsidRDefault="005E7900" w:rsidP="005E7900">
      <w:pPr>
        <w:pStyle w:val="Odstavecseseznamem"/>
        <w:numPr>
          <w:ilvl w:val="0"/>
          <w:numId w:val="59"/>
        </w:numPr>
        <w:spacing w:after="160" w:line="259" w:lineRule="auto"/>
        <w:jc w:val="both"/>
        <w:rPr>
          <w:szCs w:val="24"/>
        </w:rPr>
      </w:pPr>
      <w:r>
        <w:t>pisoáry spotřebují maximálně 2 litry/mísu/hodinu.</w:t>
      </w:r>
    </w:p>
    <w:p w14:paraId="1EEC81F0"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120" w:line="360" w:lineRule="auto"/>
        <w:ind w:left="360"/>
        <w:rPr>
          <w:rFonts w:cs="Arial"/>
          <w:color w:val="262626"/>
          <w:szCs w:val="20"/>
        </w:rPr>
      </w:pPr>
      <w:r w:rsidRPr="002A10BE">
        <w:rPr>
          <w:rFonts w:cs="Arial"/>
          <w:szCs w:val="20"/>
        </w:rPr>
        <w:t xml:space="preserve">Řešená budova </w:t>
      </w:r>
      <w:r w:rsidRPr="00524CBE">
        <w:rPr>
          <w:rFonts w:cs="Arial"/>
          <w:color w:val="262626"/>
          <w:szCs w:val="20"/>
        </w:rPr>
        <w:t xml:space="preserve">je navržena v souladu s principy </w:t>
      </w:r>
      <w:r>
        <w:rPr>
          <w:rFonts w:cs="Arial"/>
          <w:color w:val="262626"/>
          <w:szCs w:val="20"/>
        </w:rPr>
        <w:t>hospodaření s vodou</w:t>
      </w:r>
    </w:p>
    <w:p w14:paraId="724199B8"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120" w:line="360" w:lineRule="auto"/>
        <w:ind w:left="360"/>
        <w:rPr>
          <w:rFonts w:cs="Arial"/>
          <w:b/>
          <w:bCs/>
          <w:color w:val="262626"/>
          <w:szCs w:val="20"/>
        </w:rPr>
      </w:pPr>
      <w:r w:rsidRPr="00524CBE">
        <w:rPr>
          <w:rFonts w:cs="Arial"/>
          <w:b/>
          <w:bCs/>
          <w:color w:val="262626"/>
          <w:szCs w:val="20"/>
        </w:rPr>
        <w:t>Činnost splňuje výše uvedená kritéria:</w:t>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t>ANO</w:t>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strike/>
          <w:color w:val="262626"/>
          <w:szCs w:val="20"/>
        </w:rPr>
        <w:t>NE</w:t>
      </w:r>
    </w:p>
    <w:p w14:paraId="59B31743"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120" w:line="360" w:lineRule="auto"/>
        <w:ind w:left="360"/>
        <w:rPr>
          <w:rFonts w:cs="Arial"/>
          <w:b/>
          <w:bCs/>
          <w:color w:val="262626"/>
          <w:szCs w:val="20"/>
        </w:rPr>
      </w:pP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r>
      <w:r w:rsidRPr="00524CBE">
        <w:rPr>
          <w:rFonts w:cs="Arial"/>
          <w:b/>
          <w:bCs/>
          <w:color w:val="262626"/>
          <w:szCs w:val="20"/>
        </w:rPr>
        <w:tab/>
        <w:t>předpoklad plnění</w:t>
      </w:r>
    </w:p>
    <w:p w14:paraId="46904313" w14:textId="77777777" w:rsidR="005E7900" w:rsidRDefault="005E7900" w:rsidP="005E7900"/>
    <w:p w14:paraId="276A12A9" w14:textId="77777777" w:rsidR="005E7900" w:rsidRPr="0053493B" w:rsidRDefault="005E7900" w:rsidP="005E7900"/>
    <w:p w14:paraId="2B5AA04F" w14:textId="77777777" w:rsidR="005E7900" w:rsidRDefault="005E7900" w:rsidP="005E7900">
      <w:pPr>
        <w:pStyle w:val="Nadpis2"/>
        <w:spacing w:before="40" w:after="240" w:line="259" w:lineRule="auto"/>
        <w:ind w:left="425" w:hanging="425"/>
        <w:jc w:val="both"/>
      </w:pPr>
      <w:r>
        <w:t>Přechod na oběhové hospodářství</w:t>
      </w:r>
    </w:p>
    <w:p w14:paraId="4EC4B20B" w14:textId="77777777" w:rsidR="005E7900" w:rsidRPr="00524CBE" w:rsidRDefault="005E7900" w:rsidP="005E7900">
      <w:pPr>
        <w:rPr>
          <w:b/>
          <w:bCs/>
        </w:rPr>
      </w:pPr>
      <w:r w:rsidRPr="00524CBE">
        <w:rPr>
          <w:b/>
          <w:bCs/>
        </w:rPr>
        <w:t>Národní kontext Nařízení o Taxonomii</w:t>
      </w:r>
    </w:p>
    <w:p w14:paraId="6AEF2470" w14:textId="77777777" w:rsidR="005E7900" w:rsidRDefault="005E7900" w:rsidP="005E7900">
      <w:r>
        <w:t xml:space="preserve">Činnost nesmí významně poškodit </w:t>
      </w:r>
      <w:proofErr w:type="spellStart"/>
      <w:r>
        <w:t>enviromentální</w:t>
      </w:r>
      <w:proofErr w:type="spellEnd"/>
      <w:r>
        <w:t xml:space="preserve"> cíl vzhledem k nehospodárnosti v použití materiálu nebo v přímém a nepřímém využívání přírodních zdrojů. Dbá se na omezení spalování a dlouhodobé odstraňování odpadu, které může způsobit významné a dlouhodobé škody na životním prostředí.</w:t>
      </w:r>
    </w:p>
    <w:p w14:paraId="7355D1B9" w14:textId="77777777" w:rsidR="005E7900" w:rsidRDefault="005E7900" w:rsidP="005E7900"/>
    <w:p w14:paraId="3E5B9BEB" w14:textId="77777777" w:rsidR="005E7900" w:rsidRDefault="005E7900" w:rsidP="005E7900">
      <w:r>
        <w:t>Definice odpadu:</w:t>
      </w:r>
    </w:p>
    <w:p w14:paraId="5B796DFF" w14:textId="77777777" w:rsidR="005E7900" w:rsidRDefault="005E7900" w:rsidP="005E7900">
      <w:pPr>
        <w:rPr>
          <w:b/>
          <w:bCs/>
        </w:rPr>
      </w:pPr>
      <w:r>
        <w:t>Dle směrnice Evropského parlamentu a Rady (ES) č. 98/2008 o odpadech a zrušení některých směrnic, je odpadem jakákoli látka nebo předmět, kterých se držitel zbavuje nebo má v úmyslu se zbavit nebo se od něho požaduje, aby se jich zbavil.</w:t>
      </w:r>
      <w:r>
        <w:rPr>
          <w:b/>
          <w:bCs/>
        </w:rPr>
        <w:t xml:space="preserve"> </w:t>
      </w:r>
      <w:r>
        <w:t>Směrnice dále stanovuje hierarchii způsobů nakládání s odpady jako pořadí priorit pro politiku v oblasti</w:t>
      </w:r>
      <w:r>
        <w:rPr>
          <w:b/>
          <w:bCs/>
        </w:rPr>
        <w:t xml:space="preserve"> </w:t>
      </w:r>
      <w:r>
        <w:t>předcházení vzniků odpadů a nakládání s nimi:</w:t>
      </w:r>
    </w:p>
    <w:p w14:paraId="5C7DB17E" w14:textId="77777777" w:rsidR="005E7900" w:rsidRDefault="005E7900" w:rsidP="005E7900">
      <w:pPr>
        <w:pStyle w:val="Odstavecseseznamem"/>
        <w:numPr>
          <w:ilvl w:val="0"/>
          <w:numId w:val="59"/>
        </w:numPr>
        <w:spacing w:after="160" w:line="259" w:lineRule="auto"/>
        <w:jc w:val="both"/>
      </w:pPr>
      <w:r>
        <w:t>předcházení vzniku,</w:t>
      </w:r>
    </w:p>
    <w:p w14:paraId="5D0F1127" w14:textId="77777777" w:rsidR="005E7900" w:rsidRDefault="005E7900" w:rsidP="005E7900">
      <w:pPr>
        <w:pStyle w:val="Odstavecseseznamem"/>
        <w:numPr>
          <w:ilvl w:val="0"/>
          <w:numId w:val="59"/>
        </w:numPr>
        <w:spacing w:after="160" w:line="259" w:lineRule="auto"/>
        <w:jc w:val="both"/>
      </w:pPr>
      <w:r>
        <w:t>příprava na opětovné použití,</w:t>
      </w:r>
    </w:p>
    <w:p w14:paraId="2611F1F7" w14:textId="77777777" w:rsidR="005E7900" w:rsidRDefault="005E7900" w:rsidP="005E7900">
      <w:pPr>
        <w:pStyle w:val="Odstavecseseznamem"/>
        <w:numPr>
          <w:ilvl w:val="0"/>
          <w:numId w:val="59"/>
        </w:numPr>
        <w:spacing w:after="160" w:line="259" w:lineRule="auto"/>
        <w:jc w:val="both"/>
      </w:pPr>
      <w:r>
        <w:t>recyklace,</w:t>
      </w:r>
    </w:p>
    <w:p w14:paraId="197C60AE" w14:textId="77777777" w:rsidR="005E7900" w:rsidRDefault="005E7900" w:rsidP="005E7900">
      <w:pPr>
        <w:pStyle w:val="Odstavecseseznamem"/>
        <w:numPr>
          <w:ilvl w:val="0"/>
          <w:numId w:val="59"/>
        </w:numPr>
        <w:spacing w:after="160" w:line="259" w:lineRule="auto"/>
        <w:jc w:val="both"/>
      </w:pPr>
      <w:r>
        <w:t>jiné využití např. zásypy,</w:t>
      </w:r>
    </w:p>
    <w:p w14:paraId="5395C5C8" w14:textId="77777777" w:rsidR="005E7900" w:rsidRDefault="005E7900" w:rsidP="005E7900">
      <w:pPr>
        <w:pStyle w:val="Odstavecseseznamem"/>
        <w:numPr>
          <w:ilvl w:val="0"/>
          <w:numId w:val="59"/>
        </w:numPr>
        <w:spacing w:after="160" w:line="259" w:lineRule="auto"/>
        <w:jc w:val="both"/>
      </w:pPr>
      <w:r>
        <w:t>odstranění.</w:t>
      </w:r>
    </w:p>
    <w:p w14:paraId="33D169F1" w14:textId="77777777" w:rsidR="005E7900" w:rsidRDefault="005E7900" w:rsidP="005E7900">
      <w:r>
        <w:t>Odpady, vznikající při uskutečňování, údržbě, rekonstrukcích a odstraňování staveb, jsou nazývané v souladu s názvem podskupiny odpadů v Katalogu odpadů jako „</w:t>
      </w:r>
      <w:r>
        <w:rPr>
          <w:b/>
          <w:bCs/>
        </w:rPr>
        <w:t>stavební a demoliční odpady</w:t>
      </w:r>
      <w:r>
        <w:t xml:space="preserve">“. Jedná se o odpad vznikající při zřizování staveb, jejich údržbě, při změnách dokončených staveb a odstraňování staveb zařazovaný do skupiny 17 Katalogu odpadů (zejména vytěžené zeminy, stavební výrobky a materiály). Do hmotnostního procenta je započítáván i stavební nebo demoliční odpad, </w:t>
      </w:r>
      <w:r>
        <w:lastRenderedPageBreak/>
        <w:t>který je znovu využit, potažmo je předejito jeho vzniku, dle § 3 zákona 541/2020 Sb. o odpadech. Dle hierarchie odpadů se do hmotnostního procenta započítává bod 1-4. Energetické využití odpadů není podporováno.</w:t>
      </w:r>
    </w:p>
    <w:p w14:paraId="03DA05B1" w14:textId="77777777" w:rsidR="005E7900" w:rsidRPr="00524CBE" w:rsidRDefault="005E7900" w:rsidP="005E7900">
      <w:pPr>
        <w:rPr>
          <w:u w:val="single"/>
        </w:rPr>
      </w:pPr>
      <w:r w:rsidRPr="00524CBE">
        <w:rPr>
          <w:u w:val="single"/>
        </w:rPr>
        <w:t>Požadavek 4.1:</w:t>
      </w:r>
    </w:p>
    <w:p w14:paraId="5E19012F" w14:textId="77777777" w:rsidR="005E7900" w:rsidRDefault="005E7900" w:rsidP="005E7900">
      <w:r>
        <w:t>V rámci technické zprávy dokumentace stavby bude pro výstavbu, příp. pro renovaci provedena bližší identifikace předpokládaných odpadních materiálů na staveništi, tedy bude vytvořen plán nakládání s odpadem. Identifikace bude provedena kvalifikovaným odhadem s ohledem na druh odpadu a jeho zatřídění (podle vyhlášky č. 8/2021 Sb.) a stanovení přibližného objemu (hmotnosti). Zvlášť bude identifikován nebezpečný odpad v rozsahu vyhlášky 8/2021 Sb. Do celkového množství odpadu se nezapočítává nebezpečný odpad, který se musí vhodně likvidovat podle vnitrostátních předpisů o nebezpečných odpadech.</w:t>
      </w:r>
    </w:p>
    <w:p w14:paraId="004F5686" w14:textId="77777777" w:rsidR="005E7900" w:rsidRDefault="005E7900" w:rsidP="005E7900">
      <w:r>
        <w:t>V rámci projektové dokumentace je (bude v dalším stupni) provedena identifikace předpokládaných odpadních materiálů a před realizací stavby bude vytvořen plán nakládání s odpadem. Při stavbě bude množství a typ odpadu evidováno a bude evidován způsob naložení s odpadem v souladu s uvedenou hierarchií.</w:t>
      </w:r>
    </w:p>
    <w:p w14:paraId="7EB6FC1D" w14:textId="77777777" w:rsidR="005E7900" w:rsidRDefault="005E7900" w:rsidP="005E7900">
      <w:pPr>
        <w:pBdr>
          <w:top w:val="single" w:sz="4" w:space="1" w:color="auto"/>
          <w:left w:val="single" w:sz="4" w:space="4" w:color="auto"/>
          <w:bottom w:val="single" w:sz="4" w:space="1" w:color="auto"/>
          <w:right w:val="single" w:sz="4" w:space="4" w:color="auto"/>
        </w:pBdr>
        <w:spacing w:after="0"/>
        <w:rPr>
          <w:b/>
          <w:bCs/>
        </w:rPr>
      </w:pPr>
    </w:p>
    <w:p w14:paraId="4CF2CF89" w14:textId="77777777" w:rsidR="005E7900" w:rsidRDefault="005E7900" w:rsidP="005E7900">
      <w:pPr>
        <w:pBdr>
          <w:top w:val="single" w:sz="4" w:space="1" w:color="auto"/>
          <w:left w:val="single" w:sz="4" w:space="4" w:color="auto"/>
          <w:bottom w:val="single" w:sz="4" w:space="1" w:color="auto"/>
          <w:right w:val="single" w:sz="4" w:space="4" w:color="auto"/>
        </w:pBdr>
        <w:spacing w:after="0"/>
        <w:rPr>
          <w:strike/>
        </w:rPr>
      </w:pPr>
      <w:r w:rsidRPr="00524CBE">
        <w:rPr>
          <w:b/>
          <w:bCs/>
        </w:rPr>
        <w:t>Činnost splňuje výše uvedená kritéria:</w:t>
      </w:r>
      <w:r w:rsidRPr="00524CBE">
        <w:rPr>
          <w:b/>
          <w:bCs/>
        </w:rPr>
        <w:tab/>
      </w:r>
      <w:r w:rsidRPr="00524CBE">
        <w:rPr>
          <w:b/>
          <w:bCs/>
        </w:rPr>
        <w:tab/>
      </w:r>
      <w:r w:rsidRPr="00524CBE">
        <w:rPr>
          <w:b/>
          <w:bCs/>
        </w:rPr>
        <w:tab/>
      </w:r>
      <w:r w:rsidRPr="00524CBE">
        <w:rPr>
          <w:b/>
          <w:bCs/>
        </w:rPr>
        <w:tab/>
        <w:t>ANO</w:t>
      </w:r>
      <w:r w:rsidRPr="00524CBE">
        <w:rPr>
          <w:b/>
          <w:bCs/>
        </w:rPr>
        <w:tab/>
      </w:r>
      <w:r>
        <w:tab/>
      </w:r>
      <w:r>
        <w:tab/>
      </w:r>
      <w:r>
        <w:rPr>
          <w:strike/>
        </w:rPr>
        <w:t>NE</w:t>
      </w:r>
    </w:p>
    <w:p w14:paraId="1A108B52"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rPr>
          <w:strike/>
          <w:sz w:val="28"/>
          <w:szCs w:val="28"/>
        </w:rPr>
      </w:pPr>
    </w:p>
    <w:p w14:paraId="07BD8662" w14:textId="77777777" w:rsidR="005E7900" w:rsidRDefault="005E7900" w:rsidP="005E7900"/>
    <w:p w14:paraId="0CD91CEB" w14:textId="77777777" w:rsidR="005E7900" w:rsidRDefault="005E7900" w:rsidP="005E7900">
      <w:r w:rsidRPr="00524CBE">
        <w:rPr>
          <w:u w:val="single"/>
        </w:rPr>
        <w:t>Požadavek 4.2</w:t>
      </w:r>
      <w:r>
        <w:t>:</w:t>
      </w:r>
    </w:p>
    <w:p w14:paraId="00372982" w14:textId="77777777" w:rsidR="005E7900" w:rsidRDefault="005E7900" w:rsidP="005E7900">
      <w:r>
        <w:t>Nejméně 70 % (hmotnostních) stavebního a demoličního odpadu vzniklého na staveništi bude připraveno na opětovné použití, recyklaci a k jinému druhu materiálového využití, a to včetně zásypů, při nichž jsou materiály nahrazeny odpadem. Součástí předání dokončeného díla bude závěrečná zpráva o nakládání s odpadem, která porovná konečný stav s plánem a zdůvodní odchylky. Přílohou závěrečné zprávy budou doklady, které budou potvrzovat výši konečného hmotnostního procenta a výpočty.</w:t>
      </w:r>
    </w:p>
    <w:p w14:paraId="5F40144D" w14:textId="77777777" w:rsidR="005E7900" w:rsidRDefault="005E7900" w:rsidP="005E7900">
      <w:r>
        <w:t>Při stavbě bude množství a typ odpadu evidováno a bude evidován způsob naložení s odpadem v souladu s uvedenou hierarchií. Na dodavatele stavby bude přenesena odpovědnost za plnění uvedeného limitu a doložení závěrečné zprávy.</w:t>
      </w:r>
    </w:p>
    <w:p w14:paraId="3857B108" w14:textId="77777777" w:rsidR="005E7900" w:rsidRDefault="005E7900" w:rsidP="005E7900">
      <w:pPr>
        <w:pBdr>
          <w:top w:val="single" w:sz="4" w:space="1" w:color="auto"/>
          <w:left w:val="single" w:sz="4" w:space="4" w:color="auto"/>
          <w:bottom w:val="single" w:sz="4" w:space="1" w:color="auto"/>
          <w:right w:val="single" w:sz="4" w:space="4" w:color="auto"/>
        </w:pBdr>
        <w:spacing w:after="0"/>
        <w:rPr>
          <w:b/>
          <w:bCs/>
        </w:rPr>
      </w:pPr>
    </w:p>
    <w:p w14:paraId="172F46B7" w14:textId="77777777" w:rsidR="005E7900" w:rsidRDefault="005E7900" w:rsidP="005E7900">
      <w:pPr>
        <w:pBdr>
          <w:top w:val="single" w:sz="4" w:space="1" w:color="auto"/>
          <w:left w:val="single" w:sz="4" w:space="4" w:color="auto"/>
          <w:bottom w:val="single" w:sz="4" w:space="1" w:color="auto"/>
          <w:right w:val="single" w:sz="4" w:space="4" w:color="auto"/>
        </w:pBdr>
        <w:spacing w:after="0"/>
        <w:rPr>
          <w:strike/>
        </w:rPr>
      </w:pPr>
      <w:r w:rsidRPr="00524CBE">
        <w:rPr>
          <w:b/>
          <w:bCs/>
        </w:rPr>
        <w:t>Činnost splňuje výše uvedená kritéria:</w:t>
      </w:r>
      <w:r w:rsidRPr="00524CBE">
        <w:rPr>
          <w:b/>
          <w:bCs/>
        </w:rPr>
        <w:tab/>
      </w:r>
      <w:r w:rsidRPr="00524CBE">
        <w:rPr>
          <w:b/>
          <w:bCs/>
        </w:rPr>
        <w:tab/>
      </w:r>
      <w:r w:rsidRPr="00524CBE">
        <w:rPr>
          <w:b/>
          <w:bCs/>
        </w:rPr>
        <w:tab/>
      </w:r>
      <w:r w:rsidRPr="00524CBE">
        <w:rPr>
          <w:b/>
          <w:bCs/>
        </w:rPr>
        <w:tab/>
        <w:t>ANO</w:t>
      </w:r>
      <w:r w:rsidRPr="00524CBE">
        <w:rPr>
          <w:b/>
          <w:bCs/>
        </w:rPr>
        <w:tab/>
      </w:r>
      <w:r>
        <w:tab/>
      </w:r>
      <w:r>
        <w:tab/>
      </w:r>
      <w:r>
        <w:rPr>
          <w:strike/>
        </w:rPr>
        <w:t>NE</w:t>
      </w:r>
    </w:p>
    <w:p w14:paraId="0BB8A6E9"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rPr>
          <w:strike/>
          <w:sz w:val="28"/>
          <w:szCs w:val="28"/>
        </w:rPr>
      </w:pPr>
    </w:p>
    <w:p w14:paraId="45E7F69C" w14:textId="77777777" w:rsidR="005E7900" w:rsidRDefault="005E7900" w:rsidP="005E7900"/>
    <w:p w14:paraId="6EECA0D3" w14:textId="77777777" w:rsidR="005E7900" w:rsidRDefault="005E7900" w:rsidP="005E7900"/>
    <w:p w14:paraId="06E2BCE9" w14:textId="77777777" w:rsidR="005E7900" w:rsidRDefault="005E7900" w:rsidP="005E7900">
      <w:pPr>
        <w:pStyle w:val="Nadpis2"/>
        <w:spacing w:before="40" w:after="240" w:line="259" w:lineRule="auto"/>
        <w:ind w:left="425" w:hanging="425"/>
        <w:jc w:val="both"/>
      </w:pPr>
      <w:r>
        <w:t>Prevence a omezení znečištění</w:t>
      </w:r>
    </w:p>
    <w:p w14:paraId="4375ECAB" w14:textId="77777777" w:rsidR="005E7900" w:rsidRPr="00524CBE" w:rsidRDefault="005E7900" w:rsidP="005E7900">
      <w:pPr>
        <w:rPr>
          <w:b/>
          <w:bCs/>
        </w:rPr>
      </w:pPr>
      <w:r w:rsidRPr="00524CBE">
        <w:rPr>
          <w:b/>
          <w:bCs/>
        </w:rPr>
        <w:t>Národní kontext Nařízení o Taxonomii</w:t>
      </w:r>
    </w:p>
    <w:p w14:paraId="1E05348A" w14:textId="77777777" w:rsidR="005E7900" w:rsidRDefault="005E7900" w:rsidP="005E7900">
      <w:r>
        <w:lastRenderedPageBreak/>
        <w:t xml:space="preserve">Plnění tohoto cíle je závislé na postupech na straně dodavatele stavby, proto by měla být </w:t>
      </w:r>
      <w:proofErr w:type="spellStart"/>
      <w:r>
        <w:t>reportovací</w:t>
      </w:r>
      <w:proofErr w:type="spellEnd"/>
      <w:r>
        <w:t xml:space="preserve"> povinnost přenesena na něj. Projekt by neměl vést k významnému zvýšení emisí znečišťujících látek do ovzduší, vody nebo půdy ve srovnání se situací před zahájením stavby/rekonstrukce. Dodavatel stavby doloží, že bylo na staveništi provedeno šetření na potenciální kontaminující látky, např. dle normy ISO 18400. V případě zjištění nebezpečných látek jako je např. azbest, bude zajištěno jeho řádné odstranění. Dodavatel zároveň popíše, jaká přijal opatření ke snížení hluku, prachu a emisí znečišťujících látek při stavebních, demoličních (rekonstrukčních) nebo údržbářských pracích. Dle zákona č. 201/2012 Sb. se za znečišťující látku považuje každá látka, která svou přítomností v ovzduší má nebo může mít škodlivé účinky na lidské zdraví nebo životní prostředí anebo obtěžuje zápachem. Za znečišťování (emisi) se považuje vnášení jedné nebo více znečišťujících látek do ovzduší. Seznam znečišťujících látek je specifikován v Nařízení vlády č. 145/2008 Sb. Z pohledu znečištění povrchových a podzemních vod se za nebezpečné látky považují látky dle přílohy č. 1 zákona č. 254/2001 Sb. (vodní zákon). Při výkonu prací na staveništi je nutné předcházet možné ekologické újmě. V případě vzniku nebo zjištění ekologické újmy je provozovatel povinen neprodleně provést veškerá proveditelná nápravná opatření k okamžité kontrole, omezení, odstranění nebo jinému zvládnutí znečišťujících látek nebo jiných škodlivých faktorů, jejichž cílem je omezit ekologickou újmu a nepříznivé účinky na lidské zdraví nebo předejít dalšímu rozšiřování ekologické újmy, nepříznivým účinkům na lidské zdraví nebo dalšímu zhoršení funkcí přírodních zdrojů. Součástí reportu je seznam evidovaných opatřeních na staveništi. Obsahuje seznam znečišťujících látek a jaká opatření byla zavedena k omezení šíření emisí do okolního prostředí.</w:t>
      </w:r>
    </w:p>
    <w:p w14:paraId="48BD527F" w14:textId="77777777" w:rsidR="005E7900" w:rsidRDefault="005E7900" w:rsidP="005E7900">
      <w:r w:rsidRPr="00524CBE">
        <w:rPr>
          <w:u w:val="single"/>
        </w:rPr>
        <w:t>Požadavek 5.1</w:t>
      </w:r>
      <w:r>
        <w:t>:</w:t>
      </w:r>
    </w:p>
    <w:p w14:paraId="2212AD1A" w14:textId="77777777" w:rsidR="005E7900" w:rsidRDefault="005E7900" w:rsidP="005E7900">
      <w:r>
        <w:t>V rámci stavebních prací budou dodržovány výše uvedené principy předcházející a omezující znečištění způsobené stavbou:</w:t>
      </w:r>
    </w:p>
    <w:p w14:paraId="4187858D" w14:textId="77777777" w:rsidR="005E7900" w:rsidRDefault="005E7900" w:rsidP="005E7900">
      <w:r>
        <w:t>V rámci technické zprávy jsou řádně předepsány následující oblasti:</w:t>
      </w:r>
    </w:p>
    <w:p w14:paraId="071B5A87" w14:textId="77777777" w:rsidR="005E7900" w:rsidRDefault="005E7900" w:rsidP="005E7900">
      <w:pPr>
        <w:pStyle w:val="Odstavecseseznamem"/>
        <w:numPr>
          <w:ilvl w:val="0"/>
          <w:numId w:val="59"/>
        </w:numPr>
        <w:spacing w:after="160" w:line="259" w:lineRule="auto"/>
        <w:jc w:val="both"/>
      </w:pPr>
      <w:r>
        <w:t>Ochrana proti hluku a vibracím</w:t>
      </w:r>
    </w:p>
    <w:p w14:paraId="3F6C9A86" w14:textId="77777777" w:rsidR="005E7900" w:rsidRDefault="005E7900" w:rsidP="005E7900">
      <w:pPr>
        <w:pStyle w:val="Odstavecseseznamem"/>
        <w:numPr>
          <w:ilvl w:val="0"/>
          <w:numId w:val="59"/>
        </w:numPr>
        <w:spacing w:after="160" w:line="259" w:lineRule="auto"/>
        <w:jc w:val="both"/>
      </w:pPr>
      <w:r>
        <w:t>Ochrana proti znečišťování komunikací</w:t>
      </w:r>
    </w:p>
    <w:p w14:paraId="4470EA56" w14:textId="77777777" w:rsidR="005E7900" w:rsidRDefault="005E7900" w:rsidP="005E7900">
      <w:pPr>
        <w:pStyle w:val="Odstavecseseznamem"/>
        <w:numPr>
          <w:ilvl w:val="0"/>
          <w:numId w:val="59"/>
        </w:numPr>
        <w:spacing w:after="160" w:line="259" w:lineRule="auto"/>
        <w:jc w:val="both"/>
      </w:pPr>
      <w:r>
        <w:t>Ochrana proti znečišťování podzemních a povrchových vod a kanalizace</w:t>
      </w:r>
    </w:p>
    <w:p w14:paraId="3ADAAF0C" w14:textId="77777777" w:rsidR="005E7900" w:rsidRDefault="005E7900" w:rsidP="005E7900">
      <w:pPr>
        <w:pStyle w:val="Odstavecseseznamem"/>
        <w:numPr>
          <w:ilvl w:val="0"/>
          <w:numId w:val="59"/>
        </w:numPr>
        <w:spacing w:after="160" w:line="259" w:lineRule="auto"/>
        <w:jc w:val="both"/>
      </w:pPr>
      <w:r>
        <w:t>Ochrana oslňování a zastínění okolí stavby</w:t>
      </w:r>
    </w:p>
    <w:p w14:paraId="727A35F9" w14:textId="77777777" w:rsidR="005E7900" w:rsidRPr="00FF1E0D" w:rsidRDefault="005E7900" w:rsidP="005E7900">
      <w:pPr>
        <w:pStyle w:val="Odstavecseseznamem"/>
        <w:numPr>
          <w:ilvl w:val="0"/>
          <w:numId w:val="59"/>
        </w:numPr>
        <w:spacing w:after="160" w:line="259" w:lineRule="auto"/>
        <w:jc w:val="both"/>
        <w:rPr>
          <w:szCs w:val="24"/>
        </w:rPr>
      </w:pPr>
      <w:r>
        <w:t>Podmínky pro provoz a odstavování stavebních mechanismů v prostoru staveniště</w:t>
      </w:r>
    </w:p>
    <w:p w14:paraId="557590C2" w14:textId="77777777" w:rsidR="005E7900" w:rsidRDefault="005E7900" w:rsidP="005E7900">
      <w:pPr>
        <w:pStyle w:val="Odstavecseseznamem"/>
        <w:ind w:left="284" w:hanging="284"/>
      </w:pPr>
    </w:p>
    <w:p w14:paraId="1A3F53B2"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284" w:hanging="284"/>
        <w:rPr>
          <w:b/>
          <w:bCs/>
        </w:rPr>
      </w:pPr>
    </w:p>
    <w:p w14:paraId="0A7A98C0"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284" w:hanging="284"/>
        <w:rPr>
          <w:strike/>
        </w:rPr>
      </w:pPr>
      <w:r w:rsidRPr="00524CBE">
        <w:rPr>
          <w:b/>
          <w:bCs/>
        </w:rPr>
        <w:t>Činnost splňuje výše uvedená kritéria:</w:t>
      </w:r>
      <w:r w:rsidRPr="00524CBE">
        <w:rPr>
          <w:b/>
          <w:bCs/>
        </w:rPr>
        <w:tab/>
      </w:r>
      <w:r w:rsidRPr="00524CBE">
        <w:rPr>
          <w:b/>
          <w:bCs/>
        </w:rPr>
        <w:tab/>
      </w:r>
      <w:r w:rsidRPr="00524CBE">
        <w:rPr>
          <w:b/>
          <w:bCs/>
        </w:rPr>
        <w:tab/>
      </w:r>
      <w:r w:rsidRPr="00524CBE">
        <w:rPr>
          <w:b/>
          <w:bCs/>
        </w:rPr>
        <w:tab/>
        <w:t>ANO</w:t>
      </w:r>
      <w:r w:rsidRPr="00524CBE">
        <w:rPr>
          <w:b/>
          <w:bCs/>
        </w:rPr>
        <w:tab/>
      </w:r>
      <w:r>
        <w:tab/>
      </w:r>
      <w:r>
        <w:tab/>
      </w:r>
      <w:r w:rsidRPr="00524CBE">
        <w:rPr>
          <w:strike/>
        </w:rPr>
        <w:t>NE</w:t>
      </w:r>
    </w:p>
    <w:p w14:paraId="1C42C35C"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284" w:hanging="284"/>
        <w:rPr>
          <w:strike/>
          <w:sz w:val="28"/>
          <w:szCs w:val="28"/>
        </w:rPr>
      </w:pPr>
    </w:p>
    <w:p w14:paraId="484D7072" w14:textId="77777777" w:rsidR="005E7900" w:rsidRDefault="005E7900" w:rsidP="005E7900">
      <w:pPr>
        <w:pStyle w:val="Odstavecseseznamem"/>
        <w:ind w:left="284" w:hanging="284"/>
      </w:pPr>
    </w:p>
    <w:p w14:paraId="5DDF9EF4" w14:textId="77777777" w:rsidR="005E7900" w:rsidRPr="0053493B" w:rsidRDefault="005E7900" w:rsidP="005E7900"/>
    <w:p w14:paraId="66E1D2CD" w14:textId="77777777" w:rsidR="005E7900" w:rsidRPr="0053493B" w:rsidRDefault="005E7900" w:rsidP="005E7900">
      <w:pPr>
        <w:pStyle w:val="Nadpis2"/>
        <w:spacing w:before="40" w:after="240" w:line="259" w:lineRule="auto"/>
        <w:ind w:left="425" w:hanging="425"/>
        <w:jc w:val="both"/>
      </w:pPr>
      <w:r w:rsidRPr="0053493B">
        <w:t>Ochrana a obnova biologické rozmanitosti a ekosystémů</w:t>
      </w:r>
    </w:p>
    <w:p w14:paraId="0060EC5A" w14:textId="77777777" w:rsidR="005E7900" w:rsidRPr="00524CBE" w:rsidRDefault="005E7900" w:rsidP="005E7900">
      <w:pPr>
        <w:rPr>
          <w:b/>
          <w:bCs/>
        </w:rPr>
      </w:pPr>
      <w:r w:rsidRPr="00524CBE">
        <w:rPr>
          <w:b/>
          <w:bCs/>
        </w:rPr>
        <w:t>Národní kontext Nařízení o Taxonomii</w:t>
      </w:r>
    </w:p>
    <w:p w14:paraId="2157DF10" w14:textId="77777777" w:rsidR="005E7900" w:rsidRDefault="005E7900" w:rsidP="005E7900">
      <w:r>
        <w:lastRenderedPageBreak/>
        <w:t>U lokalit/provozů umístěných v oblastech citlivých z hlediska biologické rozmanitosti nebo v jejich blízkosti</w:t>
      </w:r>
    </w:p>
    <w:p w14:paraId="43151C4A" w14:textId="77777777" w:rsidR="005E7900" w:rsidRDefault="005E7900" w:rsidP="005E7900">
      <w:r>
        <w:t xml:space="preserve">(včetně sítě chráněných oblastí Natura 2000, míst světového dědictví UNESCO a klíčových oblastí biologické rozmanitosti, jakož i dalších chráněných oblastí) bude provedeno příslušné posouzení a na základě jeho závěrů budou provedena nezbytná zmírňující opatření. Pro zhodnocení cíle ochrana a obnova biologické rozmanitosti a ekosystémů dodavatel popíše, jaká ochranná, zmírňující a kompenzační opatření na ochranu životního prostředí byla před stavbou a během stavby provedena. Příjemce dotace bude postupovat v souladu s platnými přepisy v oblasti ochrany přírody a krajiny (zejména dle zákona č. 114/1992 Sb., o ochraně přírody a krajiny a zákona č. 100/2001 Sb., o posuzování vlivu na životní prostředí) a zajistí, že projekt nebude ve významné míře negativně ovlivňovat předměty ochrany přírody a krajiny. Pokud bylo provedeno posouzení vlivu na životní prostředí (EIA), bude tento dokument přiložen k </w:t>
      </w:r>
      <w:proofErr w:type="spellStart"/>
      <w:r>
        <w:t>reportovacímu</w:t>
      </w:r>
      <w:proofErr w:type="spellEnd"/>
      <w:r>
        <w:t xml:space="preserve"> listu. Součástí reportu je seznam realizovaného ochranného, zmírňujícího a kompenzačního opatření.</w:t>
      </w:r>
    </w:p>
    <w:p w14:paraId="1BEB22F2" w14:textId="77777777" w:rsidR="005E7900" w:rsidRDefault="005E7900" w:rsidP="005E7900"/>
    <w:p w14:paraId="26A84C26" w14:textId="77777777" w:rsidR="005E7900" w:rsidRDefault="005E7900" w:rsidP="005E7900">
      <w:r w:rsidRPr="00524CBE">
        <w:rPr>
          <w:u w:val="single"/>
        </w:rPr>
        <w:t>Požadavek 6.1</w:t>
      </w:r>
      <w:r>
        <w:t>:</w:t>
      </w:r>
    </w:p>
    <w:p w14:paraId="217E040E" w14:textId="77777777" w:rsidR="005E7900" w:rsidRDefault="005E7900" w:rsidP="005E7900">
      <w:r>
        <w:t>V přípravě projektu budou provedeny výše uvedené analýzy a zapracovány jejich závěry.</w:t>
      </w:r>
    </w:p>
    <w:p w14:paraId="7A6E540A" w14:textId="77777777" w:rsidR="005E7900" w:rsidRDefault="005E7900" w:rsidP="005E7900">
      <w:r>
        <w:t>V rámci technické zprávy budou v dalším stupni řádně řešeny oblasti ochrany a obnovy biologické</w:t>
      </w:r>
    </w:p>
    <w:p w14:paraId="759B045B" w14:textId="77777777" w:rsidR="005E7900" w:rsidRDefault="005E7900" w:rsidP="005E7900">
      <w:r>
        <w:t>rozmanitosti a ekosystémů. V prostoru stavby nebyl zjištěn výskyt zvláště chráněných druhů rostlin a živočichů. V dotčeném území se nenachází žádné chráněné území, nejsou zde vyhlášeny žádné přírodní rezervace nebo přírodní památky, ani lokality Natura 2000.</w:t>
      </w:r>
    </w:p>
    <w:p w14:paraId="570319A8" w14:textId="77777777" w:rsidR="005E7900" w:rsidRDefault="005E7900" w:rsidP="005E7900">
      <w:r>
        <w:t>Dle přílohy č. 1 k zákonu č. 100/2001 Sb. (zákon o posuzování vlivů na živ. prostředí) stavební záměr nespadá do</w:t>
      </w:r>
    </w:p>
    <w:p w14:paraId="2CFC32F3" w14:textId="77777777" w:rsidR="005E7900" w:rsidRDefault="005E7900" w:rsidP="005E7900">
      <w:pPr>
        <w:rPr>
          <w:strike/>
        </w:rPr>
      </w:pPr>
      <w:r>
        <w:t>kategorie I (záměry vždy podléhající posouzení) ani do kat. II (záměry vyžadující zjišťovací řízení).</w:t>
      </w:r>
    </w:p>
    <w:p w14:paraId="623B63D9" w14:textId="77777777" w:rsidR="005E7900" w:rsidRDefault="005E7900" w:rsidP="005E7900">
      <w:pPr>
        <w:pStyle w:val="Odstavecseseznamem"/>
        <w:ind w:hanging="294"/>
      </w:pPr>
    </w:p>
    <w:p w14:paraId="1B72784A"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360" w:hanging="294"/>
        <w:rPr>
          <w:b/>
          <w:bCs/>
        </w:rPr>
      </w:pPr>
    </w:p>
    <w:p w14:paraId="117D7D69"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360" w:hanging="294"/>
        <w:rPr>
          <w:strike/>
        </w:rPr>
      </w:pPr>
      <w:r w:rsidRPr="00524CBE">
        <w:rPr>
          <w:b/>
          <w:bCs/>
        </w:rPr>
        <w:t>Činnost splňuje výše uvedená kritéria:</w:t>
      </w:r>
      <w:r w:rsidRPr="00524CBE">
        <w:rPr>
          <w:b/>
          <w:bCs/>
        </w:rPr>
        <w:tab/>
      </w:r>
      <w:r w:rsidRPr="00524CBE">
        <w:rPr>
          <w:b/>
          <w:bCs/>
        </w:rPr>
        <w:tab/>
      </w:r>
      <w:r w:rsidRPr="00524CBE">
        <w:rPr>
          <w:b/>
          <w:bCs/>
        </w:rPr>
        <w:tab/>
      </w:r>
      <w:r w:rsidRPr="00524CBE">
        <w:rPr>
          <w:b/>
          <w:bCs/>
        </w:rPr>
        <w:tab/>
        <w:t>ANO</w:t>
      </w:r>
      <w:r w:rsidRPr="00524CBE">
        <w:rPr>
          <w:b/>
          <w:bCs/>
        </w:rPr>
        <w:tab/>
      </w:r>
      <w:r>
        <w:tab/>
      </w:r>
      <w:r>
        <w:tab/>
      </w:r>
      <w:r w:rsidRPr="00524CBE">
        <w:rPr>
          <w:strike/>
        </w:rPr>
        <w:t>NE</w:t>
      </w:r>
    </w:p>
    <w:p w14:paraId="1640E669" w14:textId="77777777" w:rsidR="005E7900" w:rsidRPr="00524CBE" w:rsidRDefault="005E7900" w:rsidP="005E7900">
      <w:pPr>
        <w:pBdr>
          <w:top w:val="single" w:sz="4" w:space="1" w:color="auto"/>
          <w:left w:val="single" w:sz="4" w:space="4" w:color="auto"/>
          <w:bottom w:val="single" w:sz="4" w:space="1" w:color="auto"/>
          <w:right w:val="single" w:sz="4" w:space="4" w:color="auto"/>
        </w:pBdr>
        <w:spacing w:after="0"/>
        <w:ind w:left="360" w:hanging="294"/>
        <w:rPr>
          <w:strike/>
          <w:sz w:val="28"/>
          <w:szCs w:val="28"/>
        </w:rPr>
      </w:pPr>
    </w:p>
    <w:p w14:paraId="52D405A3" w14:textId="77777777" w:rsidR="005E7900" w:rsidRDefault="005E7900" w:rsidP="005E7900">
      <w:pPr>
        <w:pStyle w:val="Odstavecseseznamem"/>
        <w:ind w:hanging="294"/>
      </w:pPr>
    </w:p>
    <w:p w14:paraId="2AE92099" w14:textId="77777777" w:rsidR="005E7900" w:rsidRPr="0053493B" w:rsidRDefault="005E7900" w:rsidP="005E7900"/>
    <w:p w14:paraId="5369A173" w14:textId="44ED161D" w:rsidR="009B0F5D" w:rsidRPr="007F5219" w:rsidRDefault="009B0F5D" w:rsidP="00FE165E">
      <w:pPr>
        <w:pStyle w:val="Zkladnodstavec"/>
        <w:spacing w:before="360"/>
        <w:contextualSpacing/>
        <w:rPr>
          <w:rFonts w:ascii="Arial" w:eastAsiaTheme="minorEastAsia" w:hAnsi="Arial" w:cs="Arial"/>
          <w:caps/>
          <w:sz w:val="32"/>
          <w:szCs w:val="32"/>
          <w:lang w:eastAsia="en-US"/>
        </w:rPr>
      </w:pPr>
      <w:bookmarkStart w:id="6" w:name="_GoBack"/>
      <w:bookmarkEnd w:id="6"/>
    </w:p>
    <w:bookmarkEnd w:id="0"/>
    <w:bookmarkEnd w:id="1"/>
    <w:bookmarkEnd w:id="2"/>
    <w:bookmarkEnd w:id="3"/>
    <w:bookmarkEnd w:id="4"/>
    <w:sectPr w:rsidR="009B0F5D" w:rsidRPr="007F5219" w:rsidSect="00C321D5">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37CE" w14:textId="77777777" w:rsidR="00043798" w:rsidRDefault="00043798" w:rsidP="00634381">
      <w:pPr>
        <w:spacing w:after="0" w:line="240" w:lineRule="auto"/>
      </w:pPr>
      <w:r>
        <w:separator/>
      </w:r>
    </w:p>
  </w:endnote>
  <w:endnote w:type="continuationSeparator" w:id="0">
    <w:p w14:paraId="4E6A8FCB" w14:textId="77777777" w:rsidR="00043798" w:rsidRDefault="00043798" w:rsidP="00634381">
      <w:pPr>
        <w:spacing w:after="0" w:line="240" w:lineRule="auto"/>
      </w:pPr>
      <w:r>
        <w:continuationSeparator/>
      </w:r>
    </w:p>
  </w:endnote>
  <w:endnote w:type="continuationNotice" w:id="1">
    <w:p w14:paraId="571F8417" w14:textId="77777777" w:rsidR="00043798" w:rsidRDefault="00043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629115"/>
      <w:docPartObj>
        <w:docPartGallery w:val="Page Numbers (Bottom of Page)"/>
        <w:docPartUnique/>
      </w:docPartObj>
    </w:sdtPr>
    <w:sdtEndPr>
      <w:rPr>
        <w:rFonts w:ascii="Arial" w:hAnsi="Arial" w:cs="Arial"/>
        <w:sz w:val="20"/>
        <w:szCs w:val="20"/>
      </w:rPr>
    </w:sdtEndPr>
    <w:sdtContent>
      <w:p w14:paraId="0B386CFD" w14:textId="0D761E61" w:rsidR="00C7616A" w:rsidRDefault="00C7616A">
        <w:pPr>
          <w:pStyle w:val="Zpat"/>
          <w:jc w:val="right"/>
        </w:pPr>
        <w:r w:rsidRPr="001501FD">
          <w:rPr>
            <w:rFonts w:ascii="Arial" w:hAnsi="Arial" w:cs="Arial"/>
            <w:sz w:val="20"/>
            <w:szCs w:val="20"/>
          </w:rPr>
          <w:fldChar w:fldCharType="begin"/>
        </w:r>
        <w:r w:rsidRPr="001501FD">
          <w:rPr>
            <w:rFonts w:ascii="Arial" w:hAnsi="Arial" w:cs="Arial"/>
            <w:sz w:val="20"/>
            <w:szCs w:val="20"/>
          </w:rPr>
          <w:instrText>PAGE   \* MERGEFORMAT</w:instrText>
        </w:r>
        <w:r w:rsidRPr="001501FD">
          <w:rPr>
            <w:rFonts w:ascii="Arial" w:hAnsi="Arial" w:cs="Arial"/>
            <w:sz w:val="20"/>
            <w:szCs w:val="20"/>
          </w:rPr>
          <w:fldChar w:fldCharType="separate"/>
        </w:r>
        <w:r w:rsidRPr="001501FD">
          <w:rPr>
            <w:rFonts w:ascii="Arial" w:hAnsi="Arial" w:cs="Arial"/>
            <w:sz w:val="20"/>
            <w:szCs w:val="20"/>
          </w:rPr>
          <w:t>2</w:t>
        </w:r>
        <w:r w:rsidRPr="001501FD">
          <w:rPr>
            <w:rFonts w:ascii="Arial" w:hAnsi="Arial" w:cs="Arial"/>
            <w:sz w:val="20"/>
            <w:szCs w:val="20"/>
          </w:rP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5202" w14:textId="77777777" w:rsidR="00043798" w:rsidRDefault="00043798" w:rsidP="00634381">
      <w:pPr>
        <w:spacing w:after="0" w:line="240" w:lineRule="auto"/>
      </w:pPr>
      <w:r>
        <w:separator/>
      </w:r>
    </w:p>
  </w:footnote>
  <w:footnote w:type="continuationSeparator" w:id="0">
    <w:p w14:paraId="11CA0C51" w14:textId="77777777" w:rsidR="00043798" w:rsidRDefault="00043798" w:rsidP="00634381">
      <w:pPr>
        <w:spacing w:after="0" w:line="240" w:lineRule="auto"/>
      </w:pPr>
      <w:r>
        <w:continuationSeparator/>
      </w:r>
    </w:p>
  </w:footnote>
  <w:footnote w:type="continuationNotice" w:id="1">
    <w:p w14:paraId="3AAC2BC1" w14:textId="77777777" w:rsidR="00043798" w:rsidRDefault="00043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0AA6" w14:textId="2B021892" w:rsidR="00A10DB5" w:rsidRDefault="00A10DB5" w:rsidP="008A17FD">
    <w:pPr>
      <w:pStyle w:val="Zhlav"/>
      <w:jc w:val="center"/>
    </w:pPr>
  </w:p>
  <w:p w14:paraId="2443FABC" w14:textId="77777777" w:rsidR="00A10DB5" w:rsidRDefault="00A10DB5" w:rsidP="008A17FD">
    <w:pPr>
      <w:pStyle w:val="Zhlav"/>
      <w:jc w:val="center"/>
    </w:pPr>
  </w:p>
  <w:p w14:paraId="4449436B" w14:textId="77777777" w:rsidR="00A10DB5" w:rsidRDefault="00A10D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C18608"/>
    <w:multiLevelType w:val="hybridMultilevel"/>
    <w:tmpl w:val="3F0AD3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895"/>
    <w:multiLevelType w:val="hybridMultilevel"/>
    <w:tmpl w:val="A652267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B0C66"/>
    <w:multiLevelType w:val="hybridMultilevel"/>
    <w:tmpl w:val="C0587892"/>
    <w:lvl w:ilvl="0" w:tplc="58261064">
      <w:start w:val="1"/>
      <w:numFmt w:val="decimal"/>
      <w:lvlText w:val="%1)"/>
      <w:lvlJc w:val="left"/>
      <w:pPr>
        <w:ind w:left="530" w:hanging="360"/>
      </w:pPr>
      <w:rPr>
        <w:rFonts w:hint="default"/>
        <w:b/>
        <w:color w:val="000000"/>
      </w:rPr>
    </w:lvl>
    <w:lvl w:ilvl="1" w:tplc="04050001">
      <w:start w:val="1"/>
      <w:numFmt w:val="bullet"/>
      <w:lvlText w:val=""/>
      <w:lvlJc w:val="left"/>
      <w:pPr>
        <w:ind w:left="1250" w:hanging="360"/>
      </w:pPr>
      <w:rPr>
        <w:rFonts w:ascii="Symbol" w:hAnsi="Symbol" w:hint="default"/>
      </w:r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4" w15:restartNumberingAfterBreak="0">
    <w:nsid w:val="07E45FB0"/>
    <w:multiLevelType w:val="hybridMultilevel"/>
    <w:tmpl w:val="8392FB44"/>
    <w:lvl w:ilvl="0" w:tplc="A5620EC8">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DF2278"/>
    <w:multiLevelType w:val="hybridMultilevel"/>
    <w:tmpl w:val="13E0FF3A"/>
    <w:lvl w:ilvl="0" w:tplc="4FAE2A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86698B"/>
    <w:multiLevelType w:val="hybridMultilevel"/>
    <w:tmpl w:val="4EAEF8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81896"/>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53482A"/>
    <w:multiLevelType w:val="hybridMultilevel"/>
    <w:tmpl w:val="C3F87C68"/>
    <w:lvl w:ilvl="0" w:tplc="EDB86FDC">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BB6233"/>
    <w:multiLevelType w:val="hybridMultilevel"/>
    <w:tmpl w:val="251AB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0"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263F2B"/>
    <w:multiLevelType w:val="hybridMultilevel"/>
    <w:tmpl w:val="B9380ACA"/>
    <w:lvl w:ilvl="0" w:tplc="342CDB90">
      <w:start w:val="1"/>
      <w:numFmt w:val="decimal"/>
      <w:lvlText w:val="%1."/>
      <w:lvlJc w:val="left"/>
      <w:pPr>
        <w:ind w:left="720" w:hanging="360"/>
      </w:pPr>
      <w:rPr>
        <w:rFonts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99072E"/>
    <w:multiLevelType w:val="multilevel"/>
    <w:tmpl w:val="62BAFF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8613BF8"/>
    <w:multiLevelType w:val="hybridMultilevel"/>
    <w:tmpl w:val="B484B38A"/>
    <w:lvl w:ilvl="0" w:tplc="04050001">
      <w:start w:val="1"/>
      <w:numFmt w:val="bullet"/>
      <w:lvlText w:val=""/>
      <w:lvlJc w:val="left"/>
      <w:pPr>
        <w:ind w:left="720" w:hanging="360"/>
      </w:pPr>
      <w:rPr>
        <w:rFonts w:ascii="Symbol" w:hAnsi="Symbol" w:hint="default"/>
      </w:rPr>
    </w:lvl>
    <w:lvl w:ilvl="1" w:tplc="79262F34">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821942"/>
    <w:multiLevelType w:val="hybridMultilevel"/>
    <w:tmpl w:val="9D44DFB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7D31CAD"/>
    <w:multiLevelType w:val="hybridMultilevel"/>
    <w:tmpl w:val="B0D09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9046408"/>
    <w:multiLevelType w:val="hybridMultilevel"/>
    <w:tmpl w:val="0010B382"/>
    <w:lvl w:ilvl="0" w:tplc="4BFC78F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F43067C"/>
    <w:multiLevelType w:val="hybridMultilevel"/>
    <w:tmpl w:val="D2965EA8"/>
    <w:lvl w:ilvl="0" w:tplc="D72C3A58">
      <w:start w:val="1"/>
      <w:numFmt w:val="decimal"/>
      <w:lvlText w:val="%1."/>
      <w:lvlJc w:val="left"/>
      <w:pPr>
        <w:ind w:left="720" w:hanging="360"/>
      </w:pPr>
      <w:rPr>
        <w:sz w:val="26"/>
        <w:szCs w:val="2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D2179F"/>
    <w:multiLevelType w:val="hybridMultilevel"/>
    <w:tmpl w:val="F76A24E0"/>
    <w:lvl w:ilvl="0" w:tplc="3064D6E6">
      <w:start w:val="6"/>
      <w:numFmt w:val="bullet"/>
      <w:lvlText w:val="-"/>
      <w:lvlJc w:val="left"/>
      <w:pPr>
        <w:ind w:left="720" w:hanging="360"/>
      </w:pPr>
      <w:rPr>
        <w:rFonts w:ascii="SymbolMT" w:eastAsia="SymbolMT" w:hAnsi="Calibri" w:cs="SymbolMT" w:hint="eastAsia"/>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56751D03"/>
    <w:multiLevelType w:val="hybridMultilevel"/>
    <w:tmpl w:val="C13EF420"/>
    <w:lvl w:ilvl="0" w:tplc="0170685A">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8457C3"/>
    <w:multiLevelType w:val="hybridMultilevel"/>
    <w:tmpl w:val="1B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49275FA"/>
    <w:multiLevelType w:val="hybridMultilevel"/>
    <w:tmpl w:val="CD746E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D34DE4"/>
    <w:multiLevelType w:val="hybridMultilevel"/>
    <w:tmpl w:val="F67CBAE6"/>
    <w:lvl w:ilvl="0" w:tplc="04050001">
      <w:start w:val="1"/>
      <w:numFmt w:val="bullet"/>
      <w:lvlText w:val=""/>
      <w:lvlJc w:val="left"/>
      <w:pPr>
        <w:ind w:left="720" w:hanging="360"/>
      </w:pPr>
      <w:rPr>
        <w:rFonts w:ascii="Symbol" w:hAnsi="Symbol" w:hint="default"/>
      </w:rPr>
    </w:lvl>
    <w:lvl w:ilvl="1" w:tplc="79262F34">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B916698"/>
    <w:multiLevelType w:val="hybridMultilevel"/>
    <w:tmpl w:val="B3BEF63E"/>
    <w:lvl w:ilvl="0" w:tplc="1E8C458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4"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55" w15:restartNumberingAfterBreak="0">
    <w:nsid w:val="784A6EA4"/>
    <w:multiLevelType w:val="hybridMultilevel"/>
    <w:tmpl w:val="CE38D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6"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D3957E2"/>
    <w:multiLevelType w:val="hybridMultilevel"/>
    <w:tmpl w:val="769CB59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6"/>
  </w:num>
  <w:num w:numId="2">
    <w:abstractNumId w:val="27"/>
  </w:num>
  <w:num w:numId="3">
    <w:abstractNumId w:val="31"/>
  </w:num>
  <w:num w:numId="4">
    <w:abstractNumId w:val="51"/>
  </w:num>
  <w:num w:numId="5">
    <w:abstractNumId w:val="13"/>
  </w:num>
  <w:num w:numId="6">
    <w:abstractNumId w:val="41"/>
  </w:num>
  <w:num w:numId="7">
    <w:abstractNumId w:val="15"/>
  </w:num>
  <w:num w:numId="8">
    <w:abstractNumId w:val="18"/>
  </w:num>
  <w:num w:numId="9">
    <w:abstractNumId w:val="32"/>
  </w:num>
  <w:num w:numId="10">
    <w:abstractNumId w:val="8"/>
  </w:num>
  <w:num w:numId="11">
    <w:abstractNumId w:val="54"/>
  </w:num>
  <w:num w:numId="12">
    <w:abstractNumId w:val="36"/>
  </w:num>
  <w:num w:numId="13">
    <w:abstractNumId w:val="15"/>
    <w:lvlOverride w:ilvl="0">
      <w:startOverride w:val="1"/>
    </w:lvlOverride>
  </w:num>
  <w:num w:numId="14">
    <w:abstractNumId w:val="42"/>
  </w:num>
  <w:num w:numId="15">
    <w:abstractNumId w:val="19"/>
  </w:num>
  <w:num w:numId="16">
    <w:abstractNumId w:val="40"/>
  </w:num>
  <w:num w:numId="17">
    <w:abstractNumId w:val="39"/>
  </w:num>
  <w:num w:numId="18">
    <w:abstractNumId w:val="25"/>
  </w:num>
  <w:num w:numId="19">
    <w:abstractNumId w:val="43"/>
  </w:num>
  <w:num w:numId="20">
    <w:abstractNumId w:val="52"/>
  </w:num>
  <w:num w:numId="21">
    <w:abstractNumId w:val="21"/>
  </w:num>
  <w:num w:numId="22">
    <w:abstractNumId w:val="29"/>
  </w:num>
  <w:num w:numId="23">
    <w:abstractNumId w:val="22"/>
  </w:num>
  <w:num w:numId="24">
    <w:abstractNumId w:val="47"/>
  </w:num>
  <w:num w:numId="25">
    <w:abstractNumId w:val="56"/>
  </w:num>
  <w:num w:numId="26">
    <w:abstractNumId w:val="6"/>
  </w:num>
  <w:num w:numId="27">
    <w:abstractNumId w:val="49"/>
  </w:num>
  <w:num w:numId="28">
    <w:abstractNumId w:val="2"/>
  </w:num>
  <w:num w:numId="29">
    <w:abstractNumId w:val="33"/>
  </w:num>
  <w:num w:numId="30">
    <w:abstractNumId w:val="34"/>
  </w:num>
  <w:num w:numId="31">
    <w:abstractNumId w:val="23"/>
  </w:num>
  <w:num w:numId="32">
    <w:abstractNumId w:val="37"/>
  </w:num>
  <w:num w:numId="33">
    <w:abstractNumId w:val="20"/>
  </w:num>
  <w:num w:numId="34">
    <w:abstractNumId w:val="7"/>
  </w:num>
  <w:num w:numId="35">
    <w:abstractNumId w:val="12"/>
  </w:num>
  <w:num w:numId="36">
    <w:abstractNumId w:val="10"/>
  </w:num>
  <w:num w:numId="37">
    <w:abstractNumId w:val="46"/>
  </w:num>
  <w:num w:numId="38">
    <w:abstractNumId w:val="28"/>
  </w:num>
  <w:num w:numId="39">
    <w:abstractNumId w:val="30"/>
  </w:num>
  <w:num w:numId="40">
    <w:abstractNumId w:val="11"/>
  </w:num>
  <w:num w:numId="41">
    <w:abstractNumId w:val="1"/>
  </w:num>
  <w:num w:numId="42">
    <w:abstractNumId w:val="50"/>
  </w:num>
  <w:num w:numId="43">
    <w:abstractNumId w:val="57"/>
  </w:num>
  <w:num w:numId="44">
    <w:abstractNumId w:val="5"/>
  </w:num>
  <w:num w:numId="45">
    <w:abstractNumId w:val="14"/>
  </w:num>
  <w:num w:numId="46">
    <w:abstractNumId w:val="48"/>
  </w:num>
  <w:num w:numId="47">
    <w:abstractNumId w:val="55"/>
  </w:num>
  <w:num w:numId="48">
    <w:abstractNumId w:val="16"/>
  </w:num>
  <w:num w:numId="49">
    <w:abstractNumId w:val="45"/>
  </w:num>
  <w:num w:numId="50">
    <w:abstractNumId w:val="3"/>
  </w:num>
  <w:num w:numId="51">
    <w:abstractNumId w:val="9"/>
  </w:num>
  <w:num w:numId="52">
    <w:abstractNumId w:val="0"/>
  </w:num>
  <w:num w:numId="53">
    <w:abstractNumId w:val="35"/>
  </w:num>
  <w:num w:numId="54">
    <w:abstractNumId w:val="17"/>
  </w:num>
  <w:num w:numId="55">
    <w:abstractNumId w:val="24"/>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47B"/>
    <w:rsid w:val="000027AB"/>
    <w:rsid w:val="0000288A"/>
    <w:rsid w:val="00003253"/>
    <w:rsid w:val="00004AEE"/>
    <w:rsid w:val="00006FEC"/>
    <w:rsid w:val="0000726E"/>
    <w:rsid w:val="000104CB"/>
    <w:rsid w:val="000122E6"/>
    <w:rsid w:val="000142D5"/>
    <w:rsid w:val="00014489"/>
    <w:rsid w:val="00014ECB"/>
    <w:rsid w:val="00014F63"/>
    <w:rsid w:val="00015635"/>
    <w:rsid w:val="000203C9"/>
    <w:rsid w:val="00020573"/>
    <w:rsid w:val="0002073C"/>
    <w:rsid w:val="0002147C"/>
    <w:rsid w:val="000300F8"/>
    <w:rsid w:val="00030181"/>
    <w:rsid w:val="00031801"/>
    <w:rsid w:val="0003188B"/>
    <w:rsid w:val="00034D1D"/>
    <w:rsid w:val="00035237"/>
    <w:rsid w:val="0003526A"/>
    <w:rsid w:val="00035EC3"/>
    <w:rsid w:val="00036A3E"/>
    <w:rsid w:val="0003707B"/>
    <w:rsid w:val="0004014F"/>
    <w:rsid w:val="00040334"/>
    <w:rsid w:val="00041C08"/>
    <w:rsid w:val="00041EC8"/>
    <w:rsid w:val="00043798"/>
    <w:rsid w:val="000446C1"/>
    <w:rsid w:val="00045329"/>
    <w:rsid w:val="000515F1"/>
    <w:rsid w:val="0005186A"/>
    <w:rsid w:val="000542DC"/>
    <w:rsid w:val="00054877"/>
    <w:rsid w:val="00057399"/>
    <w:rsid w:val="00057C7F"/>
    <w:rsid w:val="0006044E"/>
    <w:rsid w:val="00060932"/>
    <w:rsid w:val="00060AE8"/>
    <w:rsid w:val="000645B8"/>
    <w:rsid w:val="000646A2"/>
    <w:rsid w:val="00064958"/>
    <w:rsid w:val="00065125"/>
    <w:rsid w:val="00066155"/>
    <w:rsid w:val="000661B9"/>
    <w:rsid w:val="000669AF"/>
    <w:rsid w:val="00070FE9"/>
    <w:rsid w:val="0007276E"/>
    <w:rsid w:val="00072AC7"/>
    <w:rsid w:val="00073049"/>
    <w:rsid w:val="000737DE"/>
    <w:rsid w:val="0007434A"/>
    <w:rsid w:val="00076F5D"/>
    <w:rsid w:val="000775F2"/>
    <w:rsid w:val="00080FA4"/>
    <w:rsid w:val="000855EE"/>
    <w:rsid w:val="000871BA"/>
    <w:rsid w:val="00091111"/>
    <w:rsid w:val="00092106"/>
    <w:rsid w:val="00092AAE"/>
    <w:rsid w:val="00092EAE"/>
    <w:rsid w:val="00092FB7"/>
    <w:rsid w:val="000935BA"/>
    <w:rsid w:val="00095F04"/>
    <w:rsid w:val="00096838"/>
    <w:rsid w:val="000969B9"/>
    <w:rsid w:val="0009759F"/>
    <w:rsid w:val="000A285E"/>
    <w:rsid w:val="000A2CF9"/>
    <w:rsid w:val="000A404C"/>
    <w:rsid w:val="000A45AD"/>
    <w:rsid w:val="000A5D85"/>
    <w:rsid w:val="000A6F55"/>
    <w:rsid w:val="000A70CC"/>
    <w:rsid w:val="000A75EC"/>
    <w:rsid w:val="000B0369"/>
    <w:rsid w:val="000B1933"/>
    <w:rsid w:val="000B2428"/>
    <w:rsid w:val="000B2846"/>
    <w:rsid w:val="000B2EC3"/>
    <w:rsid w:val="000B5C1F"/>
    <w:rsid w:val="000B5F15"/>
    <w:rsid w:val="000B621D"/>
    <w:rsid w:val="000B6BB5"/>
    <w:rsid w:val="000C2DEF"/>
    <w:rsid w:val="000C38F5"/>
    <w:rsid w:val="000C5A94"/>
    <w:rsid w:val="000C6579"/>
    <w:rsid w:val="000C7681"/>
    <w:rsid w:val="000D0472"/>
    <w:rsid w:val="000D2C4C"/>
    <w:rsid w:val="000D3AEF"/>
    <w:rsid w:val="000D56C2"/>
    <w:rsid w:val="000D5E14"/>
    <w:rsid w:val="000D6A10"/>
    <w:rsid w:val="000D78BE"/>
    <w:rsid w:val="000D7CA1"/>
    <w:rsid w:val="000E05ED"/>
    <w:rsid w:val="000E1384"/>
    <w:rsid w:val="000E24B7"/>
    <w:rsid w:val="000E26E9"/>
    <w:rsid w:val="000E324D"/>
    <w:rsid w:val="000E382B"/>
    <w:rsid w:val="000E3E94"/>
    <w:rsid w:val="000E4312"/>
    <w:rsid w:val="000E4DD3"/>
    <w:rsid w:val="000E61EE"/>
    <w:rsid w:val="000E7FD4"/>
    <w:rsid w:val="000F15F1"/>
    <w:rsid w:val="000F1EEA"/>
    <w:rsid w:val="000F3300"/>
    <w:rsid w:val="000F394E"/>
    <w:rsid w:val="000F4062"/>
    <w:rsid w:val="000F484E"/>
    <w:rsid w:val="000F5110"/>
    <w:rsid w:val="000F6853"/>
    <w:rsid w:val="000F6876"/>
    <w:rsid w:val="000F7006"/>
    <w:rsid w:val="00102A18"/>
    <w:rsid w:val="00105B9A"/>
    <w:rsid w:val="00106FBD"/>
    <w:rsid w:val="001076B7"/>
    <w:rsid w:val="001105CB"/>
    <w:rsid w:val="001128E5"/>
    <w:rsid w:val="00112F45"/>
    <w:rsid w:val="0011515F"/>
    <w:rsid w:val="001152BF"/>
    <w:rsid w:val="001161E3"/>
    <w:rsid w:val="00117046"/>
    <w:rsid w:val="00117BCA"/>
    <w:rsid w:val="00117DA2"/>
    <w:rsid w:val="00120EBD"/>
    <w:rsid w:val="00121B66"/>
    <w:rsid w:val="00122B0D"/>
    <w:rsid w:val="00122F9F"/>
    <w:rsid w:val="00125B33"/>
    <w:rsid w:val="0012750A"/>
    <w:rsid w:val="00127CF7"/>
    <w:rsid w:val="001304C7"/>
    <w:rsid w:val="00131ED8"/>
    <w:rsid w:val="001349A5"/>
    <w:rsid w:val="00134A23"/>
    <w:rsid w:val="00134E9F"/>
    <w:rsid w:val="0013592A"/>
    <w:rsid w:val="00136EA2"/>
    <w:rsid w:val="00140025"/>
    <w:rsid w:val="00140BE4"/>
    <w:rsid w:val="00140C24"/>
    <w:rsid w:val="00141560"/>
    <w:rsid w:val="00141C5B"/>
    <w:rsid w:val="00141E51"/>
    <w:rsid w:val="001435B5"/>
    <w:rsid w:val="00143E11"/>
    <w:rsid w:val="00145074"/>
    <w:rsid w:val="001501FD"/>
    <w:rsid w:val="001503C5"/>
    <w:rsid w:val="001509EB"/>
    <w:rsid w:val="00151D63"/>
    <w:rsid w:val="00155179"/>
    <w:rsid w:val="0015594C"/>
    <w:rsid w:val="00155A3F"/>
    <w:rsid w:val="00156052"/>
    <w:rsid w:val="00157BA0"/>
    <w:rsid w:val="001605CE"/>
    <w:rsid w:val="00161195"/>
    <w:rsid w:val="0016204C"/>
    <w:rsid w:val="00164E34"/>
    <w:rsid w:val="0016516E"/>
    <w:rsid w:val="001656F4"/>
    <w:rsid w:val="0016668A"/>
    <w:rsid w:val="00167A4E"/>
    <w:rsid w:val="00167ADA"/>
    <w:rsid w:val="00167F31"/>
    <w:rsid w:val="00170FD8"/>
    <w:rsid w:val="001718AB"/>
    <w:rsid w:val="00171A0A"/>
    <w:rsid w:val="001739A8"/>
    <w:rsid w:val="00174CA1"/>
    <w:rsid w:val="00176DE8"/>
    <w:rsid w:val="00177DB0"/>
    <w:rsid w:val="0018322F"/>
    <w:rsid w:val="00183EDF"/>
    <w:rsid w:val="00184434"/>
    <w:rsid w:val="001850A3"/>
    <w:rsid w:val="00185954"/>
    <w:rsid w:val="00187186"/>
    <w:rsid w:val="001876C8"/>
    <w:rsid w:val="00187E9E"/>
    <w:rsid w:val="001908B7"/>
    <w:rsid w:val="00191A13"/>
    <w:rsid w:val="00192348"/>
    <w:rsid w:val="0019255E"/>
    <w:rsid w:val="001926F2"/>
    <w:rsid w:val="00195424"/>
    <w:rsid w:val="0019652A"/>
    <w:rsid w:val="001979EB"/>
    <w:rsid w:val="00197C61"/>
    <w:rsid w:val="001A07AA"/>
    <w:rsid w:val="001A1111"/>
    <w:rsid w:val="001A33E6"/>
    <w:rsid w:val="001A3DDA"/>
    <w:rsid w:val="001A41E5"/>
    <w:rsid w:val="001A6956"/>
    <w:rsid w:val="001A73D3"/>
    <w:rsid w:val="001A7B8B"/>
    <w:rsid w:val="001A7CEC"/>
    <w:rsid w:val="001B153E"/>
    <w:rsid w:val="001B18ED"/>
    <w:rsid w:val="001B24C4"/>
    <w:rsid w:val="001B37E4"/>
    <w:rsid w:val="001B39CA"/>
    <w:rsid w:val="001B61B7"/>
    <w:rsid w:val="001B755D"/>
    <w:rsid w:val="001C0A44"/>
    <w:rsid w:val="001C424A"/>
    <w:rsid w:val="001C618A"/>
    <w:rsid w:val="001C73CF"/>
    <w:rsid w:val="001D00D6"/>
    <w:rsid w:val="001D0DD8"/>
    <w:rsid w:val="001D15C3"/>
    <w:rsid w:val="001D24D1"/>
    <w:rsid w:val="001D2A83"/>
    <w:rsid w:val="001D2C65"/>
    <w:rsid w:val="001D3888"/>
    <w:rsid w:val="001D4569"/>
    <w:rsid w:val="001D528B"/>
    <w:rsid w:val="001D5619"/>
    <w:rsid w:val="001D6C57"/>
    <w:rsid w:val="001E045F"/>
    <w:rsid w:val="001E18AA"/>
    <w:rsid w:val="001E23AB"/>
    <w:rsid w:val="001E2B89"/>
    <w:rsid w:val="001E2E9A"/>
    <w:rsid w:val="001E49BC"/>
    <w:rsid w:val="001E6323"/>
    <w:rsid w:val="001E6643"/>
    <w:rsid w:val="001F3907"/>
    <w:rsid w:val="001F43CB"/>
    <w:rsid w:val="001F458E"/>
    <w:rsid w:val="001F5E75"/>
    <w:rsid w:val="001F5FC4"/>
    <w:rsid w:val="001F7AA9"/>
    <w:rsid w:val="00200E58"/>
    <w:rsid w:val="002011C3"/>
    <w:rsid w:val="0020183B"/>
    <w:rsid w:val="00203690"/>
    <w:rsid w:val="00203ADB"/>
    <w:rsid w:val="00204CC0"/>
    <w:rsid w:val="00204D9A"/>
    <w:rsid w:val="00204ECC"/>
    <w:rsid w:val="0020609C"/>
    <w:rsid w:val="002069B6"/>
    <w:rsid w:val="00206AC8"/>
    <w:rsid w:val="00206E9E"/>
    <w:rsid w:val="002072A4"/>
    <w:rsid w:val="00213558"/>
    <w:rsid w:val="002137CE"/>
    <w:rsid w:val="00215AD0"/>
    <w:rsid w:val="00216AEA"/>
    <w:rsid w:val="00217266"/>
    <w:rsid w:val="0021750B"/>
    <w:rsid w:val="00217707"/>
    <w:rsid w:val="00217805"/>
    <w:rsid w:val="0022095A"/>
    <w:rsid w:val="00222398"/>
    <w:rsid w:val="00222B7C"/>
    <w:rsid w:val="00222D93"/>
    <w:rsid w:val="00222EB2"/>
    <w:rsid w:val="00224083"/>
    <w:rsid w:val="00224401"/>
    <w:rsid w:val="0022444E"/>
    <w:rsid w:val="00224E64"/>
    <w:rsid w:val="00225221"/>
    <w:rsid w:val="00225322"/>
    <w:rsid w:val="0022616C"/>
    <w:rsid w:val="002265AB"/>
    <w:rsid w:val="002315E8"/>
    <w:rsid w:val="00231F50"/>
    <w:rsid w:val="00232029"/>
    <w:rsid w:val="00232CB9"/>
    <w:rsid w:val="0023363A"/>
    <w:rsid w:val="002349F3"/>
    <w:rsid w:val="00236F49"/>
    <w:rsid w:val="002409E6"/>
    <w:rsid w:val="00245A55"/>
    <w:rsid w:val="00245E0E"/>
    <w:rsid w:val="00246019"/>
    <w:rsid w:val="00247120"/>
    <w:rsid w:val="0024749F"/>
    <w:rsid w:val="002474BF"/>
    <w:rsid w:val="00253569"/>
    <w:rsid w:val="00253B2B"/>
    <w:rsid w:val="00254C88"/>
    <w:rsid w:val="002552E9"/>
    <w:rsid w:val="002601D2"/>
    <w:rsid w:val="00263ED0"/>
    <w:rsid w:val="002640A4"/>
    <w:rsid w:val="00264611"/>
    <w:rsid w:val="00264FCF"/>
    <w:rsid w:val="00264FDD"/>
    <w:rsid w:val="00265067"/>
    <w:rsid w:val="0026662E"/>
    <w:rsid w:val="002675E5"/>
    <w:rsid w:val="00267806"/>
    <w:rsid w:val="002705EC"/>
    <w:rsid w:val="00272CCA"/>
    <w:rsid w:val="00274658"/>
    <w:rsid w:val="002746C9"/>
    <w:rsid w:val="002748BB"/>
    <w:rsid w:val="0027619A"/>
    <w:rsid w:val="00276203"/>
    <w:rsid w:val="002771C5"/>
    <w:rsid w:val="00280189"/>
    <w:rsid w:val="00280629"/>
    <w:rsid w:val="0028148B"/>
    <w:rsid w:val="0028316D"/>
    <w:rsid w:val="002831D0"/>
    <w:rsid w:val="0028357D"/>
    <w:rsid w:val="00284686"/>
    <w:rsid w:val="00286657"/>
    <w:rsid w:val="00286C01"/>
    <w:rsid w:val="002877DD"/>
    <w:rsid w:val="00287FEC"/>
    <w:rsid w:val="00291688"/>
    <w:rsid w:val="00294A31"/>
    <w:rsid w:val="002A0777"/>
    <w:rsid w:val="002A0EC1"/>
    <w:rsid w:val="002A160C"/>
    <w:rsid w:val="002A2A09"/>
    <w:rsid w:val="002A3B10"/>
    <w:rsid w:val="002A3B9A"/>
    <w:rsid w:val="002A3F0D"/>
    <w:rsid w:val="002A42EF"/>
    <w:rsid w:val="002A60DC"/>
    <w:rsid w:val="002A6558"/>
    <w:rsid w:val="002B0DDC"/>
    <w:rsid w:val="002B102F"/>
    <w:rsid w:val="002B181D"/>
    <w:rsid w:val="002B1B8E"/>
    <w:rsid w:val="002B4524"/>
    <w:rsid w:val="002B58F1"/>
    <w:rsid w:val="002B5CC8"/>
    <w:rsid w:val="002B5FF0"/>
    <w:rsid w:val="002B60F4"/>
    <w:rsid w:val="002B66C7"/>
    <w:rsid w:val="002B6E5A"/>
    <w:rsid w:val="002C002B"/>
    <w:rsid w:val="002C177C"/>
    <w:rsid w:val="002C1E2E"/>
    <w:rsid w:val="002C4A61"/>
    <w:rsid w:val="002C6E51"/>
    <w:rsid w:val="002C72C1"/>
    <w:rsid w:val="002D0055"/>
    <w:rsid w:val="002D0C85"/>
    <w:rsid w:val="002D0CFE"/>
    <w:rsid w:val="002D170A"/>
    <w:rsid w:val="002D1E5D"/>
    <w:rsid w:val="002D1F02"/>
    <w:rsid w:val="002D2617"/>
    <w:rsid w:val="002D3EFF"/>
    <w:rsid w:val="002D49EE"/>
    <w:rsid w:val="002D50D8"/>
    <w:rsid w:val="002D65F2"/>
    <w:rsid w:val="002D724C"/>
    <w:rsid w:val="002D7293"/>
    <w:rsid w:val="002D7895"/>
    <w:rsid w:val="002E1614"/>
    <w:rsid w:val="002E1A51"/>
    <w:rsid w:val="002E2DED"/>
    <w:rsid w:val="002E2E28"/>
    <w:rsid w:val="002E3B74"/>
    <w:rsid w:val="002E3EA6"/>
    <w:rsid w:val="002E45CD"/>
    <w:rsid w:val="002E488A"/>
    <w:rsid w:val="002E63EC"/>
    <w:rsid w:val="002E78C5"/>
    <w:rsid w:val="002F072D"/>
    <w:rsid w:val="002F1323"/>
    <w:rsid w:val="002F1B04"/>
    <w:rsid w:val="002F2287"/>
    <w:rsid w:val="002F2C11"/>
    <w:rsid w:val="002F4139"/>
    <w:rsid w:val="002F5C71"/>
    <w:rsid w:val="002F71EF"/>
    <w:rsid w:val="002F7A31"/>
    <w:rsid w:val="00300158"/>
    <w:rsid w:val="0030060B"/>
    <w:rsid w:val="00300EA6"/>
    <w:rsid w:val="003031AB"/>
    <w:rsid w:val="003044E4"/>
    <w:rsid w:val="00304893"/>
    <w:rsid w:val="00305E64"/>
    <w:rsid w:val="003068CD"/>
    <w:rsid w:val="003077E0"/>
    <w:rsid w:val="00307BD2"/>
    <w:rsid w:val="00307C62"/>
    <w:rsid w:val="00310A8A"/>
    <w:rsid w:val="003111F3"/>
    <w:rsid w:val="00311223"/>
    <w:rsid w:val="00311B59"/>
    <w:rsid w:val="00312DA5"/>
    <w:rsid w:val="00312E26"/>
    <w:rsid w:val="00312F23"/>
    <w:rsid w:val="00312F7F"/>
    <w:rsid w:val="0031410F"/>
    <w:rsid w:val="00315AA4"/>
    <w:rsid w:val="00315E5E"/>
    <w:rsid w:val="00320082"/>
    <w:rsid w:val="00323796"/>
    <w:rsid w:val="003237D1"/>
    <w:rsid w:val="00323FBA"/>
    <w:rsid w:val="003322E8"/>
    <w:rsid w:val="003322F1"/>
    <w:rsid w:val="00333092"/>
    <w:rsid w:val="00333EB0"/>
    <w:rsid w:val="003367D2"/>
    <w:rsid w:val="0033728D"/>
    <w:rsid w:val="003408A9"/>
    <w:rsid w:val="00341499"/>
    <w:rsid w:val="00342070"/>
    <w:rsid w:val="003421BE"/>
    <w:rsid w:val="0034437A"/>
    <w:rsid w:val="00345415"/>
    <w:rsid w:val="00345C6C"/>
    <w:rsid w:val="00345F22"/>
    <w:rsid w:val="003465E1"/>
    <w:rsid w:val="00346C1D"/>
    <w:rsid w:val="0034719D"/>
    <w:rsid w:val="0035021F"/>
    <w:rsid w:val="00350576"/>
    <w:rsid w:val="00350768"/>
    <w:rsid w:val="003522FD"/>
    <w:rsid w:val="00353716"/>
    <w:rsid w:val="00353F6D"/>
    <w:rsid w:val="003561CB"/>
    <w:rsid w:val="003569C9"/>
    <w:rsid w:val="00357F3D"/>
    <w:rsid w:val="0036081B"/>
    <w:rsid w:val="0036095A"/>
    <w:rsid w:val="00361436"/>
    <w:rsid w:val="00362192"/>
    <w:rsid w:val="003626F9"/>
    <w:rsid w:val="00363652"/>
    <w:rsid w:val="00363CD8"/>
    <w:rsid w:val="00363DBD"/>
    <w:rsid w:val="003649AE"/>
    <w:rsid w:val="00364C12"/>
    <w:rsid w:val="00365848"/>
    <w:rsid w:val="003665EB"/>
    <w:rsid w:val="0036704C"/>
    <w:rsid w:val="003672DC"/>
    <w:rsid w:val="00367A95"/>
    <w:rsid w:val="00370715"/>
    <w:rsid w:val="00371761"/>
    <w:rsid w:val="00371CD1"/>
    <w:rsid w:val="0037206E"/>
    <w:rsid w:val="003720BE"/>
    <w:rsid w:val="00372E56"/>
    <w:rsid w:val="00372E7B"/>
    <w:rsid w:val="003759C3"/>
    <w:rsid w:val="00377C2F"/>
    <w:rsid w:val="00377FE1"/>
    <w:rsid w:val="00380463"/>
    <w:rsid w:val="003806A6"/>
    <w:rsid w:val="00385F82"/>
    <w:rsid w:val="003871DA"/>
    <w:rsid w:val="0038795B"/>
    <w:rsid w:val="00387BD5"/>
    <w:rsid w:val="00390D9A"/>
    <w:rsid w:val="0039295E"/>
    <w:rsid w:val="00392D70"/>
    <w:rsid w:val="00392F41"/>
    <w:rsid w:val="00394F88"/>
    <w:rsid w:val="00396465"/>
    <w:rsid w:val="003A031A"/>
    <w:rsid w:val="003A0A7A"/>
    <w:rsid w:val="003A125E"/>
    <w:rsid w:val="003A25B0"/>
    <w:rsid w:val="003A442E"/>
    <w:rsid w:val="003A509B"/>
    <w:rsid w:val="003A6AED"/>
    <w:rsid w:val="003A74C8"/>
    <w:rsid w:val="003B026F"/>
    <w:rsid w:val="003B0611"/>
    <w:rsid w:val="003B1000"/>
    <w:rsid w:val="003B2B12"/>
    <w:rsid w:val="003B2F84"/>
    <w:rsid w:val="003B35B3"/>
    <w:rsid w:val="003B3659"/>
    <w:rsid w:val="003B3C40"/>
    <w:rsid w:val="003B5D29"/>
    <w:rsid w:val="003B5FBA"/>
    <w:rsid w:val="003C0CE8"/>
    <w:rsid w:val="003C3DA0"/>
    <w:rsid w:val="003C42E3"/>
    <w:rsid w:val="003C46CB"/>
    <w:rsid w:val="003C69FD"/>
    <w:rsid w:val="003C6B60"/>
    <w:rsid w:val="003D1939"/>
    <w:rsid w:val="003D369C"/>
    <w:rsid w:val="003D3905"/>
    <w:rsid w:val="003E32C0"/>
    <w:rsid w:val="003E3C16"/>
    <w:rsid w:val="003E4BAA"/>
    <w:rsid w:val="003F0065"/>
    <w:rsid w:val="003F1A6C"/>
    <w:rsid w:val="003F53A5"/>
    <w:rsid w:val="003F5883"/>
    <w:rsid w:val="003F68F8"/>
    <w:rsid w:val="00400C7E"/>
    <w:rsid w:val="0040122C"/>
    <w:rsid w:val="00401D28"/>
    <w:rsid w:val="004022EB"/>
    <w:rsid w:val="00402DF8"/>
    <w:rsid w:val="00403A14"/>
    <w:rsid w:val="00403F58"/>
    <w:rsid w:val="004042D8"/>
    <w:rsid w:val="004057DD"/>
    <w:rsid w:val="004102D1"/>
    <w:rsid w:val="00411D00"/>
    <w:rsid w:val="004156F3"/>
    <w:rsid w:val="004160DE"/>
    <w:rsid w:val="004168FF"/>
    <w:rsid w:val="0042087A"/>
    <w:rsid w:val="00421201"/>
    <w:rsid w:val="00422DBA"/>
    <w:rsid w:val="00423EB5"/>
    <w:rsid w:val="00425461"/>
    <w:rsid w:val="00432001"/>
    <w:rsid w:val="00433FF8"/>
    <w:rsid w:val="0043410C"/>
    <w:rsid w:val="004354D0"/>
    <w:rsid w:val="00437DC1"/>
    <w:rsid w:val="00437DFE"/>
    <w:rsid w:val="004402A9"/>
    <w:rsid w:val="00441B7E"/>
    <w:rsid w:val="00442688"/>
    <w:rsid w:val="00450120"/>
    <w:rsid w:val="00451745"/>
    <w:rsid w:val="00451B28"/>
    <w:rsid w:val="0045282C"/>
    <w:rsid w:val="004533B3"/>
    <w:rsid w:val="00453ACD"/>
    <w:rsid w:val="00454991"/>
    <w:rsid w:val="00454A39"/>
    <w:rsid w:val="00454EF0"/>
    <w:rsid w:val="004558BD"/>
    <w:rsid w:val="0045595E"/>
    <w:rsid w:val="00455FA6"/>
    <w:rsid w:val="00461264"/>
    <w:rsid w:val="00461F01"/>
    <w:rsid w:val="00463F2A"/>
    <w:rsid w:val="00467584"/>
    <w:rsid w:val="00470177"/>
    <w:rsid w:val="00471776"/>
    <w:rsid w:val="00472771"/>
    <w:rsid w:val="00472A24"/>
    <w:rsid w:val="00472B68"/>
    <w:rsid w:val="004730D4"/>
    <w:rsid w:val="00473141"/>
    <w:rsid w:val="00475FF7"/>
    <w:rsid w:val="004770A6"/>
    <w:rsid w:val="00477259"/>
    <w:rsid w:val="00477355"/>
    <w:rsid w:val="00480C07"/>
    <w:rsid w:val="00482EA1"/>
    <w:rsid w:val="00482F07"/>
    <w:rsid w:val="00483C4F"/>
    <w:rsid w:val="004849AE"/>
    <w:rsid w:val="0048501C"/>
    <w:rsid w:val="00485970"/>
    <w:rsid w:val="00485BF8"/>
    <w:rsid w:val="0049148B"/>
    <w:rsid w:val="00492C09"/>
    <w:rsid w:val="00492CBD"/>
    <w:rsid w:val="004937E1"/>
    <w:rsid w:val="00493A2F"/>
    <w:rsid w:val="0049492C"/>
    <w:rsid w:val="004953AD"/>
    <w:rsid w:val="0049586C"/>
    <w:rsid w:val="0049595B"/>
    <w:rsid w:val="0049696D"/>
    <w:rsid w:val="004A0682"/>
    <w:rsid w:val="004A1194"/>
    <w:rsid w:val="004A1495"/>
    <w:rsid w:val="004A1506"/>
    <w:rsid w:val="004A1792"/>
    <w:rsid w:val="004A2663"/>
    <w:rsid w:val="004A2BFE"/>
    <w:rsid w:val="004A323F"/>
    <w:rsid w:val="004A4BD7"/>
    <w:rsid w:val="004A55CA"/>
    <w:rsid w:val="004A59D6"/>
    <w:rsid w:val="004B0F7E"/>
    <w:rsid w:val="004B11F4"/>
    <w:rsid w:val="004B42EE"/>
    <w:rsid w:val="004B4D1A"/>
    <w:rsid w:val="004B73ED"/>
    <w:rsid w:val="004C025F"/>
    <w:rsid w:val="004C2076"/>
    <w:rsid w:val="004C2C05"/>
    <w:rsid w:val="004C3B5E"/>
    <w:rsid w:val="004C44A9"/>
    <w:rsid w:val="004C4812"/>
    <w:rsid w:val="004C5090"/>
    <w:rsid w:val="004C6712"/>
    <w:rsid w:val="004C6C22"/>
    <w:rsid w:val="004D0635"/>
    <w:rsid w:val="004D065D"/>
    <w:rsid w:val="004D0D7E"/>
    <w:rsid w:val="004D1AEE"/>
    <w:rsid w:val="004D2B5A"/>
    <w:rsid w:val="004D2E06"/>
    <w:rsid w:val="004D4AB5"/>
    <w:rsid w:val="004D6026"/>
    <w:rsid w:val="004E0B7B"/>
    <w:rsid w:val="004E0BCB"/>
    <w:rsid w:val="004E3352"/>
    <w:rsid w:val="004E3C5C"/>
    <w:rsid w:val="004E475D"/>
    <w:rsid w:val="004E479C"/>
    <w:rsid w:val="004E5218"/>
    <w:rsid w:val="004F2473"/>
    <w:rsid w:val="004F27BF"/>
    <w:rsid w:val="004F30FD"/>
    <w:rsid w:val="004F36C5"/>
    <w:rsid w:val="004F3D4D"/>
    <w:rsid w:val="004F41B7"/>
    <w:rsid w:val="004F5A76"/>
    <w:rsid w:val="00500EE0"/>
    <w:rsid w:val="0050160D"/>
    <w:rsid w:val="00502659"/>
    <w:rsid w:val="00502DD4"/>
    <w:rsid w:val="00502F35"/>
    <w:rsid w:val="005057DA"/>
    <w:rsid w:val="00505BFF"/>
    <w:rsid w:val="005070E0"/>
    <w:rsid w:val="00507ABA"/>
    <w:rsid w:val="0051037C"/>
    <w:rsid w:val="005113F4"/>
    <w:rsid w:val="00512888"/>
    <w:rsid w:val="00513D86"/>
    <w:rsid w:val="005147F8"/>
    <w:rsid w:val="0051495B"/>
    <w:rsid w:val="00515399"/>
    <w:rsid w:val="0051543C"/>
    <w:rsid w:val="00516FE5"/>
    <w:rsid w:val="00517BF1"/>
    <w:rsid w:val="00520431"/>
    <w:rsid w:val="005210CE"/>
    <w:rsid w:val="005211DB"/>
    <w:rsid w:val="0052158D"/>
    <w:rsid w:val="00522546"/>
    <w:rsid w:val="00522F7D"/>
    <w:rsid w:val="00523CA4"/>
    <w:rsid w:val="0052519F"/>
    <w:rsid w:val="00526EDC"/>
    <w:rsid w:val="005270FB"/>
    <w:rsid w:val="00527A4B"/>
    <w:rsid w:val="00527F8E"/>
    <w:rsid w:val="0053120D"/>
    <w:rsid w:val="00534E4D"/>
    <w:rsid w:val="005356A4"/>
    <w:rsid w:val="005356C3"/>
    <w:rsid w:val="005359C9"/>
    <w:rsid w:val="00537877"/>
    <w:rsid w:val="00540332"/>
    <w:rsid w:val="00540F39"/>
    <w:rsid w:val="00540FD1"/>
    <w:rsid w:val="0054145E"/>
    <w:rsid w:val="00542CAD"/>
    <w:rsid w:val="00544ED1"/>
    <w:rsid w:val="005453C9"/>
    <w:rsid w:val="005469F4"/>
    <w:rsid w:val="00550384"/>
    <w:rsid w:val="00551A21"/>
    <w:rsid w:val="00552D2D"/>
    <w:rsid w:val="00552E23"/>
    <w:rsid w:val="00553BD7"/>
    <w:rsid w:val="0055470C"/>
    <w:rsid w:val="0055547E"/>
    <w:rsid w:val="00557EF7"/>
    <w:rsid w:val="00560359"/>
    <w:rsid w:val="005603AC"/>
    <w:rsid w:val="0056072C"/>
    <w:rsid w:val="00560B24"/>
    <w:rsid w:val="0056449D"/>
    <w:rsid w:val="00564B29"/>
    <w:rsid w:val="00565C67"/>
    <w:rsid w:val="00566ED7"/>
    <w:rsid w:val="00570368"/>
    <w:rsid w:val="005706E6"/>
    <w:rsid w:val="00570BF2"/>
    <w:rsid w:val="00570ED7"/>
    <w:rsid w:val="00570F8D"/>
    <w:rsid w:val="00571672"/>
    <w:rsid w:val="005722C1"/>
    <w:rsid w:val="005725C5"/>
    <w:rsid w:val="005747FF"/>
    <w:rsid w:val="00574DFF"/>
    <w:rsid w:val="0057596C"/>
    <w:rsid w:val="00575F57"/>
    <w:rsid w:val="0057625E"/>
    <w:rsid w:val="005765A3"/>
    <w:rsid w:val="00576EF1"/>
    <w:rsid w:val="00577684"/>
    <w:rsid w:val="00583F06"/>
    <w:rsid w:val="00585341"/>
    <w:rsid w:val="00587641"/>
    <w:rsid w:val="00591EEF"/>
    <w:rsid w:val="00592E0A"/>
    <w:rsid w:val="005948B5"/>
    <w:rsid w:val="00595AA4"/>
    <w:rsid w:val="00596086"/>
    <w:rsid w:val="00596E0B"/>
    <w:rsid w:val="005A02AC"/>
    <w:rsid w:val="005A160B"/>
    <w:rsid w:val="005A1614"/>
    <w:rsid w:val="005A17FE"/>
    <w:rsid w:val="005A1D7F"/>
    <w:rsid w:val="005A4B12"/>
    <w:rsid w:val="005A7BD7"/>
    <w:rsid w:val="005B29CE"/>
    <w:rsid w:val="005B3839"/>
    <w:rsid w:val="005B3A51"/>
    <w:rsid w:val="005B3B27"/>
    <w:rsid w:val="005B3D27"/>
    <w:rsid w:val="005B49B9"/>
    <w:rsid w:val="005B52C3"/>
    <w:rsid w:val="005B64B6"/>
    <w:rsid w:val="005C0B9A"/>
    <w:rsid w:val="005C164A"/>
    <w:rsid w:val="005C1E7B"/>
    <w:rsid w:val="005C36D2"/>
    <w:rsid w:val="005C3B7D"/>
    <w:rsid w:val="005C3EC4"/>
    <w:rsid w:val="005C4033"/>
    <w:rsid w:val="005C62B7"/>
    <w:rsid w:val="005C6D64"/>
    <w:rsid w:val="005C6EEE"/>
    <w:rsid w:val="005C7A09"/>
    <w:rsid w:val="005C7B83"/>
    <w:rsid w:val="005D13EC"/>
    <w:rsid w:val="005D1D99"/>
    <w:rsid w:val="005D28D7"/>
    <w:rsid w:val="005D2CEB"/>
    <w:rsid w:val="005D2D0B"/>
    <w:rsid w:val="005D35EF"/>
    <w:rsid w:val="005D5B49"/>
    <w:rsid w:val="005D71AD"/>
    <w:rsid w:val="005D7818"/>
    <w:rsid w:val="005D79C8"/>
    <w:rsid w:val="005D7D31"/>
    <w:rsid w:val="005D7D45"/>
    <w:rsid w:val="005E05CE"/>
    <w:rsid w:val="005E08FC"/>
    <w:rsid w:val="005E1619"/>
    <w:rsid w:val="005E29B2"/>
    <w:rsid w:val="005E3AC6"/>
    <w:rsid w:val="005E4540"/>
    <w:rsid w:val="005E4C33"/>
    <w:rsid w:val="005E5868"/>
    <w:rsid w:val="005E5FE1"/>
    <w:rsid w:val="005E7567"/>
    <w:rsid w:val="005E7900"/>
    <w:rsid w:val="005E7F63"/>
    <w:rsid w:val="005F05A6"/>
    <w:rsid w:val="005F1917"/>
    <w:rsid w:val="005F1F54"/>
    <w:rsid w:val="005F2181"/>
    <w:rsid w:val="005F38E5"/>
    <w:rsid w:val="005F4085"/>
    <w:rsid w:val="005F4E3A"/>
    <w:rsid w:val="005F50B2"/>
    <w:rsid w:val="005F5F44"/>
    <w:rsid w:val="00600A87"/>
    <w:rsid w:val="0060422B"/>
    <w:rsid w:val="00605457"/>
    <w:rsid w:val="006109AC"/>
    <w:rsid w:val="00621CAF"/>
    <w:rsid w:val="006221F8"/>
    <w:rsid w:val="00627042"/>
    <w:rsid w:val="00627695"/>
    <w:rsid w:val="006313AC"/>
    <w:rsid w:val="00631EC4"/>
    <w:rsid w:val="00632B48"/>
    <w:rsid w:val="00632E18"/>
    <w:rsid w:val="00633805"/>
    <w:rsid w:val="00634381"/>
    <w:rsid w:val="0063455D"/>
    <w:rsid w:val="00635464"/>
    <w:rsid w:val="00635869"/>
    <w:rsid w:val="00635ECE"/>
    <w:rsid w:val="00636E5B"/>
    <w:rsid w:val="0064181A"/>
    <w:rsid w:val="00643181"/>
    <w:rsid w:val="00643292"/>
    <w:rsid w:val="00645517"/>
    <w:rsid w:val="0064571C"/>
    <w:rsid w:val="006458B7"/>
    <w:rsid w:val="00646B99"/>
    <w:rsid w:val="00647234"/>
    <w:rsid w:val="00651B34"/>
    <w:rsid w:val="00653CB9"/>
    <w:rsid w:val="0065518A"/>
    <w:rsid w:val="006551BD"/>
    <w:rsid w:val="00656A8B"/>
    <w:rsid w:val="00657BFA"/>
    <w:rsid w:val="00663A56"/>
    <w:rsid w:val="00663B46"/>
    <w:rsid w:val="00667C3E"/>
    <w:rsid w:val="00667F7E"/>
    <w:rsid w:val="00670549"/>
    <w:rsid w:val="00672F8E"/>
    <w:rsid w:val="0067736D"/>
    <w:rsid w:val="00677472"/>
    <w:rsid w:val="006803CD"/>
    <w:rsid w:val="006817B4"/>
    <w:rsid w:val="00681AE6"/>
    <w:rsid w:val="00682152"/>
    <w:rsid w:val="00682C4E"/>
    <w:rsid w:val="0068559C"/>
    <w:rsid w:val="00686427"/>
    <w:rsid w:val="00686CF1"/>
    <w:rsid w:val="00686DD9"/>
    <w:rsid w:val="00691085"/>
    <w:rsid w:val="00691D46"/>
    <w:rsid w:val="00694543"/>
    <w:rsid w:val="0069486F"/>
    <w:rsid w:val="00694EA6"/>
    <w:rsid w:val="00695591"/>
    <w:rsid w:val="00695F3D"/>
    <w:rsid w:val="006961B5"/>
    <w:rsid w:val="00696D0B"/>
    <w:rsid w:val="0069719B"/>
    <w:rsid w:val="006975E9"/>
    <w:rsid w:val="006A0E10"/>
    <w:rsid w:val="006A2E61"/>
    <w:rsid w:val="006A34A1"/>
    <w:rsid w:val="006A56C7"/>
    <w:rsid w:val="006B0BFC"/>
    <w:rsid w:val="006B1B5E"/>
    <w:rsid w:val="006B26C8"/>
    <w:rsid w:val="006B3868"/>
    <w:rsid w:val="006B523F"/>
    <w:rsid w:val="006B5DCF"/>
    <w:rsid w:val="006B66FB"/>
    <w:rsid w:val="006B6BD9"/>
    <w:rsid w:val="006B6DD1"/>
    <w:rsid w:val="006B6F8D"/>
    <w:rsid w:val="006B754C"/>
    <w:rsid w:val="006B75D2"/>
    <w:rsid w:val="006C47B6"/>
    <w:rsid w:val="006C4A32"/>
    <w:rsid w:val="006C56DD"/>
    <w:rsid w:val="006C76A6"/>
    <w:rsid w:val="006D015B"/>
    <w:rsid w:val="006D1139"/>
    <w:rsid w:val="006D1686"/>
    <w:rsid w:val="006D29C1"/>
    <w:rsid w:val="006D2FB7"/>
    <w:rsid w:val="006D3065"/>
    <w:rsid w:val="006D41E2"/>
    <w:rsid w:val="006D444E"/>
    <w:rsid w:val="006D45D6"/>
    <w:rsid w:val="006D6589"/>
    <w:rsid w:val="006D71CD"/>
    <w:rsid w:val="006E3BDF"/>
    <w:rsid w:val="006E3FC7"/>
    <w:rsid w:val="006E51D9"/>
    <w:rsid w:val="006E5C82"/>
    <w:rsid w:val="006E69D7"/>
    <w:rsid w:val="006E6B1D"/>
    <w:rsid w:val="006E72F1"/>
    <w:rsid w:val="006F00CA"/>
    <w:rsid w:val="006F23E6"/>
    <w:rsid w:val="006F373A"/>
    <w:rsid w:val="006F38F3"/>
    <w:rsid w:val="006F4435"/>
    <w:rsid w:val="006F4EC1"/>
    <w:rsid w:val="006F5BC8"/>
    <w:rsid w:val="0070095D"/>
    <w:rsid w:val="0070111A"/>
    <w:rsid w:val="007041AD"/>
    <w:rsid w:val="00705AD4"/>
    <w:rsid w:val="00705C71"/>
    <w:rsid w:val="0070732D"/>
    <w:rsid w:val="00710165"/>
    <w:rsid w:val="007122CA"/>
    <w:rsid w:val="007134E1"/>
    <w:rsid w:val="00716976"/>
    <w:rsid w:val="007169A8"/>
    <w:rsid w:val="007209CD"/>
    <w:rsid w:val="00721F86"/>
    <w:rsid w:val="00722191"/>
    <w:rsid w:val="00722201"/>
    <w:rsid w:val="007230CE"/>
    <w:rsid w:val="00723C68"/>
    <w:rsid w:val="00723F80"/>
    <w:rsid w:val="007243A7"/>
    <w:rsid w:val="00724E36"/>
    <w:rsid w:val="007271C6"/>
    <w:rsid w:val="007302EC"/>
    <w:rsid w:val="0073273B"/>
    <w:rsid w:val="00732A27"/>
    <w:rsid w:val="00732F21"/>
    <w:rsid w:val="00733D36"/>
    <w:rsid w:val="00734651"/>
    <w:rsid w:val="0073650D"/>
    <w:rsid w:val="0073685A"/>
    <w:rsid w:val="00736D72"/>
    <w:rsid w:val="00740E4D"/>
    <w:rsid w:val="007413FC"/>
    <w:rsid w:val="007424AC"/>
    <w:rsid w:val="00743C36"/>
    <w:rsid w:val="00744FD3"/>
    <w:rsid w:val="00745445"/>
    <w:rsid w:val="00746C04"/>
    <w:rsid w:val="00747589"/>
    <w:rsid w:val="00747B45"/>
    <w:rsid w:val="00747C86"/>
    <w:rsid w:val="00747FC2"/>
    <w:rsid w:val="00750EA3"/>
    <w:rsid w:val="0075194D"/>
    <w:rsid w:val="00752664"/>
    <w:rsid w:val="00753740"/>
    <w:rsid w:val="00755BB0"/>
    <w:rsid w:val="00755C17"/>
    <w:rsid w:val="007570CE"/>
    <w:rsid w:val="0075715C"/>
    <w:rsid w:val="00757238"/>
    <w:rsid w:val="0075798B"/>
    <w:rsid w:val="0076056D"/>
    <w:rsid w:val="007606A3"/>
    <w:rsid w:val="0076224A"/>
    <w:rsid w:val="0076431E"/>
    <w:rsid w:val="007648ED"/>
    <w:rsid w:val="007655D1"/>
    <w:rsid w:val="00770EFF"/>
    <w:rsid w:val="00771304"/>
    <w:rsid w:val="00771359"/>
    <w:rsid w:val="00773354"/>
    <w:rsid w:val="007744D4"/>
    <w:rsid w:val="00775122"/>
    <w:rsid w:val="007751DE"/>
    <w:rsid w:val="0077545B"/>
    <w:rsid w:val="0077611B"/>
    <w:rsid w:val="007771DD"/>
    <w:rsid w:val="00780A15"/>
    <w:rsid w:val="007811D7"/>
    <w:rsid w:val="00781C2D"/>
    <w:rsid w:val="00782449"/>
    <w:rsid w:val="007842CE"/>
    <w:rsid w:val="00784E99"/>
    <w:rsid w:val="007852D9"/>
    <w:rsid w:val="007862CA"/>
    <w:rsid w:val="0078680A"/>
    <w:rsid w:val="0078738F"/>
    <w:rsid w:val="00791FA2"/>
    <w:rsid w:val="007969F0"/>
    <w:rsid w:val="007A0623"/>
    <w:rsid w:val="007A0D63"/>
    <w:rsid w:val="007A15D7"/>
    <w:rsid w:val="007A170E"/>
    <w:rsid w:val="007A4F0A"/>
    <w:rsid w:val="007A4FD3"/>
    <w:rsid w:val="007A55E5"/>
    <w:rsid w:val="007A669A"/>
    <w:rsid w:val="007A6926"/>
    <w:rsid w:val="007A6FA4"/>
    <w:rsid w:val="007B338E"/>
    <w:rsid w:val="007B7066"/>
    <w:rsid w:val="007B72CA"/>
    <w:rsid w:val="007C0AB0"/>
    <w:rsid w:val="007C0D87"/>
    <w:rsid w:val="007C10C2"/>
    <w:rsid w:val="007C2DF3"/>
    <w:rsid w:val="007C2E6A"/>
    <w:rsid w:val="007C312C"/>
    <w:rsid w:val="007C5E57"/>
    <w:rsid w:val="007C7E8F"/>
    <w:rsid w:val="007D04BA"/>
    <w:rsid w:val="007D09B8"/>
    <w:rsid w:val="007D106A"/>
    <w:rsid w:val="007D202C"/>
    <w:rsid w:val="007D2576"/>
    <w:rsid w:val="007D3196"/>
    <w:rsid w:val="007D3E20"/>
    <w:rsid w:val="007D40BA"/>
    <w:rsid w:val="007D4FB2"/>
    <w:rsid w:val="007D58A0"/>
    <w:rsid w:val="007D63FB"/>
    <w:rsid w:val="007D6BE5"/>
    <w:rsid w:val="007E2B56"/>
    <w:rsid w:val="007E463E"/>
    <w:rsid w:val="007E53BF"/>
    <w:rsid w:val="007E6529"/>
    <w:rsid w:val="007E715D"/>
    <w:rsid w:val="007F1B4A"/>
    <w:rsid w:val="007F5219"/>
    <w:rsid w:val="007F56B8"/>
    <w:rsid w:val="007F5D58"/>
    <w:rsid w:val="007F6999"/>
    <w:rsid w:val="007F7980"/>
    <w:rsid w:val="007F7FEA"/>
    <w:rsid w:val="008006BF"/>
    <w:rsid w:val="00801004"/>
    <w:rsid w:val="00802593"/>
    <w:rsid w:val="00802CAB"/>
    <w:rsid w:val="0080495B"/>
    <w:rsid w:val="00804D2C"/>
    <w:rsid w:val="008058E1"/>
    <w:rsid w:val="008070D9"/>
    <w:rsid w:val="008072EE"/>
    <w:rsid w:val="00810498"/>
    <w:rsid w:val="00810AA9"/>
    <w:rsid w:val="00810E4E"/>
    <w:rsid w:val="00811145"/>
    <w:rsid w:val="00811623"/>
    <w:rsid w:val="00813DF8"/>
    <w:rsid w:val="00814E75"/>
    <w:rsid w:val="00815906"/>
    <w:rsid w:val="00816343"/>
    <w:rsid w:val="008168CD"/>
    <w:rsid w:val="008168F4"/>
    <w:rsid w:val="00816904"/>
    <w:rsid w:val="00816E4F"/>
    <w:rsid w:val="00817C93"/>
    <w:rsid w:val="008200CE"/>
    <w:rsid w:val="008202A4"/>
    <w:rsid w:val="00820BDA"/>
    <w:rsid w:val="00821AEC"/>
    <w:rsid w:val="00823883"/>
    <w:rsid w:val="00823A03"/>
    <w:rsid w:val="00824C5E"/>
    <w:rsid w:val="00824E77"/>
    <w:rsid w:val="008259B6"/>
    <w:rsid w:val="00826461"/>
    <w:rsid w:val="008277D0"/>
    <w:rsid w:val="008306B9"/>
    <w:rsid w:val="0083207B"/>
    <w:rsid w:val="00835EA1"/>
    <w:rsid w:val="008361A3"/>
    <w:rsid w:val="00836716"/>
    <w:rsid w:val="00836FD2"/>
    <w:rsid w:val="00840E61"/>
    <w:rsid w:val="0084320F"/>
    <w:rsid w:val="00844F3C"/>
    <w:rsid w:val="008454F8"/>
    <w:rsid w:val="00850907"/>
    <w:rsid w:val="00850B5A"/>
    <w:rsid w:val="00852D28"/>
    <w:rsid w:val="00853725"/>
    <w:rsid w:val="00854FF5"/>
    <w:rsid w:val="00856395"/>
    <w:rsid w:val="00860FEE"/>
    <w:rsid w:val="0086246E"/>
    <w:rsid w:val="0086300C"/>
    <w:rsid w:val="00864C7E"/>
    <w:rsid w:val="00865952"/>
    <w:rsid w:val="00866B40"/>
    <w:rsid w:val="0086722C"/>
    <w:rsid w:val="00867C5D"/>
    <w:rsid w:val="00870204"/>
    <w:rsid w:val="00870C95"/>
    <w:rsid w:val="00870CA4"/>
    <w:rsid w:val="008714CB"/>
    <w:rsid w:val="008716F6"/>
    <w:rsid w:val="00873254"/>
    <w:rsid w:val="00873689"/>
    <w:rsid w:val="00873892"/>
    <w:rsid w:val="00873D9F"/>
    <w:rsid w:val="00873FBD"/>
    <w:rsid w:val="00874D58"/>
    <w:rsid w:val="008754E0"/>
    <w:rsid w:val="0088024F"/>
    <w:rsid w:val="008812C3"/>
    <w:rsid w:val="00883E01"/>
    <w:rsid w:val="00884795"/>
    <w:rsid w:val="0088572A"/>
    <w:rsid w:val="00885D11"/>
    <w:rsid w:val="00886C00"/>
    <w:rsid w:val="008909F4"/>
    <w:rsid w:val="008918C8"/>
    <w:rsid w:val="00891A0B"/>
    <w:rsid w:val="00893A63"/>
    <w:rsid w:val="00895CD7"/>
    <w:rsid w:val="00895F34"/>
    <w:rsid w:val="008A07D8"/>
    <w:rsid w:val="008A0A12"/>
    <w:rsid w:val="008A17FD"/>
    <w:rsid w:val="008A1E1F"/>
    <w:rsid w:val="008A1E39"/>
    <w:rsid w:val="008A3530"/>
    <w:rsid w:val="008A3E67"/>
    <w:rsid w:val="008A5B46"/>
    <w:rsid w:val="008A5F96"/>
    <w:rsid w:val="008A6E3F"/>
    <w:rsid w:val="008A757C"/>
    <w:rsid w:val="008B004B"/>
    <w:rsid w:val="008C1A2D"/>
    <w:rsid w:val="008C1C33"/>
    <w:rsid w:val="008C2C61"/>
    <w:rsid w:val="008C4399"/>
    <w:rsid w:val="008C439A"/>
    <w:rsid w:val="008C48F7"/>
    <w:rsid w:val="008C4BF4"/>
    <w:rsid w:val="008C5A6B"/>
    <w:rsid w:val="008C6076"/>
    <w:rsid w:val="008C64CA"/>
    <w:rsid w:val="008C6ADB"/>
    <w:rsid w:val="008C7E74"/>
    <w:rsid w:val="008D0051"/>
    <w:rsid w:val="008D1389"/>
    <w:rsid w:val="008D16E0"/>
    <w:rsid w:val="008D3B1B"/>
    <w:rsid w:val="008D4A11"/>
    <w:rsid w:val="008D56C6"/>
    <w:rsid w:val="008D5E37"/>
    <w:rsid w:val="008D7DE7"/>
    <w:rsid w:val="008E0F6A"/>
    <w:rsid w:val="008E10CB"/>
    <w:rsid w:val="008E10CF"/>
    <w:rsid w:val="008E1D2F"/>
    <w:rsid w:val="008E20CB"/>
    <w:rsid w:val="008F0C01"/>
    <w:rsid w:val="008F13F2"/>
    <w:rsid w:val="008F1FB7"/>
    <w:rsid w:val="008F614C"/>
    <w:rsid w:val="008F62F1"/>
    <w:rsid w:val="008F7826"/>
    <w:rsid w:val="00900F86"/>
    <w:rsid w:val="009021D4"/>
    <w:rsid w:val="00903433"/>
    <w:rsid w:val="00904610"/>
    <w:rsid w:val="009055F6"/>
    <w:rsid w:val="00905909"/>
    <w:rsid w:val="00905A36"/>
    <w:rsid w:val="00905BBA"/>
    <w:rsid w:val="009066E9"/>
    <w:rsid w:val="00907177"/>
    <w:rsid w:val="0091081D"/>
    <w:rsid w:val="00913C4D"/>
    <w:rsid w:val="00914A08"/>
    <w:rsid w:val="00914A50"/>
    <w:rsid w:val="009151DF"/>
    <w:rsid w:val="009151E3"/>
    <w:rsid w:val="0091589C"/>
    <w:rsid w:val="00915FBA"/>
    <w:rsid w:val="00917C15"/>
    <w:rsid w:val="00920BF6"/>
    <w:rsid w:val="00921B02"/>
    <w:rsid w:val="00922074"/>
    <w:rsid w:val="00922A84"/>
    <w:rsid w:val="00922EF6"/>
    <w:rsid w:val="0092339E"/>
    <w:rsid w:val="00925605"/>
    <w:rsid w:val="00926380"/>
    <w:rsid w:val="00927007"/>
    <w:rsid w:val="00927293"/>
    <w:rsid w:val="009272E7"/>
    <w:rsid w:val="00930433"/>
    <w:rsid w:val="00930DF1"/>
    <w:rsid w:val="00931ECB"/>
    <w:rsid w:val="00932304"/>
    <w:rsid w:val="00932786"/>
    <w:rsid w:val="009337DC"/>
    <w:rsid w:val="00934ECD"/>
    <w:rsid w:val="00935816"/>
    <w:rsid w:val="00937244"/>
    <w:rsid w:val="009378C1"/>
    <w:rsid w:val="0094082C"/>
    <w:rsid w:val="00940BCF"/>
    <w:rsid w:val="00940D84"/>
    <w:rsid w:val="00940D94"/>
    <w:rsid w:val="00941215"/>
    <w:rsid w:val="00942E57"/>
    <w:rsid w:val="00942F17"/>
    <w:rsid w:val="00943AF6"/>
    <w:rsid w:val="00946264"/>
    <w:rsid w:val="0094630F"/>
    <w:rsid w:val="00946463"/>
    <w:rsid w:val="009465F6"/>
    <w:rsid w:val="009503F3"/>
    <w:rsid w:val="0095205D"/>
    <w:rsid w:val="00954C7C"/>
    <w:rsid w:val="00957947"/>
    <w:rsid w:val="009607CF"/>
    <w:rsid w:val="0096106F"/>
    <w:rsid w:val="00961249"/>
    <w:rsid w:val="00961ADD"/>
    <w:rsid w:val="0096386D"/>
    <w:rsid w:val="00963AFF"/>
    <w:rsid w:val="00964210"/>
    <w:rsid w:val="00964DB9"/>
    <w:rsid w:val="0096584B"/>
    <w:rsid w:val="0096682A"/>
    <w:rsid w:val="00970557"/>
    <w:rsid w:val="00974970"/>
    <w:rsid w:val="00977DC9"/>
    <w:rsid w:val="00980DAA"/>
    <w:rsid w:val="0098139E"/>
    <w:rsid w:val="009831B6"/>
    <w:rsid w:val="00984DD5"/>
    <w:rsid w:val="009862B0"/>
    <w:rsid w:val="009871FB"/>
    <w:rsid w:val="0098738B"/>
    <w:rsid w:val="00991BA8"/>
    <w:rsid w:val="00991CCA"/>
    <w:rsid w:val="00994393"/>
    <w:rsid w:val="0099454C"/>
    <w:rsid w:val="00994EE3"/>
    <w:rsid w:val="0099524C"/>
    <w:rsid w:val="00996084"/>
    <w:rsid w:val="009A0043"/>
    <w:rsid w:val="009A01D0"/>
    <w:rsid w:val="009A06ED"/>
    <w:rsid w:val="009A2578"/>
    <w:rsid w:val="009A313B"/>
    <w:rsid w:val="009A32B0"/>
    <w:rsid w:val="009A3866"/>
    <w:rsid w:val="009A3A85"/>
    <w:rsid w:val="009A3A9D"/>
    <w:rsid w:val="009A7497"/>
    <w:rsid w:val="009B0F5D"/>
    <w:rsid w:val="009B5652"/>
    <w:rsid w:val="009B602E"/>
    <w:rsid w:val="009B6FB3"/>
    <w:rsid w:val="009B7D1E"/>
    <w:rsid w:val="009B7E57"/>
    <w:rsid w:val="009C1858"/>
    <w:rsid w:val="009C1CFC"/>
    <w:rsid w:val="009C2DA4"/>
    <w:rsid w:val="009C6870"/>
    <w:rsid w:val="009C6D2E"/>
    <w:rsid w:val="009D003A"/>
    <w:rsid w:val="009D0D96"/>
    <w:rsid w:val="009D1A34"/>
    <w:rsid w:val="009D33DF"/>
    <w:rsid w:val="009D46E0"/>
    <w:rsid w:val="009D7224"/>
    <w:rsid w:val="009E153F"/>
    <w:rsid w:val="009E4F57"/>
    <w:rsid w:val="009E5789"/>
    <w:rsid w:val="009E5B39"/>
    <w:rsid w:val="009E65BF"/>
    <w:rsid w:val="009E6C24"/>
    <w:rsid w:val="009E7747"/>
    <w:rsid w:val="009F091D"/>
    <w:rsid w:val="009F2C34"/>
    <w:rsid w:val="009F4A5E"/>
    <w:rsid w:val="009F502A"/>
    <w:rsid w:val="009F5137"/>
    <w:rsid w:val="009F7D4B"/>
    <w:rsid w:val="00A00F99"/>
    <w:rsid w:val="00A011BB"/>
    <w:rsid w:val="00A017C9"/>
    <w:rsid w:val="00A0321D"/>
    <w:rsid w:val="00A03AFF"/>
    <w:rsid w:val="00A04E90"/>
    <w:rsid w:val="00A0528E"/>
    <w:rsid w:val="00A06AF2"/>
    <w:rsid w:val="00A10AF5"/>
    <w:rsid w:val="00A10DB5"/>
    <w:rsid w:val="00A112D6"/>
    <w:rsid w:val="00A11456"/>
    <w:rsid w:val="00A126BA"/>
    <w:rsid w:val="00A12A34"/>
    <w:rsid w:val="00A12DFE"/>
    <w:rsid w:val="00A13B54"/>
    <w:rsid w:val="00A1475C"/>
    <w:rsid w:val="00A14B1E"/>
    <w:rsid w:val="00A14D0F"/>
    <w:rsid w:val="00A16C5F"/>
    <w:rsid w:val="00A21B3A"/>
    <w:rsid w:val="00A21CDE"/>
    <w:rsid w:val="00A24054"/>
    <w:rsid w:val="00A24831"/>
    <w:rsid w:val="00A253B6"/>
    <w:rsid w:val="00A254BB"/>
    <w:rsid w:val="00A274D8"/>
    <w:rsid w:val="00A276FC"/>
    <w:rsid w:val="00A2780E"/>
    <w:rsid w:val="00A30457"/>
    <w:rsid w:val="00A33291"/>
    <w:rsid w:val="00A33F6A"/>
    <w:rsid w:val="00A35075"/>
    <w:rsid w:val="00A35649"/>
    <w:rsid w:val="00A35ABC"/>
    <w:rsid w:val="00A36183"/>
    <w:rsid w:val="00A3729E"/>
    <w:rsid w:val="00A376F8"/>
    <w:rsid w:val="00A41146"/>
    <w:rsid w:val="00A4268F"/>
    <w:rsid w:val="00A43700"/>
    <w:rsid w:val="00A44888"/>
    <w:rsid w:val="00A44EFA"/>
    <w:rsid w:val="00A4506A"/>
    <w:rsid w:val="00A450F8"/>
    <w:rsid w:val="00A45E0C"/>
    <w:rsid w:val="00A46667"/>
    <w:rsid w:val="00A477D9"/>
    <w:rsid w:val="00A50B8C"/>
    <w:rsid w:val="00A524D9"/>
    <w:rsid w:val="00A54643"/>
    <w:rsid w:val="00A54747"/>
    <w:rsid w:val="00A54A1E"/>
    <w:rsid w:val="00A576CD"/>
    <w:rsid w:val="00A57733"/>
    <w:rsid w:val="00A60624"/>
    <w:rsid w:val="00A62C1A"/>
    <w:rsid w:val="00A6411A"/>
    <w:rsid w:val="00A653EE"/>
    <w:rsid w:val="00A66D45"/>
    <w:rsid w:val="00A67C37"/>
    <w:rsid w:val="00A71632"/>
    <w:rsid w:val="00A7238E"/>
    <w:rsid w:val="00A73425"/>
    <w:rsid w:val="00A735DA"/>
    <w:rsid w:val="00A736E8"/>
    <w:rsid w:val="00A7456F"/>
    <w:rsid w:val="00A7460E"/>
    <w:rsid w:val="00A74EC8"/>
    <w:rsid w:val="00A7514C"/>
    <w:rsid w:val="00A7733B"/>
    <w:rsid w:val="00A81E19"/>
    <w:rsid w:val="00A82B19"/>
    <w:rsid w:val="00A8312F"/>
    <w:rsid w:val="00A84039"/>
    <w:rsid w:val="00A864F6"/>
    <w:rsid w:val="00A87D45"/>
    <w:rsid w:val="00A90BDF"/>
    <w:rsid w:val="00A9101B"/>
    <w:rsid w:val="00A9226E"/>
    <w:rsid w:val="00A92415"/>
    <w:rsid w:val="00A927A9"/>
    <w:rsid w:val="00A93EC5"/>
    <w:rsid w:val="00A94375"/>
    <w:rsid w:val="00A946B2"/>
    <w:rsid w:val="00A9543E"/>
    <w:rsid w:val="00A954B7"/>
    <w:rsid w:val="00A95A48"/>
    <w:rsid w:val="00A96504"/>
    <w:rsid w:val="00A97294"/>
    <w:rsid w:val="00A97B4E"/>
    <w:rsid w:val="00AA369C"/>
    <w:rsid w:val="00AA3831"/>
    <w:rsid w:val="00AA4160"/>
    <w:rsid w:val="00AA43B2"/>
    <w:rsid w:val="00AA4990"/>
    <w:rsid w:val="00AA548D"/>
    <w:rsid w:val="00AA6CF1"/>
    <w:rsid w:val="00AA6E68"/>
    <w:rsid w:val="00AB060B"/>
    <w:rsid w:val="00AB272F"/>
    <w:rsid w:val="00AB4C40"/>
    <w:rsid w:val="00AB4FA3"/>
    <w:rsid w:val="00AB577F"/>
    <w:rsid w:val="00AC3C84"/>
    <w:rsid w:val="00AD053D"/>
    <w:rsid w:val="00AD21C9"/>
    <w:rsid w:val="00AD2919"/>
    <w:rsid w:val="00AD2955"/>
    <w:rsid w:val="00AD330F"/>
    <w:rsid w:val="00AD376B"/>
    <w:rsid w:val="00AD38D5"/>
    <w:rsid w:val="00AD4C7E"/>
    <w:rsid w:val="00AD6632"/>
    <w:rsid w:val="00AD6B01"/>
    <w:rsid w:val="00AD6C69"/>
    <w:rsid w:val="00AD7F4F"/>
    <w:rsid w:val="00AE0612"/>
    <w:rsid w:val="00AE120D"/>
    <w:rsid w:val="00AE26D4"/>
    <w:rsid w:val="00AE27FC"/>
    <w:rsid w:val="00AE3044"/>
    <w:rsid w:val="00AE3A32"/>
    <w:rsid w:val="00AE3B5A"/>
    <w:rsid w:val="00AE487C"/>
    <w:rsid w:val="00AE71DD"/>
    <w:rsid w:val="00AE779A"/>
    <w:rsid w:val="00AF256C"/>
    <w:rsid w:val="00AF3979"/>
    <w:rsid w:val="00AF4367"/>
    <w:rsid w:val="00AF6C81"/>
    <w:rsid w:val="00AF723A"/>
    <w:rsid w:val="00B006BD"/>
    <w:rsid w:val="00B00811"/>
    <w:rsid w:val="00B016C2"/>
    <w:rsid w:val="00B02EFA"/>
    <w:rsid w:val="00B03A83"/>
    <w:rsid w:val="00B05883"/>
    <w:rsid w:val="00B07079"/>
    <w:rsid w:val="00B125A7"/>
    <w:rsid w:val="00B12CCE"/>
    <w:rsid w:val="00B140C1"/>
    <w:rsid w:val="00B16D42"/>
    <w:rsid w:val="00B16F40"/>
    <w:rsid w:val="00B17C16"/>
    <w:rsid w:val="00B2545F"/>
    <w:rsid w:val="00B2583A"/>
    <w:rsid w:val="00B268F2"/>
    <w:rsid w:val="00B275A4"/>
    <w:rsid w:val="00B30EB3"/>
    <w:rsid w:val="00B31085"/>
    <w:rsid w:val="00B31F3A"/>
    <w:rsid w:val="00B32019"/>
    <w:rsid w:val="00B328CC"/>
    <w:rsid w:val="00B32AB8"/>
    <w:rsid w:val="00B32CBE"/>
    <w:rsid w:val="00B330D6"/>
    <w:rsid w:val="00B3317E"/>
    <w:rsid w:val="00B34244"/>
    <w:rsid w:val="00B34537"/>
    <w:rsid w:val="00B34E43"/>
    <w:rsid w:val="00B35595"/>
    <w:rsid w:val="00B36909"/>
    <w:rsid w:val="00B36A18"/>
    <w:rsid w:val="00B37A65"/>
    <w:rsid w:val="00B37F41"/>
    <w:rsid w:val="00B401EF"/>
    <w:rsid w:val="00B402AC"/>
    <w:rsid w:val="00B4155E"/>
    <w:rsid w:val="00B43902"/>
    <w:rsid w:val="00B44B2C"/>
    <w:rsid w:val="00B451D0"/>
    <w:rsid w:val="00B45F31"/>
    <w:rsid w:val="00B47D9B"/>
    <w:rsid w:val="00B47EBB"/>
    <w:rsid w:val="00B50F36"/>
    <w:rsid w:val="00B532DD"/>
    <w:rsid w:val="00B53AA0"/>
    <w:rsid w:val="00B53ED0"/>
    <w:rsid w:val="00B541D0"/>
    <w:rsid w:val="00B54D21"/>
    <w:rsid w:val="00B55EB2"/>
    <w:rsid w:val="00B5632A"/>
    <w:rsid w:val="00B57A96"/>
    <w:rsid w:val="00B61331"/>
    <w:rsid w:val="00B63370"/>
    <w:rsid w:val="00B64289"/>
    <w:rsid w:val="00B648E7"/>
    <w:rsid w:val="00B65691"/>
    <w:rsid w:val="00B662C4"/>
    <w:rsid w:val="00B66669"/>
    <w:rsid w:val="00B66F7D"/>
    <w:rsid w:val="00B67140"/>
    <w:rsid w:val="00B673F0"/>
    <w:rsid w:val="00B674D6"/>
    <w:rsid w:val="00B677D5"/>
    <w:rsid w:val="00B678D3"/>
    <w:rsid w:val="00B67FED"/>
    <w:rsid w:val="00B715E3"/>
    <w:rsid w:val="00B7197B"/>
    <w:rsid w:val="00B73D30"/>
    <w:rsid w:val="00B7407F"/>
    <w:rsid w:val="00B74D34"/>
    <w:rsid w:val="00B7512A"/>
    <w:rsid w:val="00B7557F"/>
    <w:rsid w:val="00B75D40"/>
    <w:rsid w:val="00B80FD4"/>
    <w:rsid w:val="00B8276E"/>
    <w:rsid w:val="00B83E2D"/>
    <w:rsid w:val="00B851C7"/>
    <w:rsid w:val="00B853ED"/>
    <w:rsid w:val="00B854D4"/>
    <w:rsid w:val="00B86654"/>
    <w:rsid w:val="00B86905"/>
    <w:rsid w:val="00B86EF9"/>
    <w:rsid w:val="00B87137"/>
    <w:rsid w:val="00B90064"/>
    <w:rsid w:val="00B901E3"/>
    <w:rsid w:val="00B92155"/>
    <w:rsid w:val="00B93998"/>
    <w:rsid w:val="00B95A2C"/>
    <w:rsid w:val="00B95DC5"/>
    <w:rsid w:val="00B95FF3"/>
    <w:rsid w:val="00BA5445"/>
    <w:rsid w:val="00BA6B7F"/>
    <w:rsid w:val="00BA743F"/>
    <w:rsid w:val="00BA750D"/>
    <w:rsid w:val="00BB02CB"/>
    <w:rsid w:val="00BB1D27"/>
    <w:rsid w:val="00BB3F6E"/>
    <w:rsid w:val="00BB5E7E"/>
    <w:rsid w:val="00BB6C3E"/>
    <w:rsid w:val="00BC074E"/>
    <w:rsid w:val="00BC321D"/>
    <w:rsid w:val="00BC3F74"/>
    <w:rsid w:val="00BC41B6"/>
    <w:rsid w:val="00BC4C90"/>
    <w:rsid w:val="00BC6D0C"/>
    <w:rsid w:val="00BD14AF"/>
    <w:rsid w:val="00BD5865"/>
    <w:rsid w:val="00BD5B1A"/>
    <w:rsid w:val="00BD5E36"/>
    <w:rsid w:val="00BD5F33"/>
    <w:rsid w:val="00BE2C0D"/>
    <w:rsid w:val="00BE4B19"/>
    <w:rsid w:val="00BE5263"/>
    <w:rsid w:val="00BE5302"/>
    <w:rsid w:val="00BE595F"/>
    <w:rsid w:val="00BE7842"/>
    <w:rsid w:val="00BE7B5C"/>
    <w:rsid w:val="00BF0316"/>
    <w:rsid w:val="00BF1187"/>
    <w:rsid w:val="00BF165A"/>
    <w:rsid w:val="00BF1E10"/>
    <w:rsid w:val="00BF1F40"/>
    <w:rsid w:val="00BF4DC3"/>
    <w:rsid w:val="00BF670E"/>
    <w:rsid w:val="00BF6734"/>
    <w:rsid w:val="00BF755B"/>
    <w:rsid w:val="00C01C6A"/>
    <w:rsid w:val="00C033A0"/>
    <w:rsid w:val="00C03560"/>
    <w:rsid w:val="00C053B0"/>
    <w:rsid w:val="00C0586B"/>
    <w:rsid w:val="00C06E9B"/>
    <w:rsid w:val="00C10C59"/>
    <w:rsid w:val="00C115BE"/>
    <w:rsid w:val="00C116EB"/>
    <w:rsid w:val="00C11901"/>
    <w:rsid w:val="00C11F30"/>
    <w:rsid w:val="00C13032"/>
    <w:rsid w:val="00C15DF1"/>
    <w:rsid w:val="00C16904"/>
    <w:rsid w:val="00C173DD"/>
    <w:rsid w:val="00C17450"/>
    <w:rsid w:val="00C22B49"/>
    <w:rsid w:val="00C23F14"/>
    <w:rsid w:val="00C24C22"/>
    <w:rsid w:val="00C24C75"/>
    <w:rsid w:val="00C263D2"/>
    <w:rsid w:val="00C267F6"/>
    <w:rsid w:val="00C26E23"/>
    <w:rsid w:val="00C30CA3"/>
    <w:rsid w:val="00C3100F"/>
    <w:rsid w:val="00C313CA"/>
    <w:rsid w:val="00C321D5"/>
    <w:rsid w:val="00C346E3"/>
    <w:rsid w:val="00C36870"/>
    <w:rsid w:val="00C37F3D"/>
    <w:rsid w:val="00C40021"/>
    <w:rsid w:val="00C42BB3"/>
    <w:rsid w:val="00C42EF5"/>
    <w:rsid w:val="00C44203"/>
    <w:rsid w:val="00C4433A"/>
    <w:rsid w:val="00C44401"/>
    <w:rsid w:val="00C4475B"/>
    <w:rsid w:val="00C44D43"/>
    <w:rsid w:val="00C44F44"/>
    <w:rsid w:val="00C454BC"/>
    <w:rsid w:val="00C461DE"/>
    <w:rsid w:val="00C47702"/>
    <w:rsid w:val="00C508B3"/>
    <w:rsid w:val="00C533FF"/>
    <w:rsid w:val="00C53437"/>
    <w:rsid w:val="00C53ABC"/>
    <w:rsid w:val="00C54807"/>
    <w:rsid w:val="00C55667"/>
    <w:rsid w:val="00C575F5"/>
    <w:rsid w:val="00C57733"/>
    <w:rsid w:val="00C57BAC"/>
    <w:rsid w:val="00C60D2C"/>
    <w:rsid w:val="00C61088"/>
    <w:rsid w:val="00C6188E"/>
    <w:rsid w:val="00C64090"/>
    <w:rsid w:val="00C64386"/>
    <w:rsid w:val="00C6628F"/>
    <w:rsid w:val="00C67166"/>
    <w:rsid w:val="00C67CED"/>
    <w:rsid w:val="00C7212D"/>
    <w:rsid w:val="00C72D5F"/>
    <w:rsid w:val="00C74580"/>
    <w:rsid w:val="00C74D24"/>
    <w:rsid w:val="00C75029"/>
    <w:rsid w:val="00C75F21"/>
    <w:rsid w:val="00C7616A"/>
    <w:rsid w:val="00C769F8"/>
    <w:rsid w:val="00C8027F"/>
    <w:rsid w:val="00C80B7D"/>
    <w:rsid w:val="00C81B28"/>
    <w:rsid w:val="00C83F85"/>
    <w:rsid w:val="00C85696"/>
    <w:rsid w:val="00C86E1F"/>
    <w:rsid w:val="00C87942"/>
    <w:rsid w:val="00C90A86"/>
    <w:rsid w:val="00C943CB"/>
    <w:rsid w:val="00C9625F"/>
    <w:rsid w:val="00C97221"/>
    <w:rsid w:val="00C973F7"/>
    <w:rsid w:val="00C97893"/>
    <w:rsid w:val="00C97FBC"/>
    <w:rsid w:val="00CA0256"/>
    <w:rsid w:val="00CA031E"/>
    <w:rsid w:val="00CA0A1D"/>
    <w:rsid w:val="00CA12DA"/>
    <w:rsid w:val="00CA58D1"/>
    <w:rsid w:val="00CA69C9"/>
    <w:rsid w:val="00CA70A1"/>
    <w:rsid w:val="00CB4804"/>
    <w:rsid w:val="00CB48D5"/>
    <w:rsid w:val="00CB54AB"/>
    <w:rsid w:val="00CB5B7E"/>
    <w:rsid w:val="00CC04DC"/>
    <w:rsid w:val="00CC21DF"/>
    <w:rsid w:val="00CC7690"/>
    <w:rsid w:val="00CD27DA"/>
    <w:rsid w:val="00CD3A46"/>
    <w:rsid w:val="00CD4B45"/>
    <w:rsid w:val="00CD6497"/>
    <w:rsid w:val="00CE14F5"/>
    <w:rsid w:val="00CE1BC9"/>
    <w:rsid w:val="00CE2D31"/>
    <w:rsid w:val="00CE4888"/>
    <w:rsid w:val="00CE51DB"/>
    <w:rsid w:val="00CE5EF4"/>
    <w:rsid w:val="00CE6A6A"/>
    <w:rsid w:val="00CE6BF7"/>
    <w:rsid w:val="00CE702B"/>
    <w:rsid w:val="00CE7B1F"/>
    <w:rsid w:val="00CF1AA2"/>
    <w:rsid w:val="00CF24CA"/>
    <w:rsid w:val="00CF2AC2"/>
    <w:rsid w:val="00CF4451"/>
    <w:rsid w:val="00CF46D2"/>
    <w:rsid w:val="00CF4797"/>
    <w:rsid w:val="00CF47C5"/>
    <w:rsid w:val="00CF4DD0"/>
    <w:rsid w:val="00CF55B9"/>
    <w:rsid w:val="00CF5734"/>
    <w:rsid w:val="00CF5985"/>
    <w:rsid w:val="00D003AA"/>
    <w:rsid w:val="00D00919"/>
    <w:rsid w:val="00D01417"/>
    <w:rsid w:val="00D0375A"/>
    <w:rsid w:val="00D04530"/>
    <w:rsid w:val="00D05C48"/>
    <w:rsid w:val="00D068C5"/>
    <w:rsid w:val="00D117B3"/>
    <w:rsid w:val="00D1191E"/>
    <w:rsid w:val="00D14A1F"/>
    <w:rsid w:val="00D14A3B"/>
    <w:rsid w:val="00D2141B"/>
    <w:rsid w:val="00D215FA"/>
    <w:rsid w:val="00D22177"/>
    <w:rsid w:val="00D23382"/>
    <w:rsid w:val="00D27A5E"/>
    <w:rsid w:val="00D31FC7"/>
    <w:rsid w:val="00D324BD"/>
    <w:rsid w:val="00D33570"/>
    <w:rsid w:val="00D336A1"/>
    <w:rsid w:val="00D34AF7"/>
    <w:rsid w:val="00D36F6F"/>
    <w:rsid w:val="00D377C2"/>
    <w:rsid w:val="00D40665"/>
    <w:rsid w:val="00D41108"/>
    <w:rsid w:val="00D41461"/>
    <w:rsid w:val="00D425F8"/>
    <w:rsid w:val="00D43913"/>
    <w:rsid w:val="00D44CA4"/>
    <w:rsid w:val="00D46D01"/>
    <w:rsid w:val="00D50E66"/>
    <w:rsid w:val="00D5309C"/>
    <w:rsid w:val="00D53E71"/>
    <w:rsid w:val="00D56014"/>
    <w:rsid w:val="00D57A36"/>
    <w:rsid w:val="00D60C8E"/>
    <w:rsid w:val="00D62F12"/>
    <w:rsid w:val="00D64781"/>
    <w:rsid w:val="00D64944"/>
    <w:rsid w:val="00D64E5B"/>
    <w:rsid w:val="00D66B8E"/>
    <w:rsid w:val="00D6798B"/>
    <w:rsid w:val="00D7041A"/>
    <w:rsid w:val="00D71E0A"/>
    <w:rsid w:val="00D72354"/>
    <w:rsid w:val="00D7451B"/>
    <w:rsid w:val="00D74DEE"/>
    <w:rsid w:val="00D75006"/>
    <w:rsid w:val="00D77390"/>
    <w:rsid w:val="00D77E91"/>
    <w:rsid w:val="00D80782"/>
    <w:rsid w:val="00D810FD"/>
    <w:rsid w:val="00D82B66"/>
    <w:rsid w:val="00D835C5"/>
    <w:rsid w:val="00D84F98"/>
    <w:rsid w:val="00D85145"/>
    <w:rsid w:val="00D85440"/>
    <w:rsid w:val="00D87C4A"/>
    <w:rsid w:val="00D907C9"/>
    <w:rsid w:val="00D91527"/>
    <w:rsid w:val="00D91825"/>
    <w:rsid w:val="00D97C27"/>
    <w:rsid w:val="00DA0F88"/>
    <w:rsid w:val="00DA26B5"/>
    <w:rsid w:val="00DA345E"/>
    <w:rsid w:val="00DA4909"/>
    <w:rsid w:val="00DA4F01"/>
    <w:rsid w:val="00DA5275"/>
    <w:rsid w:val="00DA6285"/>
    <w:rsid w:val="00DA6305"/>
    <w:rsid w:val="00DA67EE"/>
    <w:rsid w:val="00DA6C2D"/>
    <w:rsid w:val="00DA6E3C"/>
    <w:rsid w:val="00DA6E9A"/>
    <w:rsid w:val="00DA778F"/>
    <w:rsid w:val="00DB1471"/>
    <w:rsid w:val="00DB20F3"/>
    <w:rsid w:val="00DB280A"/>
    <w:rsid w:val="00DB4F4A"/>
    <w:rsid w:val="00DB5C0A"/>
    <w:rsid w:val="00DB64EA"/>
    <w:rsid w:val="00DB67F9"/>
    <w:rsid w:val="00DC094D"/>
    <w:rsid w:val="00DC2213"/>
    <w:rsid w:val="00DC2391"/>
    <w:rsid w:val="00DC247C"/>
    <w:rsid w:val="00DC46CB"/>
    <w:rsid w:val="00DC4719"/>
    <w:rsid w:val="00DC4DF9"/>
    <w:rsid w:val="00DC4E26"/>
    <w:rsid w:val="00DD1085"/>
    <w:rsid w:val="00DD25C7"/>
    <w:rsid w:val="00DD33F1"/>
    <w:rsid w:val="00DD4396"/>
    <w:rsid w:val="00DD5630"/>
    <w:rsid w:val="00DE097A"/>
    <w:rsid w:val="00DE0CDD"/>
    <w:rsid w:val="00DE11F2"/>
    <w:rsid w:val="00DE2E3C"/>
    <w:rsid w:val="00DE5066"/>
    <w:rsid w:val="00DF38D3"/>
    <w:rsid w:val="00DF5236"/>
    <w:rsid w:val="00DF537E"/>
    <w:rsid w:val="00DF5D33"/>
    <w:rsid w:val="00DF63E1"/>
    <w:rsid w:val="00DF6E93"/>
    <w:rsid w:val="00DF7C10"/>
    <w:rsid w:val="00E0030D"/>
    <w:rsid w:val="00E007EA"/>
    <w:rsid w:val="00E01356"/>
    <w:rsid w:val="00E01777"/>
    <w:rsid w:val="00E0226E"/>
    <w:rsid w:val="00E0295C"/>
    <w:rsid w:val="00E0411C"/>
    <w:rsid w:val="00E0562B"/>
    <w:rsid w:val="00E06581"/>
    <w:rsid w:val="00E10B00"/>
    <w:rsid w:val="00E11701"/>
    <w:rsid w:val="00E126B2"/>
    <w:rsid w:val="00E1279B"/>
    <w:rsid w:val="00E12E0A"/>
    <w:rsid w:val="00E1374B"/>
    <w:rsid w:val="00E148C4"/>
    <w:rsid w:val="00E161DE"/>
    <w:rsid w:val="00E172C2"/>
    <w:rsid w:val="00E17859"/>
    <w:rsid w:val="00E17985"/>
    <w:rsid w:val="00E20C79"/>
    <w:rsid w:val="00E20FDB"/>
    <w:rsid w:val="00E216C6"/>
    <w:rsid w:val="00E22541"/>
    <w:rsid w:val="00E22F5E"/>
    <w:rsid w:val="00E2345E"/>
    <w:rsid w:val="00E23822"/>
    <w:rsid w:val="00E23C3E"/>
    <w:rsid w:val="00E23E87"/>
    <w:rsid w:val="00E244AA"/>
    <w:rsid w:val="00E256E8"/>
    <w:rsid w:val="00E25CE4"/>
    <w:rsid w:val="00E3224A"/>
    <w:rsid w:val="00E328D2"/>
    <w:rsid w:val="00E34A4D"/>
    <w:rsid w:val="00E35DEB"/>
    <w:rsid w:val="00E4038D"/>
    <w:rsid w:val="00E40717"/>
    <w:rsid w:val="00E40B58"/>
    <w:rsid w:val="00E40E44"/>
    <w:rsid w:val="00E41549"/>
    <w:rsid w:val="00E4265A"/>
    <w:rsid w:val="00E43880"/>
    <w:rsid w:val="00E45C73"/>
    <w:rsid w:val="00E501C7"/>
    <w:rsid w:val="00E51CAA"/>
    <w:rsid w:val="00E5437D"/>
    <w:rsid w:val="00E54AAE"/>
    <w:rsid w:val="00E57D2D"/>
    <w:rsid w:val="00E6147D"/>
    <w:rsid w:val="00E61590"/>
    <w:rsid w:val="00E62C74"/>
    <w:rsid w:val="00E67C77"/>
    <w:rsid w:val="00E70F7D"/>
    <w:rsid w:val="00E72C31"/>
    <w:rsid w:val="00E7348C"/>
    <w:rsid w:val="00E74589"/>
    <w:rsid w:val="00E74B55"/>
    <w:rsid w:val="00E75022"/>
    <w:rsid w:val="00E7639B"/>
    <w:rsid w:val="00E76FEC"/>
    <w:rsid w:val="00E77220"/>
    <w:rsid w:val="00E80571"/>
    <w:rsid w:val="00E811D3"/>
    <w:rsid w:val="00E83685"/>
    <w:rsid w:val="00E84650"/>
    <w:rsid w:val="00E853F1"/>
    <w:rsid w:val="00E86085"/>
    <w:rsid w:val="00E8753C"/>
    <w:rsid w:val="00E90F95"/>
    <w:rsid w:val="00E91466"/>
    <w:rsid w:val="00E91495"/>
    <w:rsid w:val="00E92761"/>
    <w:rsid w:val="00E9438F"/>
    <w:rsid w:val="00E95D4A"/>
    <w:rsid w:val="00E96FB5"/>
    <w:rsid w:val="00E974F4"/>
    <w:rsid w:val="00EA0F05"/>
    <w:rsid w:val="00EA25D2"/>
    <w:rsid w:val="00EA3440"/>
    <w:rsid w:val="00EA6133"/>
    <w:rsid w:val="00EA63F1"/>
    <w:rsid w:val="00EB0732"/>
    <w:rsid w:val="00EB0EA0"/>
    <w:rsid w:val="00EB13B0"/>
    <w:rsid w:val="00EB2A50"/>
    <w:rsid w:val="00EB382C"/>
    <w:rsid w:val="00EB4303"/>
    <w:rsid w:val="00EB54ED"/>
    <w:rsid w:val="00EB5DC6"/>
    <w:rsid w:val="00EB6D63"/>
    <w:rsid w:val="00EB6E95"/>
    <w:rsid w:val="00EC073B"/>
    <w:rsid w:val="00EC15E5"/>
    <w:rsid w:val="00EC190D"/>
    <w:rsid w:val="00EC2DBA"/>
    <w:rsid w:val="00EC3CCB"/>
    <w:rsid w:val="00EC741C"/>
    <w:rsid w:val="00EC74FE"/>
    <w:rsid w:val="00EC7744"/>
    <w:rsid w:val="00EC78F1"/>
    <w:rsid w:val="00ED00F0"/>
    <w:rsid w:val="00ED05F7"/>
    <w:rsid w:val="00ED0A32"/>
    <w:rsid w:val="00ED0C61"/>
    <w:rsid w:val="00ED2808"/>
    <w:rsid w:val="00ED296F"/>
    <w:rsid w:val="00ED2A11"/>
    <w:rsid w:val="00ED36B4"/>
    <w:rsid w:val="00ED3A28"/>
    <w:rsid w:val="00ED4617"/>
    <w:rsid w:val="00ED58CC"/>
    <w:rsid w:val="00ED60A6"/>
    <w:rsid w:val="00ED676D"/>
    <w:rsid w:val="00ED7E56"/>
    <w:rsid w:val="00EE0A6C"/>
    <w:rsid w:val="00EE10D8"/>
    <w:rsid w:val="00EE1570"/>
    <w:rsid w:val="00EE2864"/>
    <w:rsid w:val="00EE40FD"/>
    <w:rsid w:val="00EE50E6"/>
    <w:rsid w:val="00EF0B6F"/>
    <w:rsid w:val="00EF1967"/>
    <w:rsid w:val="00EF25C8"/>
    <w:rsid w:val="00F00CDB"/>
    <w:rsid w:val="00F02008"/>
    <w:rsid w:val="00F03B68"/>
    <w:rsid w:val="00F0468F"/>
    <w:rsid w:val="00F056D6"/>
    <w:rsid w:val="00F059EA"/>
    <w:rsid w:val="00F07A36"/>
    <w:rsid w:val="00F07C4C"/>
    <w:rsid w:val="00F11638"/>
    <w:rsid w:val="00F128E6"/>
    <w:rsid w:val="00F12FF2"/>
    <w:rsid w:val="00F13969"/>
    <w:rsid w:val="00F16A20"/>
    <w:rsid w:val="00F20EED"/>
    <w:rsid w:val="00F21A6A"/>
    <w:rsid w:val="00F21DFC"/>
    <w:rsid w:val="00F22B35"/>
    <w:rsid w:val="00F266A5"/>
    <w:rsid w:val="00F27C14"/>
    <w:rsid w:val="00F3097F"/>
    <w:rsid w:val="00F30DA6"/>
    <w:rsid w:val="00F31455"/>
    <w:rsid w:val="00F320F9"/>
    <w:rsid w:val="00F3262D"/>
    <w:rsid w:val="00F3298D"/>
    <w:rsid w:val="00F33CAB"/>
    <w:rsid w:val="00F34395"/>
    <w:rsid w:val="00F3576C"/>
    <w:rsid w:val="00F359CF"/>
    <w:rsid w:val="00F36562"/>
    <w:rsid w:val="00F419E4"/>
    <w:rsid w:val="00F41C53"/>
    <w:rsid w:val="00F42159"/>
    <w:rsid w:val="00F42C73"/>
    <w:rsid w:val="00F44C7A"/>
    <w:rsid w:val="00F45496"/>
    <w:rsid w:val="00F45D4C"/>
    <w:rsid w:val="00F45E53"/>
    <w:rsid w:val="00F4788D"/>
    <w:rsid w:val="00F47D79"/>
    <w:rsid w:val="00F47DDA"/>
    <w:rsid w:val="00F51CBD"/>
    <w:rsid w:val="00F51D8D"/>
    <w:rsid w:val="00F52106"/>
    <w:rsid w:val="00F52943"/>
    <w:rsid w:val="00F52D25"/>
    <w:rsid w:val="00F54470"/>
    <w:rsid w:val="00F54F84"/>
    <w:rsid w:val="00F551F7"/>
    <w:rsid w:val="00F55F23"/>
    <w:rsid w:val="00F56129"/>
    <w:rsid w:val="00F56AD3"/>
    <w:rsid w:val="00F61855"/>
    <w:rsid w:val="00F62882"/>
    <w:rsid w:val="00F62FB3"/>
    <w:rsid w:val="00F634EA"/>
    <w:rsid w:val="00F639A9"/>
    <w:rsid w:val="00F647FA"/>
    <w:rsid w:val="00F656A3"/>
    <w:rsid w:val="00F666F2"/>
    <w:rsid w:val="00F67944"/>
    <w:rsid w:val="00F708C0"/>
    <w:rsid w:val="00F70BB4"/>
    <w:rsid w:val="00F7196A"/>
    <w:rsid w:val="00F73311"/>
    <w:rsid w:val="00F739EF"/>
    <w:rsid w:val="00F7454F"/>
    <w:rsid w:val="00F80120"/>
    <w:rsid w:val="00F827B6"/>
    <w:rsid w:val="00F82BDD"/>
    <w:rsid w:val="00F85978"/>
    <w:rsid w:val="00F874C8"/>
    <w:rsid w:val="00F910E2"/>
    <w:rsid w:val="00F9134D"/>
    <w:rsid w:val="00F92A9F"/>
    <w:rsid w:val="00F97122"/>
    <w:rsid w:val="00F978D9"/>
    <w:rsid w:val="00F97923"/>
    <w:rsid w:val="00FA08E4"/>
    <w:rsid w:val="00FA203C"/>
    <w:rsid w:val="00FA27B4"/>
    <w:rsid w:val="00FA2CAA"/>
    <w:rsid w:val="00FA3B30"/>
    <w:rsid w:val="00FA42FC"/>
    <w:rsid w:val="00FA595F"/>
    <w:rsid w:val="00FA5D9B"/>
    <w:rsid w:val="00FA6265"/>
    <w:rsid w:val="00FA7408"/>
    <w:rsid w:val="00FA7C89"/>
    <w:rsid w:val="00FA7D3B"/>
    <w:rsid w:val="00FA7F41"/>
    <w:rsid w:val="00FB09A3"/>
    <w:rsid w:val="00FB2F79"/>
    <w:rsid w:val="00FB3F61"/>
    <w:rsid w:val="00FB613E"/>
    <w:rsid w:val="00FC1A89"/>
    <w:rsid w:val="00FC2854"/>
    <w:rsid w:val="00FC692B"/>
    <w:rsid w:val="00FD09FB"/>
    <w:rsid w:val="00FD3F3D"/>
    <w:rsid w:val="00FD56E3"/>
    <w:rsid w:val="00FD5D20"/>
    <w:rsid w:val="00FD5FD2"/>
    <w:rsid w:val="00FD6706"/>
    <w:rsid w:val="00FD6A45"/>
    <w:rsid w:val="00FD715E"/>
    <w:rsid w:val="00FD71C4"/>
    <w:rsid w:val="00FD772E"/>
    <w:rsid w:val="00FD7B64"/>
    <w:rsid w:val="00FE11DD"/>
    <w:rsid w:val="00FE165E"/>
    <w:rsid w:val="00FE21FC"/>
    <w:rsid w:val="00FE233B"/>
    <w:rsid w:val="00FE2AD3"/>
    <w:rsid w:val="00FE4781"/>
    <w:rsid w:val="00FE6EF6"/>
    <w:rsid w:val="00FF069F"/>
    <w:rsid w:val="00FF2AE1"/>
    <w:rsid w:val="00FF65EC"/>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715E"/>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4">
    <w:name w:val="heading 4"/>
    <w:basedOn w:val="Normln"/>
    <w:next w:val="Normln"/>
    <w:link w:val="Nadpis4Char"/>
    <w:uiPriority w:val="9"/>
    <w:unhideWhenUsed/>
    <w:qFormat/>
    <w:rsid w:val="00FE165E"/>
    <w:pPr>
      <w:keepNext/>
      <w:keepLines/>
      <w:spacing w:before="40" w:after="0" w:line="259" w:lineRule="auto"/>
      <w:jc w:val="both"/>
      <w:outlineLvl w:val="3"/>
    </w:pPr>
    <w:rPr>
      <w:rFonts w:asciiTheme="majorHAnsi" w:eastAsiaTheme="majorEastAsia" w:hAnsiTheme="majorHAnsi" w:cstheme="majorBidi"/>
      <w:i/>
      <w:iCs/>
      <w:color w:val="0B5294" w:themeColor="accent1" w:themeShade="BF"/>
      <w:kern w:val="2"/>
      <w14:ligatures w14:val="standardContextual"/>
    </w:rPr>
  </w:style>
  <w:style w:type="paragraph" w:styleId="Nadpis5">
    <w:name w:val="heading 5"/>
    <w:basedOn w:val="Normln"/>
    <w:next w:val="Normln"/>
    <w:link w:val="Nadpis5Char"/>
    <w:uiPriority w:val="9"/>
    <w:unhideWhenUsed/>
    <w:qFormat/>
    <w:rsid w:val="00FE165E"/>
    <w:pPr>
      <w:keepNext/>
      <w:keepLines/>
      <w:spacing w:before="40" w:after="0" w:line="259" w:lineRule="auto"/>
      <w:jc w:val="both"/>
      <w:outlineLvl w:val="4"/>
    </w:pPr>
    <w:rPr>
      <w:rFonts w:asciiTheme="majorHAnsi" w:eastAsiaTheme="majorEastAsia" w:hAnsiTheme="majorHAnsi" w:cstheme="majorBidi"/>
      <w:color w:val="0B5294" w:themeColor="accent1" w:themeShade="BF"/>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dstavec se seznamem1,_Odstavec se seznamem,Seznam - odrážky,Conclusion de partie,Fiche List Paragraph,List Paragraph (Czech Tourism),Název grafu"/>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1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Nevyeenzmnka">
    <w:name w:val="Unresolved Mention"/>
    <w:basedOn w:val="Standardnpsmoodstavce"/>
    <w:uiPriority w:val="99"/>
    <w:semiHidden/>
    <w:unhideWhenUsed/>
    <w:rsid w:val="009D33DF"/>
    <w:rPr>
      <w:color w:val="605E5C"/>
      <w:shd w:val="clear" w:color="auto" w:fill="E1DFDD"/>
    </w:rPr>
  </w:style>
  <w:style w:type="character" w:styleId="Sledovanodkaz">
    <w:name w:val="FollowedHyperlink"/>
    <w:basedOn w:val="Standardnpsmoodstavce"/>
    <w:uiPriority w:val="99"/>
    <w:semiHidden/>
    <w:unhideWhenUsed/>
    <w:rsid w:val="00755BB0"/>
    <w:rPr>
      <w:color w:val="85DFD0" w:themeColor="followedHyperlink"/>
      <w:u w:val="single"/>
    </w:rPr>
  </w:style>
  <w:style w:type="character" w:customStyle="1" w:styleId="Nadpis4Char">
    <w:name w:val="Nadpis 4 Char"/>
    <w:basedOn w:val="Standardnpsmoodstavce"/>
    <w:link w:val="Nadpis4"/>
    <w:uiPriority w:val="9"/>
    <w:rsid w:val="00FE165E"/>
    <w:rPr>
      <w:rFonts w:asciiTheme="majorHAnsi" w:eastAsiaTheme="majorEastAsia" w:hAnsiTheme="majorHAnsi" w:cstheme="majorBidi"/>
      <w:i/>
      <w:iCs/>
      <w:color w:val="0B5294" w:themeColor="accent1" w:themeShade="BF"/>
      <w:kern w:val="2"/>
      <w14:ligatures w14:val="standardContextual"/>
    </w:rPr>
  </w:style>
  <w:style w:type="character" w:customStyle="1" w:styleId="Nadpis5Char">
    <w:name w:val="Nadpis 5 Char"/>
    <w:basedOn w:val="Standardnpsmoodstavce"/>
    <w:link w:val="Nadpis5"/>
    <w:uiPriority w:val="9"/>
    <w:rsid w:val="00FE165E"/>
    <w:rPr>
      <w:rFonts w:asciiTheme="majorHAnsi" w:eastAsiaTheme="majorEastAsia" w:hAnsiTheme="majorHAnsi" w:cstheme="majorBidi"/>
      <w:color w:val="0B5294" w:themeColor="accent1" w:themeShade="BF"/>
      <w:kern w:val="2"/>
      <w14:ligatures w14:val="standardContextual"/>
    </w:rPr>
  </w:style>
  <w:style w:type="paragraph" w:customStyle="1" w:styleId="CM1">
    <w:name w:val="CM1"/>
    <w:basedOn w:val="Normln"/>
    <w:next w:val="Normln"/>
    <w:uiPriority w:val="99"/>
    <w:rsid w:val="00FE165E"/>
    <w:pPr>
      <w:autoSpaceDE w:val="0"/>
      <w:autoSpaceDN w:val="0"/>
      <w:adjustRightInd w:val="0"/>
      <w:spacing w:after="0" w:line="240" w:lineRule="auto"/>
      <w:jc w:val="both"/>
    </w:pPr>
    <w:rPr>
      <w:rFonts w:ascii="EU Albertina" w:hAnsi="EU Albertina"/>
      <w:sz w:val="24"/>
      <w:szCs w:val="24"/>
      <w14:ligatures w14:val="standardContextual"/>
    </w:rPr>
  </w:style>
  <w:style w:type="paragraph" w:customStyle="1" w:styleId="CM3">
    <w:name w:val="CM3"/>
    <w:basedOn w:val="Normln"/>
    <w:next w:val="Normln"/>
    <w:uiPriority w:val="99"/>
    <w:rsid w:val="00FE165E"/>
    <w:pPr>
      <w:autoSpaceDE w:val="0"/>
      <w:autoSpaceDN w:val="0"/>
      <w:adjustRightInd w:val="0"/>
      <w:spacing w:after="0" w:line="240" w:lineRule="auto"/>
      <w:jc w:val="both"/>
    </w:pPr>
    <w:rPr>
      <w:rFonts w:ascii="EU Albertina" w:hAnsi="EU Albertina"/>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0978">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837685">
      <w:bodyDiv w:val="1"/>
      <w:marLeft w:val="0"/>
      <w:marRight w:val="0"/>
      <w:marTop w:val="0"/>
      <w:marBottom w:val="0"/>
      <w:divBdr>
        <w:top w:val="none" w:sz="0" w:space="0" w:color="auto"/>
        <w:left w:val="none" w:sz="0" w:space="0" w:color="auto"/>
        <w:bottom w:val="none" w:sz="0" w:space="0" w:color="auto"/>
        <w:right w:val="none" w:sz="0" w:space="0" w:color="auto"/>
      </w:divBdr>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55b9b8e6-ce93-484b-85c3-60be995bde3d"/>
    <ds:schemaRef ds:uri="30e291ad-f7e7-49f6-86f9-67da3b83edbb"/>
    <ds:schemaRef ds:uri="http://www.w3.org/XML/1998/namespace"/>
  </ds:schemaRefs>
</ds:datastoreItem>
</file>

<file path=customXml/itemProps2.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0DE6F46B-081F-4371-9671-C8BF2CA2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2935</Words>
  <Characters>17231</Characters>
  <Application>Microsoft Office Word</Application>
  <DocSecurity>0</DocSecurity>
  <Lines>2153</Lines>
  <Paragraphs>593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Mokrášová Jitka, Ing.</cp:lastModifiedBy>
  <cp:revision>3</cp:revision>
  <cp:lastPrinted>2023-02-21T14:27:00Z</cp:lastPrinted>
  <dcterms:created xsi:type="dcterms:W3CDTF">2024-03-14T07:43:00Z</dcterms:created>
  <dcterms:modified xsi:type="dcterms:W3CDTF">2024-03-19T11:38:00Z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